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5256804" w:displacedByCustomXml="next"/>
    <w:sdt>
      <w:sdtPr>
        <w:id w:val="1109009909"/>
        <w:docPartObj>
          <w:docPartGallery w:val="Cover Pages"/>
          <w:docPartUnique/>
        </w:docPartObj>
      </w:sdtPr>
      <w:sdtContent>
        <w:p w14:paraId="0F1FB2B7" w14:textId="064BEEFB" w:rsidR="001C163E" w:rsidRDefault="00375E66">
          <w:r>
            <w:rPr>
              <w:noProof/>
            </w:rPr>
            <w:drawing>
              <wp:anchor distT="0" distB="0" distL="114300" distR="114300" simplePos="0" relativeHeight="251658240" behindDoc="0" locked="1" layoutInCell="1" allowOverlap="1" wp14:anchorId="2A1BB521" wp14:editId="53C72ACA">
                <wp:simplePos x="0" y="0"/>
                <wp:positionH relativeFrom="page">
                  <wp:posOffset>-9525</wp:posOffset>
                </wp:positionH>
                <wp:positionV relativeFrom="page">
                  <wp:posOffset>0</wp:posOffset>
                </wp:positionV>
                <wp:extent cx="7559040" cy="10709275"/>
                <wp:effectExtent l="0" t="0" r="3810" b="0"/>
                <wp:wrapSquare wrapText="bothSides"/>
                <wp:docPr id="1090078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781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040" cy="10709275"/>
                        </a:xfrm>
                        <a:prstGeom prst="rect">
                          <a:avLst/>
                        </a:prstGeom>
                      </pic:spPr>
                    </pic:pic>
                  </a:graphicData>
                </a:graphic>
                <wp14:sizeRelH relativeFrom="margin">
                  <wp14:pctWidth>0</wp14:pctWidth>
                </wp14:sizeRelH>
                <wp14:sizeRelV relativeFrom="margin">
                  <wp14:pctHeight>0</wp14:pctHeight>
                </wp14:sizeRelV>
              </wp:anchor>
            </w:drawing>
          </w:r>
          <w:r w:rsidR="001C163E">
            <w:br w:type="page"/>
          </w:r>
        </w:p>
      </w:sdtContent>
    </w:sdt>
    <w:bookmarkEnd w:id="0"/>
    <w:p w14:paraId="3D51F372" w14:textId="72485E83" w:rsidR="006B4BE1" w:rsidRPr="003826EB" w:rsidDel="00873331" w:rsidRDefault="002B6814" w:rsidP="006B4BE1">
      <w:pPr>
        <w:rPr>
          <w:rFonts w:cs="Arial"/>
          <w:b/>
          <w:bCs/>
          <w:sz w:val="28"/>
          <w:szCs w:val="28"/>
        </w:rPr>
      </w:pPr>
      <w:r w:rsidRPr="003826EB">
        <w:rPr>
          <w:rFonts w:cs="Arial"/>
          <w:b/>
          <w:bCs/>
          <w:sz w:val="28"/>
          <w:szCs w:val="28"/>
        </w:rPr>
        <w:lastRenderedPageBreak/>
        <w:t>L</w:t>
      </w:r>
      <w:r w:rsidR="00E7631F" w:rsidRPr="003826EB">
        <w:rPr>
          <w:rFonts w:cs="Arial"/>
          <w:b/>
          <w:bCs/>
          <w:sz w:val="28"/>
          <w:szCs w:val="28"/>
        </w:rPr>
        <w:t>ancashire</w:t>
      </w:r>
      <w:r w:rsidRPr="003826EB">
        <w:rPr>
          <w:rFonts w:cs="Arial"/>
          <w:b/>
          <w:bCs/>
          <w:sz w:val="28"/>
          <w:szCs w:val="28"/>
        </w:rPr>
        <w:t xml:space="preserve"> C</w:t>
      </w:r>
      <w:r w:rsidR="00E7631F" w:rsidRPr="003826EB">
        <w:rPr>
          <w:rFonts w:cs="Arial"/>
          <w:b/>
          <w:bCs/>
          <w:sz w:val="28"/>
          <w:szCs w:val="28"/>
        </w:rPr>
        <w:t>ombined</w:t>
      </w:r>
      <w:r w:rsidRPr="003826EB">
        <w:rPr>
          <w:rFonts w:cs="Arial"/>
          <w:b/>
          <w:bCs/>
          <w:sz w:val="28"/>
          <w:szCs w:val="28"/>
        </w:rPr>
        <w:t xml:space="preserve"> F</w:t>
      </w:r>
      <w:r w:rsidR="00E7631F" w:rsidRPr="003826EB">
        <w:rPr>
          <w:rFonts w:cs="Arial"/>
          <w:b/>
          <w:bCs/>
          <w:sz w:val="28"/>
          <w:szCs w:val="28"/>
        </w:rPr>
        <w:t>ire</w:t>
      </w:r>
      <w:r w:rsidRPr="003826EB">
        <w:rPr>
          <w:rFonts w:cs="Arial"/>
          <w:b/>
          <w:bCs/>
          <w:sz w:val="28"/>
          <w:szCs w:val="28"/>
        </w:rPr>
        <w:t xml:space="preserve"> A</w:t>
      </w:r>
      <w:r w:rsidR="00E7631F" w:rsidRPr="003826EB">
        <w:rPr>
          <w:rFonts w:cs="Arial"/>
          <w:b/>
          <w:bCs/>
          <w:sz w:val="28"/>
          <w:szCs w:val="28"/>
        </w:rPr>
        <w:t>uthority</w:t>
      </w:r>
    </w:p>
    <w:p w14:paraId="0BF51ECE" w14:textId="77777777" w:rsidR="002B6814" w:rsidRPr="00927796" w:rsidRDefault="002B6814" w:rsidP="003668C6">
      <w:pPr>
        <w:rPr>
          <w:rFonts w:cs="Arial"/>
          <w:b/>
          <w:szCs w:val="24"/>
        </w:rPr>
      </w:pPr>
    </w:p>
    <w:p w14:paraId="55AB75C3" w14:textId="1CDBB863" w:rsidR="002B6814" w:rsidRPr="00927796" w:rsidRDefault="00E7631F" w:rsidP="003668C6">
      <w:pPr>
        <w:rPr>
          <w:rFonts w:cs="Arial"/>
          <w:b/>
          <w:szCs w:val="24"/>
        </w:rPr>
      </w:pPr>
      <w:r w:rsidRPr="00927796">
        <w:rPr>
          <w:rFonts w:cs="Arial"/>
          <w:b/>
          <w:szCs w:val="24"/>
        </w:rPr>
        <w:t>Statement</w:t>
      </w:r>
      <w:r w:rsidR="002B6814" w:rsidRPr="00927796">
        <w:rPr>
          <w:rFonts w:cs="Arial"/>
          <w:b/>
          <w:szCs w:val="24"/>
        </w:rPr>
        <w:t xml:space="preserve"> </w:t>
      </w:r>
      <w:r w:rsidRPr="00927796">
        <w:rPr>
          <w:rFonts w:cs="Arial"/>
          <w:b/>
          <w:szCs w:val="24"/>
        </w:rPr>
        <w:t xml:space="preserve">of </w:t>
      </w:r>
      <w:r w:rsidR="002B6814" w:rsidRPr="00927796">
        <w:rPr>
          <w:rFonts w:cs="Arial"/>
          <w:b/>
          <w:szCs w:val="24"/>
        </w:rPr>
        <w:t>A</w:t>
      </w:r>
      <w:r w:rsidRPr="00927796">
        <w:rPr>
          <w:rFonts w:cs="Arial"/>
          <w:b/>
          <w:szCs w:val="24"/>
        </w:rPr>
        <w:t>ccounts</w:t>
      </w:r>
      <w:r w:rsidR="002B6814" w:rsidRPr="00927796">
        <w:rPr>
          <w:rFonts w:cs="Arial"/>
          <w:b/>
          <w:szCs w:val="24"/>
        </w:rPr>
        <w:t xml:space="preserve"> </w:t>
      </w:r>
      <w:r w:rsidR="002B6814" w:rsidRPr="00927796">
        <w:rPr>
          <w:rFonts w:cs="Arial"/>
          <w:b/>
          <w:caps/>
          <w:szCs w:val="24"/>
        </w:rPr>
        <w:t>202</w:t>
      </w:r>
      <w:r w:rsidR="00C07971">
        <w:rPr>
          <w:rFonts w:cs="Arial"/>
          <w:b/>
          <w:caps/>
          <w:szCs w:val="24"/>
        </w:rPr>
        <w:t>5</w:t>
      </w:r>
      <w:r w:rsidR="0041374B">
        <w:rPr>
          <w:rFonts w:cs="Arial"/>
          <w:b/>
          <w:caps/>
          <w:szCs w:val="24"/>
        </w:rPr>
        <w:t>-</w:t>
      </w:r>
      <w:r w:rsidR="002B6814" w:rsidRPr="00927796">
        <w:rPr>
          <w:rFonts w:cs="Arial"/>
          <w:b/>
          <w:caps/>
          <w:szCs w:val="24"/>
        </w:rPr>
        <w:t>2</w:t>
      </w:r>
      <w:r w:rsidR="00C07971">
        <w:rPr>
          <w:rFonts w:cs="Arial"/>
          <w:b/>
          <w:caps/>
          <w:szCs w:val="24"/>
        </w:rPr>
        <w:t>6</w:t>
      </w:r>
    </w:p>
    <w:p w14:paraId="2DD1AB22" w14:textId="77777777" w:rsidR="002B6814" w:rsidRPr="00927796" w:rsidRDefault="002B6814" w:rsidP="003668C6">
      <w:pPr>
        <w:rPr>
          <w:rFonts w:cs="Arial"/>
          <w:b/>
          <w:szCs w:val="24"/>
        </w:rPr>
      </w:pPr>
    </w:p>
    <w:p w14:paraId="5F5D1D76" w14:textId="14078B1A" w:rsidR="006B4BE1" w:rsidRPr="003826EB" w:rsidRDefault="002B6814" w:rsidP="006B4BE1">
      <w:pPr>
        <w:rPr>
          <w:rFonts w:cs="Arial"/>
          <w:bCs/>
          <w:szCs w:val="24"/>
        </w:rPr>
      </w:pPr>
      <w:r w:rsidRPr="003826EB">
        <w:rPr>
          <w:rFonts w:cs="Arial"/>
          <w:bCs/>
          <w:szCs w:val="24"/>
        </w:rPr>
        <w:t>C</w:t>
      </w:r>
      <w:r w:rsidR="00E7631F" w:rsidRPr="003826EB">
        <w:rPr>
          <w:rFonts w:cs="Arial"/>
          <w:bCs/>
          <w:szCs w:val="24"/>
        </w:rPr>
        <w:t>ontents</w:t>
      </w:r>
    </w:p>
    <w:sdt>
      <w:sdtPr>
        <w:rPr>
          <w:rFonts w:ascii="Arial" w:eastAsia="Times New Roman" w:hAnsi="Arial" w:cs="Arial"/>
          <w:color w:val="auto"/>
          <w:sz w:val="24"/>
          <w:szCs w:val="24"/>
          <w:lang w:val="en-GB"/>
        </w:rPr>
        <w:id w:val="2062289287"/>
        <w:docPartObj>
          <w:docPartGallery w:val="Table of Contents"/>
          <w:docPartUnique/>
        </w:docPartObj>
      </w:sdtPr>
      <w:sdtEndPr>
        <w:rPr>
          <w:b/>
          <w:bCs/>
          <w:noProof/>
        </w:rPr>
      </w:sdtEndPr>
      <w:sdtContent>
        <w:p w14:paraId="269485E8" w14:textId="63CDB818" w:rsidR="005A3C76" w:rsidRPr="00927796" w:rsidRDefault="005A3C76">
          <w:pPr>
            <w:pStyle w:val="TOCHeading"/>
            <w:rPr>
              <w:rFonts w:ascii="Arial" w:hAnsi="Arial" w:cs="Arial"/>
              <w:sz w:val="24"/>
              <w:szCs w:val="24"/>
            </w:rPr>
          </w:pPr>
        </w:p>
        <w:p w14:paraId="0CF8AF6B" w14:textId="010F3199" w:rsidR="00E50D2A" w:rsidRDefault="005A3C76">
          <w:pPr>
            <w:pStyle w:val="TOC1"/>
            <w:tabs>
              <w:tab w:val="right" w:leader="dot" w:pos="9017"/>
            </w:tabs>
            <w:rPr>
              <w:rFonts w:asciiTheme="minorHAnsi" w:eastAsiaTheme="minorEastAsia" w:hAnsiTheme="minorHAnsi" w:cstheme="minorBidi"/>
              <w:noProof/>
              <w:kern w:val="2"/>
              <w:szCs w:val="24"/>
              <w:lang w:eastAsia="en-GB"/>
              <w14:ligatures w14:val="standardContextual"/>
            </w:rPr>
          </w:pPr>
          <w:r w:rsidRPr="00927796">
            <w:rPr>
              <w:rFonts w:cs="Arial"/>
              <w:szCs w:val="24"/>
            </w:rPr>
            <w:fldChar w:fldCharType="begin"/>
          </w:r>
          <w:r w:rsidRPr="00927796">
            <w:rPr>
              <w:rFonts w:cs="Arial"/>
              <w:szCs w:val="24"/>
            </w:rPr>
            <w:instrText xml:space="preserve"> TOC \o "1-3" \h \z \u </w:instrText>
          </w:r>
          <w:r w:rsidRPr="00927796">
            <w:rPr>
              <w:rFonts w:cs="Arial"/>
              <w:szCs w:val="24"/>
            </w:rPr>
            <w:fldChar w:fldCharType="separate"/>
          </w:r>
          <w:hyperlink w:anchor="_Toc233717509" w:history="1">
            <w:r w:rsidR="00E50D2A" w:rsidRPr="008B3CF9">
              <w:rPr>
                <w:rStyle w:val="Hyperlink"/>
                <w:rFonts w:cs="Arial"/>
                <w:noProof/>
              </w:rPr>
              <w:t>Narrative Report</w:t>
            </w:r>
            <w:r w:rsidR="00E50D2A">
              <w:rPr>
                <w:noProof/>
                <w:webHidden/>
              </w:rPr>
              <w:tab/>
            </w:r>
            <w:r w:rsidR="00E50D2A">
              <w:rPr>
                <w:noProof/>
                <w:webHidden/>
              </w:rPr>
              <w:fldChar w:fldCharType="begin"/>
            </w:r>
            <w:r w:rsidR="00E50D2A">
              <w:rPr>
                <w:noProof/>
                <w:webHidden/>
              </w:rPr>
              <w:instrText xml:space="preserve"> PAGEREF _Toc233717509 \h </w:instrText>
            </w:r>
            <w:r w:rsidR="00E50D2A">
              <w:rPr>
                <w:noProof/>
                <w:webHidden/>
              </w:rPr>
            </w:r>
            <w:r w:rsidR="00E50D2A">
              <w:rPr>
                <w:noProof/>
                <w:webHidden/>
              </w:rPr>
              <w:fldChar w:fldCharType="separate"/>
            </w:r>
            <w:r w:rsidR="00E50D2A">
              <w:rPr>
                <w:noProof/>
                <w:webHidden/>
              </w:rPr>
              <w:t>1</w:t>
            </w:r>
            <w:r w:rsidR="00E50D2A">
              <w:rPr>
                <w:noProof/>
                <w:webHidden/>
              </w:rPr>
              <w:fldChar w:fldCharType="end"/>
            </w:r>
          </w:hyperlink>
        </w:p>
        <w:p w14:paraId="3B6E5019" w14:textId="698A647A"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0" w:history="1">
            <w:r w:rsidRPr="008B3CF9">
              <w:rPr>
                <w:rStyle w:val="Hyperlink"/>
                <w:noProof/>
              </w:rPr>
              <w:t>Statement on Annual Governance Arrangements</w:t>
            </w:r>
            <w:r>
              <w:rPr>
                <w:noProof/>
                <w:webHidden/>
              </w:rPr>
              <w:tab/>
            </w:r>
            <w:r>
              <w:rPr>
                <w:noProof/>
                <w:webHidden/>
              </w:rPr>
              <w:fldChar w:fldCharType="begin"/>
            </w:r>
            <w:r>
              <w:rPr>
                <w:noProof/>
                <w:webHidden/>
              </w:rPr>
              <w:instrText xml:space="preserve"> PAGEREF _Toc233717510 \h </w:instrText>
            </w:r>
            <w:r>
              <w:rPr>
                <w:noProof/>
                <w:webHidden/>
              </w:rPr>
            </w:r>
            <w:r>
              <w:rPr>
                <w:noProof/>
                <w:webHidden/>
              </w:rPr>
              <w:fldChar w:fldCharType="separate"/>
            </w:r>
            <w:r>
              <w:rPr>
                <w:noProof/>
                <w:webHidden/>
              </w:rPr>
              <w:t>8</w:t>
            </w:r>
            <w:r>
              <w:rPr>
                <w:noProof/>
                <w:webHidden/>
              </w:rPr>
              <w:fldChar w:fldCharType="end"/>
            </w:r>
          </w:hyperlink>
        </w:p>
        <w:p w14:paraId="120399B7" w14:textId="07793820"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1" w:history="1">
            <w:r w:rsidRPr="008B3CF9">
              <w:rPr>
                <w:rStyle w:val="Hyperlink"/>
                <w:noProof/>
              </w:rPr>
              <w:t>Independent Auditor’s Report</w:t>
            </w:r>
            <w:r>
              <w:rPr>
                <w:noProof/>
                <w:webHidden/>
              </w:rPr>
              <w:tab/>
            </w:r>
            <w:r>
              <w:rPr>
                <w:noProof/>
                <w:webHidden/>
              </w:rPr>
              <w:fldChar w:fldCharType="begin"/>
            </w:r>
            <w:r>
              <w:rPr>
                <w:noProof/>
                <w:webHidden/>
              </w:rPr>
              <w:instrText xml:space="preserve"> PAGEREF _Toc233717511 \h </w:instrText>
            </w:r>
            <w:r>
              <w:rPr>
                <w:noProof/>
                <w:webHidden/>
              </w:rPr>
            </w:r>
            <w:r>
              <w:rPr>
                <w:noProof/>
                <w:webHidden/>
              </w:rPr>
              <w:fldChar w:fldCharType="separate"/>
            </w:r>
            <w:r>
              <w:rPr>
                <w:noProof/>
                <w:webHidden/>
              </w:rPr>
              <w:t>15</w:t>
            </w:r>
            <w:r>
              <w:rPr>
                <w:noProof/>
                <w:webHidden/>
              </w:rPr>
              <w:fldChar w:fldCharType="end"/>
            </w:r>
          </w:hyperlink>
        </w:p>
        <w:p w14:paraId="2F2CB1A9" w14:textId="308909FA"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2" w:history="1">
            <w:r w:rsidRPr="008B3CF9">
              <w:rPr>
                <w:rStyle w:val="Hyperlink"/>
                <w:rFonts w:cs="Arial"/>
                <w:noProof/>
              </w:rPr>
              <w:t>Statement of Responsibilities</w:t>
            </w:r>
            <w:r>
              <w:rPr>
                <w:noProof/>
                <w:webHidden/>
              </w:rPr>
              <w:tab/>
            </w:r>
            <w:r>
              <w:rPr>
                <w:noProof/>
                <w:webHidden/>
              </w:rPr>
              <w:fldChar w:fldCharType="begin"/>
            </w:r>
            <w:r>
              <w:rPr>
                <w:noProof/>
                <w:webHidden/>
              </w:rPr>
              <w:instrText xml:space="preserve"> PAGEREF _Toc233717512 \h </w:instrText>
            </w:r>
            <w:r>
              <w:rPr>
                <w:noProof/>
                <w:webHidden/>
              </w:rPr>
            </w:r>
            <w:r>
              <w:rPr>
                <w:noProof/>
                <w:webHidden/>
              </w:rPr>
              <w:fldChar w:fldCharType="separate"/>
            </w:r>
            <w:r>
              <w:rPr>
                <w:noProof/>
                <w:webHidden/>
              </w:rPr>
              <w:t>16</w:t>
            </w:r>
            <w:r>
              <w:rPr>
                <w:noProof/>
                <w:webHidden/>
              </w:rPr>
              <w:fldChar w:fldCharType="end"/>
            </w:r>
          </w:hyperlink>
        </w:p>
        <w:p w14:paraId="60A8725D" w14:textId="03E51741"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3" w:history="1">
            <w:r w:rsidRPr="008B3CF9">
              <w:rPr>
                <w:rStyle w:val="Hyperlink"/>
                <w:rFonts w:cs="Arial"/>
                <w:noProof/>
              </w:rPr>
              <w:t>Explanation of Financial Statements</w:t>
            </w:r>
            <w:r>
              <w:rPr>
                <w:noProof/>
                <w:webHidden/>
              </w:rPr>
              <w:tab/>
            </w:r>
            <w:r>
              <w:rPr>
                <w:noProof/>
                <w:webHidden/>
              </w:rPr>
              <w:fldChar w:fldCharType="begin"/>
            </w:r>
            <w:r>
              <w:rPr>
                <w:noProof/>
                <w:webHidden/>
              </w:rPr>
              <w:instrText xml:space="preserve"> PAGEREF _Toc233717513 \h </w:instrText>
            </w:r>
            <w:r>
              <w:rPr>
                <w:noProof/>
                <w:webHidden/>
              </w:rPr>
            </w:r>
            <w:r>
              <w:rPr>
                <w:noProof/>
                <w:webHidden/>
              </w:rPr>
              <w:fldChar w:fldCharType="separate"/>
            </w:r>
            <w:r>
              <w:rPr>
                <w:noProof/>
                <w:webHidden/>
              </w:rPr>
              <w:t>17</w:t>
            </w:r>
            <w:r>
              <w:rPr>
                <w:noProof/>
                <w:webHidden/>
              </w:rPr>
              <w:fldChar w:fldCharType="end"/>
            </w:r>
          </w:hyperlink>
        </w:p>
        <w:p w14:paraId="39384F0C" w14:textId="1EC957B2"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4" w:history="1">
            <w:r w:rsidRPr="008B3CF9">
              <w:rPr>
                <w:rStyle w:val="Hyperlink"/>
                <w:noProof/>
              </w:rPr>
              <w:t>Comprehensive Income and Expenditure Statement</w:t>
            </w:r>
            <w:r>
              <w:rPr>
                <w:noProof/>
                <w:webHidden/>
              </w:rPr>
              <w:tab/>
            </w:r>
            <w:r>
              <w:rPr>
                <w:noProof/>
                <w:webHidden/>
              </w:rPr>
              <w:fldChar w:fldCharType="begin"/>
            </w:r>
            <w:r>
              <w:rPr>
                <w:noProof/>
                <w:webHidden/>
              </w:rPr>
              <w:instrText xml:space="preserve"> PAGEREF _Toc233717514 \h </w:instrText>
            </w:r>
            <w:r>
              <w:rPr>
                <w:noProof/>
                <w:webHidden/>
              </w:rPr>
            </w:r>
            <w:r>
              <w:rPr>
                <w:noProof/>
                <w:webHidden/>
              </w:rPr>
              <w:fldChar w:fldCharType="separate"/>
            </w:r>
            <w:r>
              <w:rPr>
                <w:noProof/>
                <w:webHidden/>
              </w:rPr>
              <w:t>18</w:t>
            </w:r>
            <w:r>
              <w:rPr>
                <w:noProof/>
                <w:webHidden/>
              </w:rPr>
              <w:fldChar w:fldCharType="end"/>
            </w:r>
          </w:hyperlink>
        </w:p>
        <w:p w14:paraId="403D6377" w14:textId="48A7D37B"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5" w:history="1">
            <w:r w:rsidRPr="008B3CF9">
              <w:rPr>
                <w:rStyle w:val="Hyperlink"/>
                <w:noProof/>
              </w:rPr>
              <w:t>Movement in Reserves Statement</w:t>
            </w:r>
            <w:r>
              <w:rPr>
                <w:noProof/>
                <w:webHidden/>
              </w:rPr>
              <w:tab/>
            </w:r>
            <w:r>
              <w:rPr>
                <w:noProof/>
                <w:webHidden/>
              </w:rPr>
              <w:fldChar w:fldCharType="begin"/>
            </w:r>
            <w:r>
              <w:rPr>
                <w:noProof/>
                <w:webHidden/>
              </w:rPr>
              <w:instrText xml:space="preserve"> PAGEREF _Toc233717515 \h </w:instrText>
            </w:r>
            <w:r>
              <w:rPr>
                <w:noProof/>
                <w:webHidden/>
              </w:rPr>
            </w:r>
            <w:r>
              <w:rPr>
                <w:noProof/>
                <w:webHidden/>
              </w:rPr>
              <w:fldChar w:fldCharType="separate"/>
            </w:r>
            <w:r>
              <w:rPr>
                <w:noProof/>
                <w:webHidden/>
              </w:rPr>
              <w:t>20</w:t>
            </w:r>
            <w:r>
              <w:rPr>
                <w:noProof/>
                <w:webHidden/>
              </w:rPr>
              <w:fldChar w:fldCharType="end"/>
            </w:r>
          </w:hyperlink>
        </w:p>
        <w:p w14:paraId="0E1D997C" w14:textId="56C6F66B"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6" w:history="1">
            <w:r w:rsidRPr="008B3CF9">
              <w:rPr>
                <w:rStyle w:val="Hyperlink"/>
                <w:noProof/>
              </w:rPr>
              <w:t>Balance Sheet</w:t>
            </w:r>
            <w:r>
              <w:rPr>
                <w:noProof/>
                <w:webHidden/>
              </w:rPr>
              <w:tab/>
            </w:r>
            <w:r>
              <w:rPr>
                <w:noProof/>
                <w:webHidden/>
              </w:rPr>
              <w:fldChar w:fldCharType="begin"/>
            </w:r>
            <w:r>
              <w:rPr>
                <w:noProof/>
                <w:webHidden/>
              </w:rPr>
              <w:instrText xml:space="preserve"> PAGEREF _Toc233717516 \h </w:instrText>
            </w:r>
            <w:r>
              <w:rPr>
                <w:noProof/>
                <w:webHidden/>
              </w:rPr>
            </w:r>
            <w:r>
              <w:rPr>
                <w:noProof/>
                <w:webHidden/>
              </w:rPr>
              <w:fldChar w:fldCharType="separate"/>
            </w:r>
            <w:r>
              <w:rPr>
                <w:noProof/>
                <w:webHidden/>
              </w:rPr>
              <w:t>24</w:t>
            </w:r>
            <w:r>
              <w:rPr>
                <w:noProof/>
                <w:webHidden/>
              </w:rPr>
              <w:fldChar w:fldCharType="end"/>
            </w:r>
          </w:hyperlink>
        </w:p>
        <w:p w14:paraId="2095E7F1" w14:textId="4F74675D"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7" w:history="1">
            <w:r w:rsidRPr="008B3CF9">
              <w:rPr>
                <w:rStyle w:val="Hyperlink"/>
                <w:noProof/>
              </w:rPr>
              <w:t>Cash Flow Statement</w:t>
            </w:r>
            <w:r>
              <w:rPr>
                <w:noProof/>
                <w:webHidden/>
              </w:rPr>
              <w:tab/>
            </w:r>
            <w:r>
              <w:rPr>
                <w:noProof/>
                <w:webHidden/>
              </w:rPr>
              <w:fldChar w:fldCharType="begin"/>
            </w:r>
            <w:r>
              <w:rPr>
                <w:noProof/>
                <w:webHidden/>
              </w:rPr>
              <w:instrText xml:space="preserve"> PAGEREF _Toc233717517 \h </w:instrText>
            </w:r>
            <w:r>
              <w:rPr>
                <w:noProof/>
                <w:webHidden/>
              </w:rPr>
            </w:r>
            <w:r>
              <w:rPr>
                <w:noProof/>
                <w:webHidden/>
              </w:rPr>
              <w:fldChar w:fldCharType="separate"/>
            </w:r>
            <w:r>
              <w:rPr>
                <w:noProof/>
                <w:webHidden/>
              </w:rPr>
              <w:t>26</w:t>
            </w:r>
            <w:r>
              <w:rPr>
                <w:noProof/>
                <w:webHidden/>
              </w:rPr>
              <w:fldChar w:fldCharType="end"/>
            </w:r>
          </w:hyperlink>
        </w:p>
        <w:p w14:paraId="31EFBD60" w14:textId="1B2278E9"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18" w:history="1">
            <w:r w:rsidRPr="008B3CF9">
              <w:rPr>
                <w:rStyle w:val="Hyperlink"/>
                <w:noProof/>
              </w:rPr>
              <w:t>Notes to the Core Financial Statements</w:t>
            </w:r>
            <w:r>
              <w:rPr>
                <w:noProof/>
                <w:webHidden/>
              </w:rPr>
              <w:tab/>
            </w:r>
            <w:r>
              <w:rPr>
                <w:noProof/>
                <w:webHidden/>
              </w:rPr>
              <w:fldChar w:fldCharType="begin"/>
            </w:r>
            <w:r>
              <w:rPr>
                <w:noProof/>
                <w:webHidden/>
              </w:rPr>
              <w:instrText xml:space="preserve"> PAGEREF _Toc233717518 \h </w:instrText>
            </w:r>
            <w:r>
              <w:rPr>
                <w:noProof/>
                <w:webHidden/>
              </w:rPr>
            </w:r>
            <w:r>
              <w:rPr>
                <w:noProof/>
                <w:webHidden/>
              </w:rPr>
              <w:fldChar w:fldCharType="separate"/>
            </w:r>
            <w:r>
              <w:rPr>
                <w:noProof/>
                <w:webHidden/>
              </w:rPr>
              <w:t>27</w:t>
            </w:r>
            <w:r>
              <w:rPr>
                <w:noProof/>
                <w:webHidden/>
              </w:rPr>
              <w:fldChar w:fldCharType="end"/>
            </w:r>
          </w:hyperlink>
        </w:p>
        <w:p w14:paraId="5540E7E3" w14:textId="5554B69D"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19" w:history="1">
            <w:r w:rsidRPr="008B3CF9">
              <w:rPr>
                <w:rStyle w:val="Hyperlink"/>
                <w:noProof/>
              </w:rPr>
              <w:t>1</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Expenditure and Funding Analysis</w:t>
            </w:r>
            <w:r>
              <w:rPr>
                <w:noProof/>
                <w:webHidden/>
              </w:rPr>
              <w:tab/>
            </w:r>
            <w:r>
              <w:rPr>
                <w:noProof/>
                <w:webHidden/>
              </w:rPr>
              <w:fldChar w:fldCharType="begin"/>
            </w:r>
            <w:r>
              <w:rPr>
                <w:noProof/>
                <w:webHidden/>
              </w:rPr>
              <w:instrText xml:space="preserve"> PAGEREF _Toc233717519 \h </w:instrText>
            </w:r>
            <w:r>
              <w:rPr>
                <w:noProof/>
                <w:webHidden/>
              </w:rPr>
            </w:r>
            <w:r>
              <w:rPr>
                <w:noProof/>
                <w:webHidden/>
              </w:rPr>
              <w:fldChar w:fldCharType="separate"/>
            </w:r>
            <w:r>
              <w:rPr>
                <w:noProof/>
                <w:webHidden/>
              </w:rPr>
              <w:t>27</w:t>
            </w:r>
            <w:r>
              <w:rPr>
                <w:noProof/>
                <w:webHidden/>
              </w:rPr>
              <w:fldChar w:fldCharType="end"/>
            </w:r>
          </w:hyperlink>
        </w:p>
        <w:p w14:paraId="360CCB67" w14:textId="33BC6F92"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20" w:history="1">
            <w:r w:rsidRPr="008B3CF9">
              <w:rPr>
                <w:rStyle w:val="Hyperlink"/>
                <w:noProof/>
              </w:rPr>
              <w:t>1a</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Note to the Expenditure and Funding Analysis</w:t>
            </w:r>
            <w:r>
              <w:rPr>
                <w:noProof/>
                <w:webHidden/>
              </w:rPr>
              <w:tab/>
            </w:r>
            <w:r>
              <w:rPr>
                <w:noProof/>
                <w:webHidden/>
              </w:rPr>
              <w:fldChar w:fldCharType="begin"/>
            </w:r>
            <w:r>
              <w:rPr>
                <w:noProof/>
                <w:webHidden/>
              </w:rPr>
              <w:instrText xml:space="preserve"> PAGEREF _Toc233717520 \h </w:instrText>
            </w:r>
            <w:r>
              <w:rPr>
                <w:noProof/>
                <w:webHidden/>
              </w:rPr>
            </w:r>
            <w:r>
              <w:rPr>
                <w:noProof/>
                <w:webHidden/>
              </w:rPr>
              <w:fldChar w:fldCharType="separate"/>
            </w:r>
            <w:r>
              <w:rPr>
                <w:noProof/>
                <w:webHidden/>
              </w:rPr>
              <w:t>29</w:t>
            </w:r>
            <w:r>
              <w:rPr>
                <w:noProof/>
                <w:webHidden/>
              </w:rPr>
              <w:fldChar w:fldCharType="end"/>
            </w:r>
          </w:hyperlink>
        </w:p>
        <w:p w14:paraId="23E40364" w14:textId="2B4E6DEC"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1" w:history="1">
            <w:r w:rsidRPr="008B3CF9">
              <w:rPr>
                <w:rStyle w:val="Hyperlink"/>
                <w:noProof/>
              </w:rPr>
              <w:t>2</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Fire Authority Costs</w:t>
            </w:r>
            <w:r>
              <w:rPr>
                <w:noProof/>
                <w:webHidden/>
              </w:rPr>
              <w:tab/>
            </w:r>
            <w:r>
              <w:rPr>
                <w:noProof/>
                <w:webHidden/>
              </w:rPr>
              <w:fldChar w:fldCharType="begin"/>
            </w:r>
            <w:r>
              <w:rPr>
                <w:noProof/>
                <w:webHidden/>
              </w:rPr>
              <w:instrText xml:space="preserve"> PAGEREF _Toc233717521 \h </w:instrText>
            </w:r>
            <w:r>
              <w:rPr>
                <w:noProof/>
                <w:webHidden/>
              </w:rPr>
            </w:r>
            <w:r>
              <w:rPr>
                <w:noProof/>
                <w:webHidden/>
              </w:rPr>
              <w:fldChar w:fldCharType="separate"/>
            </w:r>
            <w:r>
              <w:rPr>
                <w:noProof/>
                <w:webHidden/>
              </w:rPr>
              <w:t>31</w:t>
            </w:r>
            <w:r>
              <w:rPr>
                <w:noProof/>
                <w:webHidden/>
              </w:rPr>
              <w:fldChar w:fldCharType="end"/>
            </w:r>
          </w:hyperlink>
        </w:p>
        <w:p w14:paraId="7D62C60D" w14:textId="5B4566F2"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2" w:history="1">
            <w:r w:rsidRPr="008B3CF9">
              <w:rPr>
                <w:rStyle w:val="Hyperlink"/>
                <w:noProof/>
              </w:rPr>
              <w:t>3</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Employees Emoluments</w:t>
            </w:r>
            <w:r>
              <w:rPr>
                <w:noProof/>
                <w:webHidden/>
              </w:rPr>
              <w:tab/>
            </w:r>
            <w:r>
              <w:rPr>
                <w:noProof/>
                <w:webHidden/>
              </w:rPr>
              <w:fldChar w:fldCharType="begin"/>
            </w:r>
            <w:r>
              <w:rPr>
                <w:noProof/>
                <w:webHidden/>
              </w:rPr>
              <w:instrText xml:space="preserve"> PAGEREF _Toc233717522 \h </w:instrText>
            </w:r>
            <w:r>
              <w:rPr>
                <w:noProof/>
                <w:webHidden/>
              </w:rPr>
            </w:r>
            <w:r>
              <w:rPr>
                <w:noProof/>
                <w:webHidden/>
              </w:rPr>
              <w:fldChar w:fldCharType="separate"/>
            </w:r>
            <w:r>
              <w:rPr>
                <w:noProof/>
                <w:webHidden/>
              </w:rPr>
              <w:t>31</w:t>
            </w:r>
            <w:r>
              <w:rPr>
                <w:noProof/>
                <w:webHidden/>
              </w:rPr>
              <w:fldChar w:fldCharType="end"/>
            </w:r>
          </w:hyperlink>
        </w:p>
        <w:p w14:paraId="5154DFCD" w14:textId="4ABAA781"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3" w:history="1">
            <w:r w:rsidRPr="008B3CF9">
              <w:rPr>
                <w:rStyle w:val="Hyperlink"/>
                <w:noProof/>
              </w:rPr>
              <w:t>4</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External Auditors Fees</w:t>
            </w:r>
            <w:r>
              <w:rPr>
                <w:noProof/>
                <w:webHidden/>
              </w:rPr>
              <w:tab/>
            </w:r>
            <w:r>
              <w:rPr>
                <w:noProof/>
                <w:webHidden/>
              </w:rPr>
              <w:fldChar w:fldCharType="begin"/>
            </w:r>
            <w:r>
              <w:rPr>
                <w:noProof/>
                <w:webHidden/>
              </w:rPr>
              <w:instrText xml:space="preserve"> PAGEREF _Toc233717523 \h </w:instrText>
            </w:r>
            <w:r>
              <w:rPr>
                <w:noProof/>
                <w:webHidden/>
              </w:rPr>
            </w:r>
            <w:r>
              <w:rPr>
                <w:noProof/>
                <w:webHidden/>
              </w:rPr>
              <w:fldChar w:fldCharType="separate"/>
            </w:r>
            <w:r>
              <w:rPr>
                <w:noProof/>
                <w:webHidden/>
              </w:rPr>
              <w:t>34</w:t>
            </w:r>
            <w:r>
              <w:rPr>
                <w:noProof/>
                <w:webHidden/>
              </w:rPr>
              <w:fldChar w:fldCharType="end"/>
            </w:r>
          </w:hyperlink>
        </w:p>
        <w:p w14:paraId="401A97B6" w14:textId="4DF7F1E9"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4" w:history="1">
            <w:r w:rsidRPr="008B3CF9">
              <w:rPr>
                <w:rStyle w:val="Hyperlink"/>
                <w:noProof/>
              </w:rPr>
              <w:t>5</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Related Parties Transactions</w:t>
            </w:r>
            <w:r>
              <w:rPr>
                <w:noProof/>
                <w:webHidden/>
              </w:rPr>
              <w:tab/>
            </w:r>
            <w:r>
              <w:rPr>
                <w:noProof/>
                <w:webHidden/>
              </w:rPr>
              <w:fldChar w:fldCharType="begin"/>
            </w:r>
            <w:r>
              <w:rPr>
                <w:noProof/>
                <w:webHidden/>
              </w:rPr>
              <w:instrText xml:space="preserve"> PAGEREF _Toc233717524 \h </w:instrText>
            </w:r>
            <w:r>
              <w:rPr>
                <w:noProof/>
                <w:webHidden/>
              </w:rPr>
            </w:r>
            <w:r>
              <w:rPr>
                <w:noProof/>
                <w:webHidden/>
              </w:rPr>
              <w:fldChar w:fldCharType="separate"/>
            </w:r>
            <w:r>
              <w:rPr>
                <w:noProof/>
                <w:webHidden/>
              </w:rPr>
              <w:t>34</w:t>
            </w:r>
            <w:r>
              <w:rPr>
                <w:noProof/>
                <w:webHidden/>
              </w:rPr>
              <w:fldChar w:fldCharType="end"/>
            </w:r>
          </w:hyperlink>
        </w:p>
        <w:p w14:paraId="573AEB98" w14:textId="2516E023"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5" w:history="1">
            <w:r w:rsidRPr="008B3CF9">
              <w:rPr>
                <w:rStyle w:val="Hyperlink"/>
                <w:noProof/>
              </w:rPr>
              <w:t>6</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Property, Plant &amp; Equipment</w:t>
            </w:r>
            <w:r>
              <w:rPr>
                <w:noProof/>
                <w:webHidden/>
              </w:rPr>
              <w:tab/>
            </w:r>
            <w:r>
              <w:rPr>
                <w:noProof/>
                <w:webHidden/>
              </w:rPr>
              <w:fldChar w:fldCharType="begin"/>
            </w:r>
            <w:r>
              <w:rPr>
                <w:noProof/>
                <w:webHidden/>
              </w:rPr>
              <w:instrText xml:space="preserve"> PAGEREF _Toc233717525 \h </w:instrText>
            </w:r>
            <w:r>
              <w:rPr>
                <w:noProof/>
                <w:webHidden/>
              </w:rPr>
            </w:r>
            <w:r>
              <w:rPr>
                <w:noProof/>
                <w:webHidden/>
              </w:rPr>
              <w:fldChar w:fldCharType="separate"/>
            </w:r>
            <w:r>
              <w:rPr>
                <w:noProof/>
                <w:webHidden/>
              </w:rPr>
              <w:t>35</w:t>
            </w:r>
            <w:r>
              <w:rPr>
                <w:noProof/>
                <w:webHidden/>
              </w:rPr>
              <w:fldChar w:fldCharType="end"/>
            </w:r>
          </w:hyperlink>
        </w:p>
        <w:p w14:paraId="0A6D1531" w14:textId="3E959F8F"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6" w:history="1">
            <w:r w:rsidRPr="008B3CF9">
              <w:rPr>
                <w:rStyle w:val="Hyperlink"/>
                <w:noProof/>
              </w:rPr>
              <w:t>7</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Intangible Assets</w:t>
            </w:r>
            <w:r>
              <w:rPr>
                <w:noProof/>
                <w:webHidden/>
              </w:rPr>
              <w:tab/>
            </w:r>
            <w:r>
              <w:rPr>
                <w:noProof/>
                <w:webHidden/>
              </w:rPr>
              <w:fldChar w:fldCharType="begin"/>
            </w:r>
            <w:r>
              <w:rPr>
                <w:noProof/>
                <w:webHidden/>
              </w:rPr>
              <w:instrText xml:space="preserve"> PAGEREF _Toc233717526 \h </w:instrText>
            </w:r>
            <w:r>
              <w:rPr>
                <w:noProof/>
                <w:webHidden/>
              </w:rPr>
            </w:r>
            <w:r>
              <w:rPr>
                <w:noProof/>
                <w:webHidden/>
              </w:rPr>
              <w:fldChar w:fldCharType="separate"/>
            </w:r>
            <w:r>
              <w:rPr>
                <w:noProof/>
                <w:webHidden/>
              </w:rPr>
              <w:t>41</w:t>
            </w:r>
            <w:r>
              <w:rPr>
                <w:noProof/>
                <w:webHidden/>
              </w:rPr>
              <w:fldChar w:fldCharType="end"/>
            </w:r>
          </w:hyperlink>
        </w:p>
        <w:p w14:paraId="15D2ACA7" w14:textId="44D55DC9"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7" w:history="1">
            <w:r w:rsidRPr="008B3CF9">
              <w:rPr>
                <w:rStyle w:val="Hyperlink"/>
                <w:noProof/>
              </w:rPr>
              <w:t>8</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Financial Instruments</w:t>
            </w:r>
            <w:r>
              <w:rPr>
                <w:noProof/>
                <w:webHidden/>
              </w:rPr>
              <w:tab/>
            </w:r>
            <w:r>
              <w:rPr>
                <w:noProof/>
                <w:webHidden/>
              </w:rPr>
              <w:fldChar w:fldCharType="begin"/>
            </w:r>
            <w:r>
              <w:rPr>
                <w:noProof/>
                <w:webHidden/>
              </w:rPr>
              <w:instrText xml:space="preserve"> PAGEREF _Toc233717527 \h </w:instrText>
            </w:r>
            <w:r>
              <w:rPr>
                <w:noProof/>
                <w:webHidden/>
              </w:rPr>
            </w:r>
            <w:r>
              <w:rPr>
                <w:noProof/>
                <w:webHidden/>
              </w:rPr>
              <w:fldChar w:fldCharType="separate"/>
            </w:r>
            <w:r>
              <w:rPr>
                <w:noProof/>
                <w:webHidden/>
              </w:rPr>
              <w:t>42</w:t>
            </w:r>
            <w:r>
              <w:rPr>
                <w:noProof/>
                <w:webHidden/>
              </w:rPr>
              <w:fldChar w:fldCharType="end"/>
            </w:r>
          </w:hyperlink>
        </w:p>
        <w:p w14:paraId="4E3650D1" w14:textId="4BE347F6" w:rsidR="00E50D2A" w:rsidRDefault="00E50D2A">
          <w:pPr>
            <w:pStyle w:val="TOC2"/>
            <w:tabs>
              <w:tab w:val="left" w:pos="720"/>
              <w:tab w:val="right" w:leader="dot" w:pos="9017"/>
            </w:tabs>
            <w:rPr>
              <w:rFonts w:asciiTheme="minorHAnsi" w:eastAsiaTheme="minorEastAsia" w:hAnsiTheme="minorHAnsi" w:cstheme="minorBidi"/>
              <w:noProof/>
              <w:kern w:val="2"/>
              <w:szCs w:val="24"/>
              <w:lang w:eastAsia="en-GB"/>
              <w14:ligatures w14:val="standardContextual"/>
            </w:rPr>
          </w:pPr>
          <w:hyperlink w:anchor="_Toc233717528" w:history="1">
            <w:r w:rsidRPr="008B3CF9">
              <w:rPr>
                <w:rStyle w:val="Hyperlink"/>
                <w:noProof/>
              </w:rPr>
              <w:t>9</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Debtors</w:t>
            </w:r>
            <w:r>
              <w:rPr>
                <w:noProof/>
                <w:webHidden/>
              </w:rPr>
              <w:tab/>
            </w:r>
            <w:r>
              <w:rPr>
                <w:noProof/>
                <w:webHidden/>
              </w:rPr>
              <w:fldChar w:fldCharType="begin"/>
            </w:r>
            <w:r>
              <w:rPr>
                <w:noProof/>
                <w:webHidden/>
              </w:rPr>
              <w:instrText xml:space="preserve"> PAGEREF _Toc233717528 \h </w:instrText>
            </w:r>
            <w:r>
              <w:rPr>
                <w:noProof/>
                <w:webHidden/>
              </w:rPr>
            </w:r>
            <w:r>
              <w:rPr>
                <w:noProof/>
                <w:webHidden/>
              </w:rPr>
              <w:fldChar w:fldCharType="separate"/>
            </w:r>
            <w:r>
              <w:rPr>
                <w:noProof/>
                <w:webHidden/>
              </w:rPr>
              <w:t>44</w:t>
            </w:r>
            <w:r>
              <w:rPr>
                <w:noProof/>
                <w:webHidden/>
              </w:rPr>
              <w:fldChar w:fldCharType="end"/>
            </w:r>
          </w:hyperlink>
        </w:p>
        <w:p w14:paraId="14C74D14" w14:textId="3577109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29" w:history="1">
            <w:r w:rsidRPr="008B3CF9">
              <w:rPr>
                <w:rStyle w:val="Hyperlink"/>
                <w:noProof/>
              </w:rPr>
              <w:t>10</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Cash &amp; Cash Equivalents</w:t>
            </w:r>
            <w:r>
              <w:rPr>
                <w:noProof/>
                <w:webHidden/>
              </w:rPr>
              <w:tab/>
            </w:r>
            <w:r>
              <w:rPr>
                <w:noProof/>
                <w:webHidden/>
              </w:rPr>
              <w:fldChar w:fldCharType="begin"/>
            </w:r>
            <w:r>
              <w:rPr>
                <w:noProof/>
                <w:webHidden/>
              </w:rPr>
              <w:instrText xml:space="preserve"> PAGEREF _Toc233717529 \h </w:instrText>
            </w:r>
            <w:r>
              <w:rPr>
                <w:noProof/>
                <w:webHidden/>
              </w:rPr>
            </w:r>
            <w:r>
              <w:rPr>
                <w:noProof/>
                <w:webHidden/>
              </w:rPr>
              <w:fldChar w:fldCharType="separate"/>
            </w:r>
            <w:r>
              <w:rPr>
                <w:noProof/>
                <w:webHidden/>
              </w:rPr>
              <w:t>44</w:t>
            </w:r>
            <w:r>
              <w:rPr>
                <w:noProof/>
                <w:webHidden/>
              </w:rPr>
              <w:fldChar w:fldCharType="end"/>
            </w:r>
          </w:hyperlink>
        </w:p>
        <w:p w14:paraId="3CE4A200" w14:textId="02C48FD2"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0" w:history="1">
            <w:r w:rsidRPr="008B3CF9">
              <w:rPr>
                <w:rStyle w:val="Hyperlink"/>
                <w:noProof/>
              </w:rPr>
              <w:t>11</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Creditors</w:t>
            </w:r>
            <w:r>
              <w:rPr>
                <w:noProof/>
                <w:webHidden/>
              </w:rPr>
              <w:tab/>
            </w:r>
            <w:r>
              <w:rPr>
                <w:noProof/>
                <w:webHidden/>
              </w:rPr>
              <w:fldChar w:fldCharType="begin"/>
            </w:r>
            <w:r>
              <w:rPr>
                <w:noProof/>
                <w:webHidden/>
              </w:rPr>
              <w:instrText xml:space="preserve"> PAGEREF _Toc233717530 \h </w:instrText>
            </w:r>
            <w:r>
              <w:rPr>
                <w:noProof/>
                <w:webHidden/>
              </w:rPr>
            </w:r>
            <w:r>
              <w:rPr>
                <w:noProof/>
                <w:webHidden/>
              </w:rPr>
              <w:fldChar w:fldCharType="separate"/>
            </w:r>
            <w:r>
              <w:rPr>
                <w:noProof/>
                <w:webHidden/>
              </w:rPr>
              <w:t>45</w:t>
            </w:r>
            <w:r>
              <w:rPr>
                <w:noProof/>
                <w:webHidden/>
              </w:rPr>
              <w:fldChar w:fldCharType="end"/>
            </w:r>
          </w:hyperlink>
        </w:p>
        <w:p w14:paraId="2A27BA82" w14:textId="011DB24C"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1" w:history="1">
            <w:r w:rsidRPr="008B3CF9">
              <w:rPr>
                <w:rStyle w:val="Hyperlink"/>
                <w:noProof/>
              </w:rPr>
              <w:t>12</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Grants Received in Advance</w:t>
            </w:r>
            <w:r>
              <w:rPr>
                <w:noProof/>
                <w:webHidden/>
              </w:rPr>
              <w:tab/>
            </w:r>
            <w:r>
              <w:rPr>
                <w:noProof/>
                <w:webHidden/>
              </w:rPr>
              <w:fldChar w:fldCharType="begin"/>
            </w:r>
            <w:r>
              <w:rPr>
                <w:noProof/>
                <w:webHidden/>
              </w:rPr>
              <w:instrText xml:space="preserve"> PAGEREF _Toc233717531 \h </w:instrText>
            </w:r>
            <w:r>
              <w:rPr>
                <w:noProof/>
                <w:webHidden/>
              </w:rPr>
            </w:r>
            <w:r>
              <w:rPr>
                <w:noProof/>
                <w:webHidden/>
              </w:rPr>
              <w:fldChar w:fldCharType="separate"/>
            </w:r>
            <w:r>
              <w:rPr>
                <w:noProof/>
                <w:webHidden/>
              </w:rPr>
              <w:t>45</w:t>
            </w:r>
            <w:r>
              <w:rPr>
                <w:noProof/>
                <w:webHidden/>
              </w:rPr>
              <w:fldChar w:fldCharType="end"/>
            </w:r>
          </w:hyperlink>
        </w:p>
        <w:p w14:paraId="512AE544" w14:textId="230902BE"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2" w:history="1">
            <w:r w:rsidRPr="008B3CF9">
              <w:rPr>
                <w:rStyle w:val="Hyperlink"/>
                <w:noProof/>
              </w:rPr>
              <w:t>13</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Provisions</w:t>
            </w:r>
            <w:r>
              <w:rPr>
                <w:noProof/>
                <w:webHidden/>
              </w:rPr>
              <w:tab/>
            </w:r>
            <w:r>
              <w:rPr>
                <w:noProof/>
                <w:webHidden/>
              </w:rPr>
              <w:fldChar w:fldCharType="begin"/>
            </w:r>
            <w:r>
              <w:rPr>
                <w:noProof/>
                <w:webHidden/>
              </w:rPr>
              <w:instrText xml:space="preserve"> PAGEREF _Toc233717532 \h </w:instrText>
            </w:r>
            <w:r>
              <w:rPr>
                <w:noProof/>
                <w:webHidden/>
              </w:rPr>
            </w:r>
            <w:r>
              <w:rPr>
                <w:noProof/>
                <w:webHidden/>
              </w:rPr>
              <w:fldChar w:fldCharType="separate"/>
            </w:r>
            <w:r>
              <w:rPr>
                <w:noProof/>
                <w:webHidden/>
              </w:rPr>
              <w:t>45</w:t>
            </w:r>
            <w:r>
              <w:rPr>
                <w:noProof/>
                <w:webHidden/>
              </w:rPr>
              <w:fldChar w:fldCharType="end"/>
            </w:r>
          </w:hyperlink>
        </w:p>
        <w:p w14:paraId="75AA4BF3" w14:textId="3E90B27F"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3" w:history="1">
            <w:r w:rsidRPr="008B3CF9">
              <w:rPr>
                <w:rStyle w:val="Hyperlink"/>
                <w:noProof/>
              </w:rPr>
              <w:t>14</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Other Long-Term Liabilities</w:t>
            </w:r>
            <w:r>
              <w:rPr>
                <w:noProof/>
                <w:webHidden/>
              </w:rPr>
              <w:tab/>
            </w:r>
            <w:r>
              <w:rPr>
                <w:noProof/>
                <w:webHidden/>
              </w:rPr>
              <w:fldChar w:fldCharType="begin"/>
            </w:r>
            <w:r>
              <w:rPr>
                <w:noProof/>
                <w:webHidden/>
              </w:rPr>
              <w:instrText xml:space="preserve"> PAGEREF _Toc233717533 \h </w:instrText>
            </w:r>
            <w:r>
              <w:rPr>
                <w:noProof/>
                <w:webHidden/>
              </w:rPr>
            </w:r>
            <w:r>
              <w:rPr>
                <w:noProof/>
                <w:webHidden/>
              </w:rPr>
              <w:fldChar w:fldCharType="separate"/>
            </w:r>
            <w:r>
              <w:rPr>
                <w:noProof/>
                <w:webHidden/>
              </w:rPr>
              <w:t>46</w:t>
            </w:r>
            <w:r>
              <w:rPr>
                <w:noProof/>
                <w:webHidden/>
              </w:rPr>
              <w:fldChar w:fldCharType="end"/>
            </w:r>
          </w:hyperlink>
        </w:p>
        <w:p w14:paraId="213098D9" w14:textId="7232C77D"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4" w:history="1">
            <w:r w:rsidRPr="008B3CF9">
              <w:rPr>
                <w:rStyle w:val="Hyperlink"/>
                <w:noProof/>
              </w:rPr>
              <w:t>15</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PFI Schemes</w:t>
            </w:r>
            <w:r>
              <w:rPr>
                <w:noProof/>
                <w:webHidden/>
              </w:rPr>
              <w:tab/>
            </w:r>
            <w:r>
              <w:rPr>
                <w:noProof/>
                <w:webHidden/>
              </w:rPr>
              <w:fldChar w:fldCharType="begin"/>
            </w:r>
            <w:r>
              <w:rPr>
                <w:noProof/>
                <w:webHidden/>
              </w:rPr>
              <w:instrText xml:space="preserve"> PAGEREF _Toc233717534 \h </w:instrText>
            </w:r>
            <w:r>
              <w:rPr>
                <w:noProof/>
                <w:webHidden/>
              </w:rPr>
            </w:r>
            <w:r>
              <w:rPr>
                <w:noProof/>
                <w:webHidden/>
              </w:rPr>
              <w:fldChar w:fldCharType="separate"/>
            </w:r>
            <w:r>
              <w:rPr>
                <w:noProof/>
                <w:webHidden/>
              </w:rPr>
              <w:t>46</w:t>
            </w:r>
            <w:r>
              <w:rPr>
                <w:noProof/>
                <w:webHidden/>
              </w:rPr>
              <w:fldChar w:fldCharType="end"/>
            </w:r>
          </w:hyperlink>
        </w:p>
        <w:p w14:paraId="60648224" w14:textId="1EEE85D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5" w:history="1">
            <w:r w:rsidRPr="008B3CF9">
              <w:rPr>
                <w:rStyle w:val="Hyperlink"/>
                <w:noProof/>
              </w:rPr>
              <w:t>16</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Local Government and Firefighters’ Pensions Schemes</w:t>
            </w:r>
            <w:r>
              <w:rPr>
                <w:noProof/>
                <w:webHidden/>
              </w:rPr>
              <w:tab/>
            </w:r>
            <w:r>
              <w:rPr>
                <w:noProof/>
                <w:webHidden/>
              </w:rPr>
              <w:fldChar w:fldCharType="begin"/>
            </w:r>
            <w:r>
              <w:rPr>
                <w:noProof/>
                <w:webHidden/>
              </w:rPr>
              <w:instrText xml:space="preserve"> PAGEREF _Toc233717535 \h </w:instrText>
            </w:r>
            <w:r>
              <w:rPr>
                <w:noProof/>
                <w:webHidden/>
              </w:rPr>
            </w:r>
            <w:r>
              <w:rPr>
                <w:noProof/>
                <w:webHidden/>
              </w:rPr>
              <w:fldChar w:fldCharType="separate"/>
            </w:r>
            <w:r>
              <w:rPr>
                <w:noProof/>
                <w:webHidden/>
              </w:rPr>
              <w:t>48</w:t>
            </w:r>
            <w:r>
              <w:rPr>
                <w:noProof/>
                <w:webHidden/>
              </w:rPr>
              <w:fldChar w:fldCharType="end"/>
            </w:r>
          </w:hyperlink>
        </w:p>
        <w:p w14:paraId="0AE17998" w14:textId="0AC78D58"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6" w:history="1">
            <w:r w:rsidRPr="008B3CF9">
              <w:rPr>
                <w:rStyle w:val="Hyperlink"/>
                <w:noProof/>
              </w:rPr>
              <w:t>17</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Usable Reserves</w:t>
            </w:r>
            <w:r>
              <w:rPr>
                <w:noProof/>
                <w:webHidden/>
              </w:rPr>
              <w:tab/>
            </w:r>
            <w:r>
              <w:rPr>
                <w:noProof/>
                <w:webHidden/>
              </w:rPr>
              <w:fldChar w:fldCharType="begin"/>
            </w:r>
            <w:r>
              <w:rPr>
                <w:noProof/>
                <w:webHidden/>
              </w:rPr>
              <w:instrText xml:space="preserve"> PAGEREF _Toc233717536 \h </w:instrText>
            </w:r>
            <w:r>
              <w:rPr>
                <w:noProof/>
                <w:webHidden/>
              </w:rPr>
            </w:r>
            <w:r>
              <w:rPr>
                <w:noProof/>
                <w:webHidden/>
              </w:rPr>
              <w:fldChar w:fldCharType="separate"/>
            </w:r>
            <w:r>
              <w:rPr>
                <w:noProof/>
                <w:webHidden/>
              </w:rPr>
              <w:t>54</w:t>
            </w:r>
            <w:r>
              <w:rPr>
                <w:noProof/>
                <w:webHidden/>
              </w:rPr>
              <w:fldChar w:fldCharType="end"/>
            </w:r>
          </w:hyperlink>
        </w:p>
        <w:p w14:paraId="07027FE2" w14:textId="491D8627"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7" w:history="1">
            <w:r w:rsidRPr="008B3CF9">
              <w:rPr>
                <w:rStyle w:val="Hyperlink"/>
                <w:noProof/>
              </w:rPr>
              <w:t>18</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Transfers (to) or from Earmarked Reserves</w:t>
            </w:r>
            <w:r>
              <w:rPr>
                <w:noProof/>
                <w:webHidden/>
              </w:rPr>
              <w:tab/>
            </w:r>
            <w:r>
              <w:rPr>
                <w:noProof/>
                <w:webHidden/>
              </w:rPr>
              <w:fldChar w:fldCharType="begin"/>
            </w:r>
            <w:r>
              <w:rPr>
                <w:noProof/>
                <w:webHidden/>
              </w:rPr>
              <w:instrText xml:space="preserve"> PAGEREF _Toc233717537 \h </w:instrText>
            </w:r>
            <w:r>
              <w:rPr>
                <w:noProof/>
                <w:webHidden/>
              </w:rPr>
            </w:r>
            <w:r>
              <w:rPr>
                <w:noProof/>
                <w:webHidden/>
              </w:rPr>
              <w:fldChar w:fldCharType="separate"/>
            </w:r>
            <w:r>
              <w:rPr>
                <w:noProof/>
                <w:webHidden/>
              </w:rPr>
              <w:t>55</w:t>
            </w:r>
            <w:r>
              <w:rPr>
                <w:noProof/>
                <w:webHidden/>
              </w:rPr>
              <w:fldChar w:fldCharType="end"/>
            </w:r>
          </w:hyperlink>
        </w:p>
        <w:p w14:paraId="05F0B568" w14:textId="66CA2E1A"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8" w:history="1">
            <w:r w:rsidRPr="008B3CF9">
              <w:rPr>
                <w:rStyle w:val="Hyperlink"/>
                <w:noProof/>
              </w:rPr>
              <w:t>19</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Unusable Reserves</w:t>
            </w:r>
            <w:r>
              <w:rPr>
                <w:noProof/>
                <w:webHidden/>
              </w:rPr>
              <w:tab/>
            </w:r>
            <w:r>
              <w:rPr>
                <w:noProof/>
                <w:webHidden/>
              </w:rPr>
              <w:fldChar w:fldCharType="begin"/>
            </w:r>
            <w:r>
              <w:rPr>
                <w:noProof/>
                <w:webHidden/>
              </w:rPr>
              <w:instrText xml:space="preserve"> PAGEREF _Toc233717538 \h </w:instrText>
            </w:r>
            <w:r>
              <w:rPr>
                <w:noProof/>
                <w:webHidden/>
              </w:rPr>
            </w:r>
            <w:r>
              <w:rPr>
                <w:noProof/>
                <w:webHidden/>
              </w:rPr>
              <w:fldChar w:fldCharType="separate"/>
            </w:r>
            <w:r>
              <w:rPr>
                <w:noProof/>
                <w:webHidden/>
              </w:rPr>
              <w:t>56</w:t>
            </w:r>
            <w:r>
              <w:rPr>
                <w:noProof/>
                <w:webHidden/>
              </w:rPr>
              <w:fldChar w:fldCharType="end"/>
            </w:r>
          </w:hyperlink>
        </w:p>
        <w:p w14:paraId="7E6C0203" w14:textId="39D62530"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39" w:history="1">
            <w:r w:rsidRPr="008B3CF9">
              <w:rPr>
                <w:rStyle w:val="Hyperlink"/>
                <w:noProof/>
              </w:rPr>
              <w:t>20</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Contingent Liability</w:t>
            </w:r>
            <w:r>
              <w:rPr>
                <w:noProof/>
                <w:webHidden/>
              </w:rPr>
              <w:tab/>
            </w:r>
            <w:r>
              <w:rPr>
                <w:noProof/>
                <w:webHidden/>
              </w:rPr>
              <w:fldChar w:fldCharType="begin"/>
            </w:r>
            <w:r>
              <w:rPr>
                <w:noProof/>
                <w:webHidden/>
              </w:rPr>
              <w:instrText xml:space="preserve"> PAGEREF _Toc233717539 \h </w:instrText>
            </w:r>
            <w:r>
              <w:rPr>
                <w:noProof/>
                <w:webHidden/>
              </w:rPr>
            </w:r>
            <w:r>
              <w:rPr>
                <w:noProof/>
                <w:webHidden/>
              </w:rPr>
              <w:fldChar w:fldCharType="separate"/>
            </w:r>
            <w:r>
              <w:rPr>
                <w:noProof/>
                <w:webHidden/>
              </w:rPr>
              <w:t>59</w:t>
            </w:r>
            <w:r>
              <w:rPr>
                <w:noProof/>
                <w:webHidden/>
              </w:rPr>
              <w:fldChar w:fldCharType="end"/>
            </w:r>
          </w:hyperlink>
        </w:p>
        <w:p w14:paraId="109625E1" w14:textId="08DCFCD0"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0" w:history="1">
            <w:r w:rsidRPr="008B3CF9">
              <w:rPr>
                <w:rStyle w:val="Hyperlink"/>
                <w:noProof/>
              </w:rPr>
              <w:t>21</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Post Balance Sheet Events</w:t>
            </w:r>
            <w:r>
              <w:rPr>
                <w:noProof/>
                <w:webHidden/>
              </w:rPr>
              <w:tab/>
            </w:r>
            <w:r>
              <w:rPr>
                <w:noProof/>
                <w:webHidden/>
              </w:rPr>
              <w:fldChar w:fldCharType="begin"/>
            </w:r>
            <w:r>
              <w:rPr>
                <w:noProof/>
                <w:webHidden/>
              </w:rPr>
              <w:instrText xml:space="preserve"> PAGEREF _Toc233717540 \h </w:instrText>
            </w:r>
            <w:r>
              <w:rPr>
                <w:noProof/>
                <w:webHidden/>
              </w:rPr>
            </w:r>
            <w:r>
              <w:rPr>
                <w:noProof/>
                <w:webHidden/>
              </w:rPr>
              <w:fldChar w:fldCharType="separate"/>
            </w:r>
            <w:r>
              <w:rPr>
                <w:noProof/>
                <w:webHidden/>
              </w:rPr>
              <w:t>59</w:t>
            </w:r>
            <w:r>
              <w:rPr>
                <w:noProof/>
                <w:webHidden/>
              </w:rPr>
              <w:fldChar w:fldCharType="end"/>
            </w:r>
          </w:hyperlink>
        </w:p>
        <w:p w14:paraId="6B37D4B8" w14:textId="1D58684A"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1" w:history="1">
            <w:r w:rsidRPr="008B3CF9">
              <w:rPr>
                <w:rStyle w:val="Hyperlink"/>
                <w:noProof/>
              </w:rPr>
              <w:t>22</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Nature and Extent of Risks Arising from Financial Instruments</w:t>
            </w:r>
            <w:r>
              <w:rPr>
                <w:noProof/>
                <w:webHidden/>
              </w:rPr>
              <w:tab/>
            </w:r>
            <w:r>
              <w:rPr>
                <w:noProof/>
                <w:webHidden/>
              </w:rPr>
              <w:fldChar w:fldCharType="begin"/>
            </w:r>
            <w:r>
              <w:rPr>
                <w:noProof/>
                <w:webHidden/>
              </w:rPr>
              <w:instrText xml:space="preserve"> PAGEREF _Toc233717541 \h </w:instrText>
            </w:r>
            <w:r>
              <w:rPr>
                <w:noProof/>
                <w:webHidden/>
              </w:rPr>
            </w:r>
            <w:r>
              <w:rPr>
                <w:noProof/>
                <w:webHidden/>
              </w:rPr>
              <w:fldChar w:fldCharType="separate"/>
            </w:r>
            <w:r>
              <w:rPr>
                <w:noProof/>
                <w:webHidden/>
              </w:rPr>
              <w:t>59</w:t>
            </w:r>
            <w:r>
              <w:rPr>
                <w:noProof/>
                <w:webHidden/>
              </w:rPr>
              <w:fldChar w:fldCharType="end"/>
            </w:r>
          </w:hyperlink>
        </w:p>
        <w:p w14:paraId="57E88895" w14:textId="63CF8F5D"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2" w:history="1">
            <w:r w:rsidRPr="008B3CF9">
              <w:rPr>
                <w:rStyle w:val="Hyperlink"/>
                <w:noProof/>
                <w:lang w:val="en-US"/>
              </w:rPr>
              <w:t>23</w:t>
            </w:r>
            <w:r>
              <w:rPr>
                <w:rFonts w:asciiTheme="minorHAnsi" w:eastAsiaTheme="minorEastAsia" w:hAnsiTheme="minorHAnsi" w:cstheme="minorBidi"/>
                <w:noProof/>
                <w:kern w:val="2"/>
                <w:szCs w:val="24"/>
                <w:lang w:eastAsia="en-GB"/>
                <w14:ligatures w14:val="standardContextual"/>
              </w:rPr>
              <w:tab/>
            </w:r>
            <w:r w:rsidRPr="008B3CF9">
              <w:rPr>
                <w:rStyle w:val="Hyperlink"/>
                <w:noProof/>
                <w:lang w:val="en-US"/>
              </w:rPr>
              <w:t>Local Authority Controlled Company – NW FireControl Limited</w:t>
            </w:r>
            <w:r>
              <w:rPr>
                <w:noProof/>
                <w:webHidden/>
              </w:rPr>
              <w:tab/>
            </w:r>
            <w:r>
              <w:rPr>
                <w:noProof/>
                <w:webHidden/>
              </w:rPr>
              <w:fldChar w:fldCharType="begin"/>
            </w:r>
            <w:r>
              <w:rPr>
                <w:noProof/>
                <w:webHidden/>
              </w:rPr>
              <w:instrText xml:space="preserve"> PAGEREF _Toc233717542 \h </w:instrText>
            </w:r>
            <w:r>
              <w:rPr>
                <w:noProof/>
                <w:webHidden/>
              </w:rPr>
            </w:r>
            <w:r>
              <w:rPr>
                <w:noProof/>
                <w:webHidden/>
              </w:rPr>
              <w:fldChar w:fldCharType="separate"/>
            </w:r>
            <w:r>
              <w:rPr>
                <w:noProof/>
                <w:webHidden/>
              </w:rPr>
              <w:t>61</w:t>
            </w:r>
            <w:r>
              <w:rPr>
                <w:noProof/>
                <w:webHidden/>
              </w:rPr>
              <w:fldChar w:fldCharType="end"/>
            </w:r>
          </w:hyperlink>
        </w:p>
        <w:p w14:paraId="0ECCB225" w14:textId="3EA9997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3" w:history="1">
            <w:r w:rsidRPr="008B3CF9">
              <w:rPr>
                <w:rStyle w:val="Hyperlink"/>
                <w:noProof/>
              </w:rPr>
              <w:t>24</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Adjust Net surplus or (deficit) on the provision of services for non-cash movements</w:t>
            </w:r>
            <w:r>
              <w:rPr>
                <w:noProof/>
                <w:webHidden/>
              </w:rPr>
              <w:tab/>
            </w:r>
            <w:r>
              <w:rPr>
                <w:noProof/>
                <w:webHidden/>
              </w:rPr>
              <w:fldChar w:fldCharType="begin"/>
            </w:r>
            <w:r>
              <w:rPr>
                <w:noProof/>
                <w:webHidden/>
              </w:rPr>
              <w:instrText xml:space="preserve"> PAGEREF _Toc233717543 \h </w:instrText>
            </w:r>
            <w:r>
              <w:rPr>
                <w:noProof/>
                <w:webHidden/>
              </w:rPr>
            </w:r>
            <w:r>
              <w:rPr>
                <w:noProof/>
                <w:webHidden/>
              </w:rPr>
              <w:fldChar w:fldCharType="separate"/>
            </w:r>
            <w:r>
              <w:rPr>
                <w:noProof/>
                <w:webHidden/>
              </w:rPr>
              <w:t>63</w:t>
            </w:r>
            <w:r>
              <w:rPr>
                <w:noProof/>
                <w:webHidden/>
              </w:rPr>
              <w:fldChar w:fldCharType="end"/>
            </w:r>
          </w:hyperlink>
        </w:p>
        <w:p w14:paraId="5DDAEC23" w14:textId="0EC3EC7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4" w:history="1">
            <w:r w:rsidRPr="008B3CF9">
              <w:rPr>
                <w:rStyle w:val="Hyperlink"/>
                <w:noProof/>
              </w:rPr>
              <w:t>25</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Adjust for items included in the net surplus or (deficit) on the provision of services that are investing and financing activities</w:t>
            </w:r>
            <w:r>
              <w:rPr>
                <w:noProof/>
                <w:webHidden/>
              </w:rPr>
              <w:tab/>
            </w:r>
            <w:r>
              <w:rPr>
                <w:noProof/>
                <w:webHidden/>
              </w:rPr>
              <w:fldChar w:fldCharType="begin"/>
            </w:r>
            <w:r>
              <w:rPr>
                <w:noProof/>
                <w:webHidden/>
              </w:rPr>
              <w:instrText xml:space="preserve"> PAGEREF _Toc233717544 \h </w:instrText>
            </w:r>
            <w:r>
              <w:rPr>
                <w:noProof/>
                <w:webHidden/>
              </w:rPr>
            </w:r>
            <w:r>
              <w:rPr>
                <w:noProof/>
                <w:webHidden/>
              </w:rPr>
              <w:fldChar w:fldCharType="separate"/>
            </w:r>
            <w:r>
              <w:rPr>
                <w:noProof/>
                <w:webHidden/>
              </w:rPr>
              <w:t>63</w:t>
            </w:r>
            <w:r>
              <w:rPr>
                <w:noProof/>
                <w:webHidden/>
              </w:rPr>
              <w:fldChar w:fldCharType="end"/>
            </w:r>
          </w:hyperlink>
        </w:p>
        <w:p w14:paraId="32A1EB7C" w14:textId="4AF90E09"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5" w:history="1">
            <w:r w:rsidRPr="008B3CF9">
              <w:rPr>
                <w:rStyle w:val="Hyperlink"/>
                <w:noProof/>
              </w:rPr>
              <w:t>26</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Reconciliation of liabilities arising from financing activities</w:t>
            </w:r>
            <w:r>
              <w:rPr>
                <w:noProof/>
                <w:webHidden/>
              </w:rPr>
              <w:tab/>
            </w:r>
            <w:r>
              <w:rPr>
                <w:noProof/>
                <w:webHidden/>
              </w:rPr>
              <w:fldChar w:fldCharType="begin"/>
            </w:r>
            <w:r>
              <w:rPr>
                <w:noProof/>
                <w:webHidden/>
              </w:rPr>
              <w:instrText xml:space="preserve"> PAGEREF _Toc233717545 \h </w:instrText>
            </w:r>
            <w:r>
              <w:rPr>
                <w:noProof/>
                <w:webHidden/>
              </w:rPr>
            </w:r>
            <w:r>
              <w:rPr>
                <w:noProof/>
                <w:webHidden/>
              </w:rPr>
              <w:fldChar w:fldCharType="separate"/>
            </w:r>
            <w:r>
              <w:rPr>
                <w:noProof/>
                <w:webHidden/>
              </w:rPr>
              <w:t>63</w:t>
            </w:r>
            <w:r>
              <w:rPr>
                <w:noProof/>
                <w:webHidden/>
              </w:rPr>
              <w:fldChar w:fldCharType="end"/>
            </w:r>
          </w:hyperlink>
        </w:p>
        <w:p w14:paraId="08D3B5B0" w14:textId="380F9B78"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6" w:history="1">
            <w:r w:rsidRPr="008B3CF9">
              <w:rPr>
                <w:rStyle w:val="Hyperlink"/>
                <w:noProof/>
              </w:rPr>
              <w:t>27</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Assumptions made about the future and other major sources of estimation and uncertainty</w:t>
            </w:r>
            <w:r>
              <w:rPr>
                <w:noProof/>
                <w:webHidden/>
              </w:rPr>
              <w:tab/>
            </w:r>
            <w:r>
              <w:rPr>
                <w:noProof/>
                <w:webHidden/>
              </w:rPr>
              <w:fldChar w:fldCharType="begin"/>
            </w:r>
            <w:r>
              <w:rPr>
                <w:noProof/>
                <w:webHidden/>
              </w:rPr>
              <w:instrText xml:space="preserve"> PAGEREF _Toc233717546 \h </w:instrText>
            </w:r>
            <w:r>
              <w:rPr>
                <w:noProof/>
                <w:webHidden/>
              </w:rPr>
            </w:r>
            <w:r>
              <w:rPr>
                <w:noProof/>
                <w:webHidden/>
              </w:rPr>
              <w:fldChar w:fldCharType="separate"/>
            </w:r>
            <w:r>
              <w:rPr>
                <w:noProof/>
                <w:webHidden/>
              </w:rPr>
              <w:t>63</w:t>
            </w:r>
            <w:r>
              <w:rPr>
                <w:noProof/>
                <w:webHidden/>
              </w:rPr>
              <w:fldChar w:fldCharType="end"/>
            </w:r>
          </w:hyperlink>
        </w:p>
        <w:p w14:paraId="3CEDD8E9" w14:textId="347F6BF3"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7" w:history="1">
            <w:r w:rsidRPr="008B3CF9">
              <w:rPr>
                <w:rStyle w:val="Hyperlink"/>
                <w:noProof/>
              </w:rPr>
              <w:t>28</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Expenditure and Income Analysed by Nature</w:t>
            </w:r>
            <w:r>
              <w:rPr>
                <w:noProof/>
                <w:webHidden/>
              </w:rPr>
              <w:tab/>
            </w:r>
            <w:r>
              <w:rPr>
                <w:noProof/>
                <w:webHidden/>
              </w:rPr>
              <w:fldChar w:fldCharType="begin"/>
            </w:r>
            <w:r>
              <w:rPr>
                <w:noProof/>
                <w:webHidden/>
              </w:rPr>
              <w:instrText xml:space="preserve"> PAGEREF _Toc233717547 \h </w:instrText>
            </w:r>
            <w:r>
              <w:rPr>
                <w:noProof/>
                <w:webHidden/>
              </w:rPr>
            </w:r>
            <w:r>
              <w:rPr>
                <w:noProof/>
                <w:webHidden/>
              </w:rPr>
              <w:fldChar w:fldCharType="separate"/>
            </w:r>
            <w:r>
              <w:rPr>
                <w:noProof/>
                <w:webHidden/>
              </w:rPr>
              <w:t>65</w:t>
            </w:r>
            <w:r>
              <w:rPr>
                <w:noProof/>
                <w:webHidden/>
              </w:rPr>
              <w:fldChar w:fldCharType="end"/>
            </w:r>
          </w:hyperlink>
        </w:p>
        <w:p w14:paraId="0BA7306C" w14:textId="6A3E916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8" w:history="1">
            <w:r w:rsidRPr="008B3CF9">
              <w:rPr>
                <w:rStyle w:val="Hyperlink"/>
                <w:noProof/>
              </w:rPr>
              <w:t>29</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Significant Judgements</w:t>
            </w:r>
            <w:r>
              <w:rPr>
                <w:noProof/>
                <w:webHidden/>
              </w:rPr>
              <w:tab/>
            </w:r>
            <w:r>
              <w:rPr>
                <w:noProof/>
                <w:webHidden/>
              </w:rPr>
              <w:fldChar w:fldCharType="begin"/>
            </w:r>
            <w:r>
              <w:rPr>
                <w:noProof/>
                <w:webHidden/>
              </w:rPr>
              <w:instrText xml:space="preserve"> PAGEREF _Toc233717548 \h </w:instrText>
            </w:r>
            <w:r>
              <w:rPr>
                <w:noProof/>
                <w:webHidden/>
              </w:rPr>
            </w:r>
            <w:r>
              <w:rPr>
                <w:noProof/>
                <w:webHidden/>
              </w:rPr>
              <w:fldChar w:fldCharType="separate"/>
            </w:r>
            <w:r>
              <w:rPr>
                <w:noProof/>
                <w:webHidden/>
              </w:rPr>
              <w:t>65</w:t>
            </w:r>
            <w:r>
              <w:rPr>
                <w:noProof/>
                <w:webHidden/>
              </w:rPr>
              <w:fldChar w:fldCharType="end"/>
            </w:r>
          </w:hyperlink>
        </w:p>
        <w:p w14:paraId="27F9678B" w14:textId="6D808BC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49" w:history="1">
            <w:r w:rsidRPr="008B3CF9">
              <w:rPr>
                <w:rStyle w:val="Hyperlink"/>
                <w:noProof/>
              </w:rPr>
              <w:t>30</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Accounting Policies</w:t>
            </w:r>
            <w:r>
              <w:rPr>
                <w:noProof/>
                <w:webHidden/>
              </w:rPr>
              <w:tab/>
            </w:r>
            <w:r>
              <w:rPr>
                <w:noProof/>
                <w:webHidden/>
              </w:rPr>
              <w:fldChar w:fldCharType="begin"/>
            </w:r>
            <w:r>
              <w:rPr>
                <w:noProof/>
                <w:webHidden/>
              </w:rPr>
              <w:instrText xml:space="preserve"> PAGEREF _Toc233717549 \h </w:instrText>
            </w:r>
            <w:r>
              <w:rPr>
                <w:noProof/>
                <w:webHidden/>
              </w:rPr>
            </w:r>
            <w:r>
              <w:rPr>
                <w:noProof/>
                <w:webHidden/>
              </w:rPr>
              <w:fldChar w:fldCharType="separate"/>
            </w:r>
            <w:r>
              <w:rPr>
                <w:noProof/>
                <w:webHidden/>
              </w:rPr>
              <w:t>65</w:t>
            </w:r>
            <w:r>
              <w:rPr>
                <w:noProof/>
                <w:webHidden/>
              </w:rPr>
              <w:fldChar w:fldCharType="end"/>
            </w:r>
          </w:hyperlink>
        </w:p>
        <w:p w14:paraId="2605FDD7" w14:textId="6267A2F6" w:rsidR="00E50D2A" w:rsidRDefault="00E50D2A">
          <w:pPr>
            <w:pStyle w:val="TOC2"/>
            <w:tabs>
              <w:tab w:val="left" w:pos="960"/>
              <w:tab w:val="right" w:leader="dot" w:pos="9017"/>
            </w:tabs>
            <w:rPr>
              <w:rFonts w:asciiTheme="minorHAnsi" w:eastAsiaTheme="minorEastAsia" w:hAnsiTheme="minorHAnsi" w:cstheme="minorBidi"/>
              <w:noProof/>
              <w:kern w:val="2"/>
              <w:szCs w:val="24"/>
              <w:lang w:eastAsia="en-GB"/>
              <w14:ligatures w14:val="standardContextual"/>
            </w:rPr>
          </w:pPr>
          <w:hyperlink w:anchor="_Toc233717550" w:history="1">
            <w:r w:rsidRPr="008B3CF9">
              <w:rPr>
                <w:rStyle w:val="Hyperlink"/>
                <w:noProof/>
              </w:rPr>
              <w:t>31</w:t>
            </w:r>
            <w:r>
              <w:rPr>
                <w:rFonts w:asciiTheme="minorHAnsi" w:eastAsiaTheme="minorEastAsia" w:hAnsiTheme="minorHAnsi" w:cstheme="minorBidi"/>
                <w:noProof/>
                <w:kern w:val="2"/>
                <w:szCs w:val="24"/>
                <w:lang w:eastAsia="en-GB"/>
                <w14:ligatures w14:val="standardContextual"/>
              </w:rPr>
              <w:tab/>
            </w:r>
            <w:r w:rsidRPr="008B3CF9">
              <w:rPr>
                <w:rStyle w:val="Hyperlink"/>
                <w:noProof/>
              </w:rPr>
              <w:t>Prior Period Adjustments</w:t>
            </w:r>
            <w:r>
              <w:rPr>
                <w:noProof/>
                <w:webHidden/>
              </w:rPr>
              <w:tab/>
            </w:r>
            <w:r>
              <w:rPr>
                <w:noProof/>
                <w:webHidden/>
              </w:rPr>
              <w:fldChar w:fldCharType="begin"/>
            </w:r>
            <w:r>
              <w:rPr>
                <w:noProof/>
                <w:webHidden/>
              </w:rPr>
              <w:instrText xml:space="preserve"> PAGEREF _Toc233717550 \h </w:instrText>
            </w:r>
            <w:r>
              <w:rPr>
                <w:noProof/>
                <w:webHidden/>
              </w:rPr>
            </w:r>
            <w:r>
              <w:rPr>
                <w:noProof/>
                <w:webHidden/>
              </w:rPr>
              <w:fldChar w:fldCharType="separate"/>
            </w:r>
            <w:r>
              <w:rPr>
                <w:noProof/>
                <w:webHidden/>
              </w:rPr>
              <w:t>75</w:t>
            </w:r>
            <w:r>
              <w:rPr>
                <w:noProof/>
                <w:webHidden/>
              </w:rPr>
              <w:fldChar w:fldCharType="end"/>
            </w:r>
          </w:hyperlink>
        </w:p>
        <w:p w14:paraId="4EE7D960" w14:textId="050C447A"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51" w:history="1">
            <w:r w:rsidRPr="008B3CF9">
              <w:rPr>
                <w:rStyle w:val="Hyperlink"/>
                <w:noProof/>
              </w:rPr>
              <w:t>Fire Fighters Pension Fund Account and Net Assets Statement</w:t>
            </w:r>
            <w:r>
              <w:rPr>
                <w:noProof/>
                <w:webHidden/>
              </w:rPr>
              <w:tab/>
            </w:r>
            <w:r>
              <w:rPr>
                <w:noProof/>
                <w:webHidden/>
              </w:rPr>
              <w:fldChar w:fldCharType="begin"/>
            </w:r>
            <w:r>
              <w:rPr>
                <w:noProof/>
                <w:webHidden/>
              </w:rPr>
              <w:instrText xml:space="preserve"> PAGEREF _Toc233717551 \h </w:instrText>
            </w:r>
            <w:r>
              <w:rPr>
                <w:noProof/>
                <w:webHidden/>
              </w:rPr>
            </w:r>
            <w:r>
              <w:rPr>
                <w:noProof/>
                <w:webHidden/>
              </w:rPr>
              <w:fldChar w:fldCharType="separate"/>
            </w:r>
            <w:r>
              <w:rPr>
                <w:noProof/>
                <w:webHidden/>
              </w:rPr>
              <w:t>76</w:t>
            </w:r>
            <w:r>
              <w:rPr>
                <w:noProof/>
                <w:webHidden/>
              </w:rPr>
              <w:fldChar w:fldCharType="end"/>
            </w:r>
          </w:hyperlink>
        </w:p>
        <w:p w14:paraId="2F8B2186" w14:textId="4EE8BDC4" w:rsidR="00E50D2A" w:rsidRDefault="00E50D2A">
          <w:pPr>
            <w:pStyle w:val="TOC1"/>
            <w:tabs>
              <w:tab w:val="right" w:leader="dot" w:pos="9017"/>
            </w:tabs>
            <w:rPr>
              <w:rFonts w:asciiTheme="minorHAnsi" w:eastAsiaTheme="minorEastAsia" w:hAnsiTheme="minorHAnsi" w:cstheme="minorBidi"/>
              <w:noProof/>
              <w:kern w:val="2"/>
              <w:szCs w:val="24"/>
              <w:lang w:eastAsia="en-GB"/>
              <w14:ligatures w14:val="standardContextual"/>
            </w:rPr>
          </w:pPr>
          <w:hyperlink w:anchor="_Toc233717552" w:history="1">
            <w:r w:rsidRPr="008B3CF9">
              <w:rPr>
                <w:rStyle w:val="Hyperlink"/>
                <w:noProof/>
              </w:rPr>
              <w:t>Glossary of Terms</w:t>
            </w:r>
            <w:r>
              <w:rPr>
                <w:noProof/>
                <w:webHidden/>
              </w:rPr>
              <w:tab/>
            </w:r>
            <w:r>
              <w:rPr>
                <w:noProof/>
                <w:webHidden/>
              </w:rPr>
              <w:fldChar w:fldCharType="begin"/>
            </w:r>
            <w:r>
              <w:rPr>
                <w:noProof/>
                <w:webHidden/>
              </w:rPr>
              <w:instrText xml:space="preserve"> PAGEREF _Toc233717552 \h </w:instrText>
            </w:r>
            <w:r>
              <w:rPr>
                <w:noProof/>
                <w:webHidden/>
              </w:rPr>
            </w:r>
            <w:r>
              <w:rPr>
                <w:noProof/>
                <w:webHidden/>
              </w:rPr>
              <w:fldChar w:fldCharType="separate"/>
            </w:r>
            <w:r>
              <w:rPr>
                <w:noProof/>
                <w:webHidden/>
              </w:rPr>
              <w:t>78</w:t>
            </w:r>
            <w:r>
              <w:rPr>
                <w:noProof/>
                <w:webHidden/>
              </w:rPr>
              <w:fldChar w:fldCharType="end"/>
            </w:r>
          </w:hyperlink>
        </w:p>
        <w:p w14:paraId="0B3D2694" w14:textId="0791EFDE" w:rsidR="002B6814" w:rsidRPr="00D948C1" w:rsidRDefault="005A3C76" w:rsidP="095637AE">
          <w:pPr>
            <w:rPr>
              <w:highlight w:val="red"/>
            </w:rPr>
            <w:sectPr w:rsidR="002B6814" w:rsidRPr="00D948C1" w:rsidSect="00EE71C2">
              <w:headerReference w:type="even" r:id="rId12"/>
              <w:headerReference w:type="default" r:id="rId13"/>
              <w:footerReference w:type="default" r:id="rId14"/>
              <w:headerReference w:type="first" r:id="rId15"/>
              <w:pgSz w:w="11907" w:h="16840" w:code="9"/>
              <w:pgMar w:top="1440" w:right="1440" w:bottom="1440" w:left="1440" w:header="706" w:footer="706" w:gutter="0"/>
              <w:pgNumType w:start="0"/>
              <w:cols w:space="720"/>
              <w:titlePg/>
              <w:docGrid w:linePitch="326"/>
            </w:sectPr>
          </w:pPr>
          <w:r w:rsidRPr="00927796">
            <w:rPr>
              <w:rFonts w:cs="Arial"/>
              <w:b/>
              <w:bCs/>
              <w:noProof/>
              <w:szCs w:val="24"/>
            </w:rPr>
            <w:fldChar w:fldCharType="end"/>
          </w:r>
        </w:p>
      </w:sdtContent>
    </w:sdt>
    <w:p w14:paraId="10335662" w14:textId="230A968B" w:rsidR="006E6CFF" w:rsidRPr="00011D83" w:rsidRDefault="003668C6" w:rsidP="095637AE">
      <w:pPr>
        <w:pStyle w:val="Heading1"/>
        <w:rPr>
          <w:rFonts w:cs="Arial"/>
        </w:rPr>
      </w:pPr>
      <w:bookmarkStart w:id="1" w:name="_Toc233717509"/>
      <w:r w:rsidRPr="510AD179">
        <w:rPr>
          <w:rFonts w:cs="Arial"/>
        </w:rPr>
        <w:lastRenderedPageBreak/>
        <w:t>Narrative Report</w:t>
      </w:r>
      <w:bookmarkEnd w:id="1"/>
    </w:p>
    <w:p w14:paraId="1C85B084" w14:textId="77777777" w:rsidR="006E6CFF" w:rsidRPr="00011D83" w:rsidRDefault="006E6CFF" w:rsidP="095637AE">
      <w:pPr>
        <w:pStyle w:val="Footer"/>
        <w:tabs>
          <w:tab w:val="clear" w:pos="4153"/>
          <w:tab w:val="clear" w:pos="8306"/>
        </w:tabs>
        <w:rPr>
          <w:rFonts w:cs="Arial"/>
        </w:rPr>
      </w:pPr>
    </w:p>
    <w:p w14:paraId="4FD1734C" w14:textId="06CAD511" w:rsidR="006E6CFF" w:rsidRPr="00011D83" w:rsidRDefault="006E6CFF" w:rsidP="095637AE">
      <w:pPr>
        <w:rPr>
          <w:rFonts w:cs="Arial"/>
        </w:rPr>
      </w:pPr>
      <w:r w:rsidRPr="510AD179">
        <w:rPr>
          <w:rFonts w:cs="Arial"/>
        </w:rPr>
        <w:t xml:space="preserve">The Lancashire Combined Fire Authority (CFA) (the Authority) was established as a free-standing body from 1 April 1998. It sets its own budget, holds its own reserves, raises its own council </w:t>
      </w:r>
      <w:r w:rsidR="00A15F19" w:rsidRPr="510AD179">
        <w:rPr>
          <w:rFonts w:cs="Arial"/>
        </w:rPr>
        <w:t>tax,</w:t>
      </w:r>
      <w:r w:rsidRPr="510AD179">
        <w:rPr>
          <w:rFonts w:cs="Arial"/>
        </w:rPr>
        <w:t xml:space="preserve"> and receives funding direct from the Government and through business rates. </w:t>
      </w:r>
    </w:p>
    <w:p w14:paraId="3140FF0E" w14:textId="77777777" w:rsidR="006E6CFF" w:rsidRPr="00011D83" w:rsidRDefault="006E6CFF" w:rsidP="095637AE">
      <w:pPr>
        <w:rPr>
          <w:rFonts w:cs="Arial"/>
        </w:rPr>
      </w:pPr>
    </w:p>
    <w:p w14:paraId="25858AC3" w14:textId="7D55EF1F" w:rsidR="006E6CFF" w:rsidRPr="00011D83" w:rsidRDefault="006E6CFF" w:rsidP="095637AE">
      <w:pPr>
        <w:rPr>
          <w:rFonts w:cs="Arial"/>
        </w:rPr>
      </w:pPr>
      <w:r w:rsidRPr="510AD179">
        <w:rPr>
          <w:rFonts w:cs="Arial"/>
        </w:rPr>
        <w:t xml:space="preserve">The Authority must prepare and publish a Statement of Accounts annually. Its purpose is to give electors, local taxpayers, Fire Authority Members, </w:t>
      </w:r>
      <w:r w:rsidR="0091485F" w:rsidRPr="510AD179">
        <w:rPr>
          <w:rFonts w:cs="Arial"/>
        </w:rPr>
        <w:t>employees,</w:t>
      </w:r>
      <w:r w:rsidRPr="510AD179">
        <w:rPr>
          <w:rFonts w:cs="Arial"/>
        </w:rPr>
        <w:t xml:space="preserve"> and other interested parties clear information about the Fire authority’s finances.</w:t>
      </w:r>
    </w:p>
    <w:p w14:paraId="0F292A0B" w14:textId="77777777" w:rsidR="006E6CFF" w:rsidRPr="00011D83" w:rsidRDefault="006E6CFF" w:rsidP="095637AE">
      <w:pPr>
        <w:rPr>
          <w:rFonts w:cs="Arial"/>
        </w:rPr>
      </w:pPr>
    </w:p>
    <w:p w14:paraId="393E9B3F" w14:textId="77777777" w:rsidR="006E6CFF" w:rsidRPr="00011D83" w:rsidRDefault="006E6CFF" w:rsidP="095637AE">
      <w:pPr>
        <w:rPr>
          <w:rFonts w:cs="Arial"/>
        </w:rPr>
      </w:pPr>
      <w:r w:rsidRPr="510AD179">
        <w:rPr>
          <w:rFonts w:cs="Arial"/>
        </w:rPr>
        <w:t>The aim is to provide information on:</w:t>
      </w:r>
    </w:p>
    <w:p w14:paraId="31D6A305" w14:textId="77777777" w:rsidR="006E6CFF" w:rsidRPr="00011D83" w:rsidRDefault="006E6CFF" w:rsidP="095637AE">
      <w:pPr>
        <w:rPr>
          <w:rFonts w:cs="Arial"/>
        </w:rPr>
      </w:pPr>
    </w:p>
    <w:p w14:paraId="1238B635" w14:textId="33AD2841" w:rsidR="006E6CFF" w:rsidRPr="00011D83" w:rsidRDefault="006E6CFF" w:rsidP="095637AE">
      <w:pPr>
        <w:numPr>
          <w:ilvl w:val="0"/>
          <w:numId w:val="31"/>
        </w:numPr>
        <w:rPr>
          <w:rFonts w:cs="Arial"/>
        </w:rPr>
      </w:pPr>
      <w:r w:rsidRPr="510AD179">
        <w:rPr>
          <w:rFonts w:cs="Arial"/>
        </w:rPr>
        <w:t>the cost of providing Fire Authority services in the financial year 202</w:t>
      </w:r>
      <w:r w:rsidR="00011D83" w:rsidRPr="510AD179">
        <w:rPr>
          <w:rFonts w:cs="Arial"/>
        </w:rPr>
        <w:t>5</w:t>
      </w:r>
      <w:r w:rsidR="0041374B">
        <w:rPr>
          <w:rFonts w:cs="Arial"/>
        </w:rPr>
        <w:t>-</w:t>
      </w:r>
      <w:r w:rsidRPr="510AD179">
        <w:rPr>
          <w:rFonts w:cs="Arial"/>
        </w:rPr>
        <w:t>2</w:t>
      </w:r>
      <w:r w:rsidR="00011D83" w:rsidRPr="510AD179">
        <w:rPr>
          <w:rFonts w:cs="Arial"/>
        </w:rPr>
        <w:t>6</w:t>
      </w:r>
      <w:r w:rsidRPr="510AD179">
        <w:rPr>
          <w:rFonts w:cs="Arial"/>
        </w:rPr>
        <w:t>;</w:t>
      </w:r>
    </w:p>
    <w:p w14:paraId="24B2DC5B" w14:textId="77777777" w:rsidR="006E6CFF" w:rsidRPr="00011D83" w:rsidRDefault="006E6CFF" w:rsidP="095637AE">
      <w:pPr>
        <w:numPr>
          <w:ilvl w:val="0"/>
          <w:numId w:val="31"/>
        </w:numPr>
        <w:rPr>
          <w:rFonts w:cs="Arial"/>
        </w:rPr>
      </w:pPr>
      <w:r w:rsidRPr="510AD179">
        <w:rPr>
          <w:rFonts w:cs="Arial"/>
        </w:rPr>
        <w:t>how these services were paid for;</w:t>
      </w:r>
    </w:p>
    <w:p w14:paraId="7CBC655F" w14:textId="77777777" w:rsidR="006E6CFF" w:rsidRPr="00011D83" w:rsidRDefault="006E6CFF" w:rsidP="095637AE">
      <w:pPr>
        <w:numPr>
          <w:ilvl w:val="0"/>
          <w:numId w:val="31"/>
        </w:numPr>
        <w:rPr>
          <w:rFonts w:cs="Arial"/>
        </w:rPr>
      </w:pPr>
      <w:r w:rsidRPr="510AD179">
        <w:rPr>
          <w:rFonts w:cs="Arial"/>
        </w:rPr>
        <w:t>what assets the Fire Authority owned at the end of the financial year; and</w:t>
      </w:r>
    </w:p>
    <w:p w14:paraId="6289F74E" w14:textId="77777777" w:rsidR="006E6CFF" w:rsidRPr="00011D83" w:rsidRDefault="006E6CFF" w:rsidP="095637AE">
      <w:pPr>
        <w:numPr>
          <w:ilvl w:val="0"/>
          <w:numId w:val="31"/>
        </w:numPr>
        <w:rPr>
          <w:rFonts w:cs="Arial"/>
        </w:rPr>
      </w:pPr>
      <w:r w:rsidRPr="510AD179">
        <w:rPr>
          <w:rFonts w:cs="Arial"/>
        </w:rPr>
        <w:t>what was owed, to and by, the Fire Authority at the end of the financial year.</w:t>
      </w:r>
    </w:p>
    <w:p w14:paraId="61E146AC" w14:textId="77777777" w:rsidR="006E6CFF" w:rsidRPr="00011D83" w:rsidRDefault="006E6CFF" w:rsidP="095637AE">
      <w:pPr>
        <w:rPr>
          <w:rFonts w:cs="Arial"/>
        </w:rPr>
      </w:pPr>
    </w:p>
    <w:p w14:paraId="1A611E70" w14:textId="77777777" w:rsidR="006E6CFF" w:rsidRPr="00011D83" w:rsidRDefault="006E6CFF" w:rsidP="095637AE">
      <w:pPr>
        <w:rPr>
          <w:rFonts w:cs="Arial"/>
        </w:rPr>
      </w:pPr>
      <w:r w:rsidRPr="510AD179">
        <w:rPr>
          <w:rFonts w:cs="Arial"/>
        </w:rPr>
        <w:t>This narrative report gives a guide to the most important matters included in the Statement of Accounts.</w:t>
      </w:r>
    </w:p>
    <w:p w14:paraId="1AD95C06" w14:textId="77777777" w:rsidR="006E6CFF" w:rsidRPr="00011D83" w:rsidRDefault="006E6CFF" w:rsidP="095637AE">
      <w:pPr>
        <w:pStyle w:val="Footer"/>
        <w:tabs>
          <w:tab w:val="clear" w:pos="4153"/>
          <w:tab w:val="clear" w:pos="8306"/>
        </w:tabs>
        <w:rPr>
          <w:rFonts w:cs="Arial"/>
          <w:b/>
        </w:rPr>
      </w:pPr>
    </w:p>
    <w:p w14:paraId="1FAC0189" w14:textId="77777777" w:rsidR="006E6CFF" w:rsidRPr="00011D83" w:rsidRDefault="006E6CFF" w:rsidP="095637AE">
      <w:pPr>
        <w:rPr>
          <w:rFonts w:cs="Arial"/>
          <w:b/>
        </w:rPr>
      </w:pPr>
      <w:r w:rsidRPr="510AD179">
        <w:rPr>
          <w:rFonts w:cs="Arial"/>
          <w:b/>
        </w:rPr>
        <w:t>Contents of this Statement of Accounts</w:t>
      </w:r>
    </w:p>
    <w:p w14:paraId="24C3B6D1" w14:textId="77777777" w:rsidR="006E6CFF" w:rsidRPr="00011D83" w:rsidRDefault="006E6CFF" w:rsidP="095637AE">
      <w:pPr>
        <w:pStyle w:val="Footer"/>
        <w:tabs>
          <w:tab w:val="clear" w:pos="4153"/>
          <w:tab w:val="clear" w:pos="8306"/>
        </w:tabs>
        <w:rPr>
          <w:rFonts w:cs="Arial"/>
          <w:b/>
        </w:rPr>
      </w:pPr>
    </w:p>
    <w:p w14:paraId="034945CC" w14:textId="0F1F6C78" w:rsidR="006E6CFF" w:rsidRPr="00011D83" w:rsidRDefault="006E6CFF" w:rsidP="095637AE">
      <w:pPr>
        <w:rPr>
          <w:rFonts w:cs="Arial"/>
        </w:rPr>
      </w:pPr>
      <w:r w:rsidRPr="510AD179">
        <w:rPr>
          <w:rFonts w:cs="Arial"/>
        </w:rPr>
        <w:t>This Statement of Accounts covers the financial year ended on 31 March 202</w:t>
      </w:r>
      <w:r w:rsidR="0055011C" w:rsidRPr="510AD179">
        <w:rPr>
          <w:rFonts w:cs="Arial"/>
        </w:rPr>
        <w:t>6</w:t>
      </w:r>
      <w:r w:rsidRPr="510AD179">
        <w:rPr>
          <w:rFonts w:cs="Arial"/>
        </w:rPr>
        <w:t xml:space="preserve"> (referred to as </w:t>
      </w:r>
      <w:r w:rsidRPr="510AD179">
        <w:rPr>
          <w:rFonts w:cs="Arial"/>
          <w:caps/>
        </w:rPr>
        <w:t>202</w:t>
      </w:r>
      <w:r w:rsidR="0055011C" w:rsidRPr="510AD179">
        <w:rPr>
          <w:rFonts w:cs="Arial"/>
          <w:caps/>
        </w:rPr>
        <w:t>5</w:t>
      </w:r>
      <w:r w:rsidR="0041374B">
        <w:rPr>
          <w:rFonts w:cs="Arial"/>
          <w:caps/>
        </w:rPr>
        <w:t>-</w:t>
      </w:r>
      <w:r w:rsidR="0055011C" w:rsidRPr="510AD179">
        <w:rPr>
          <w:rFonts w:cs="Arial"/>
          <w:caps/>
        </w:rPr>
        <w:t>26</w:t>
      </w:r>
      <w:r w:rsidRPr="510AD179">
        <w:rPr>
          <w:rFonts w:cs="Arial"/>
        </w:rPr>
        <w:t>). It has been prepared in accordance with the Accounts and Audit Regulations 2015 as amended by the Accounts and Audit (Amendment) Regulations 2021 and the Code of Practice on Local Authority Accounting in the United Kingdom. The Statement contains:</w:t>
      </w:r>
    </w:p>
    <w:p w14:paraId="2D075CBB" w14:textId="77777777" w:rsidR="006E6CFF" w:rsidRPr="00011D83" w:rsidRDefault="006E6CFF" w:rsidP="095637AE">
      <w:pPr>
        <w:rPr>
          <w:rFonts w:cs="Arial"/>
          <w:b/>
        </w:rPr>
      </w:pPr>
    </w:p>
    <w:p w14:paraId="0E7D3F91" w14:textId="596F6B02" w:rsidR="006E6CFF" w:rsidRPr="00011D83" w:rsidRDefault="006E6CFF" w:rsidP="095637AE">
      <w:pPr>
        <w:rPr>
          <w:rFonts w:cs="Arial"/>
        </w:rPr>
      </w:pPr>
      <w:r w:rsidRPr="510AD179">
        <w:rPr>
          <w:rFonts w:cs="Arial"/>
          <w:b/>
        </w:rPr>
        <w:t>Statement on</w:t>
      </w:r>
      <w:r w:rsidRPr="510AD179">
        <w:rPr>
          <w:rFonts w:cs="Arial"/>
        </w:rPr>
        <w:t xml:space="preserve"> </w:t>
      </w:r>
      <w:r w:rsidRPr="510AD179">
        <w:rPr>
          <w:rFonts w:cs="Arial"/>
          <w:b/>
        </w:rPr>
        <w:t xml:space="preserve">Annual Governance Arrangements </w:t>
      </w:r>
      <w:r w:rsidRPr="510AD179">
        <w:rPr>
          <w:rFonts w:cs="Arial"/>
        </w:rPr>
        <w:t xml:space="preserve">– Sets out the Authority’s responsibilities </w:t>
      </w:r>
      <w:r w:rsidR="000F28B4" w:rsidRPr="510AD179">
        <w:rPr>
          <w:rFonts w:cs="Arial"/>
        </w:rPr>
        <w:t>regarding</w:t>
      </w:r>
      <w:r w:rsidRPr="510AD179">
        <w:rPr>
          <w:rFonts w:cs="Arial"/>
        </w:rPr>
        <w:t xml:space="preserve"> the system of internal control and corporate governance.</w:t>
      </w:r>
    </w:p>
    <w:p w14:paraId="75FC48AF" w14:textId="77777777" w:rsidR="006E6CFF" w:rsidRPr="00011D83" w:rsidRDefault="006E6CFF" w:rsidP="095637AE">
      <w:pPr>
        <w:rPr>
          <w:rFonts w:cs="Arial"/>
        </w:rPr>
      </w:pPr>
    </w:p>
    <w:p w14:paraId="6A7D4574" w14:textId="2BDB8917" w:rsidR="006E6CFF" w:rsidRPr="00011D83" w:rsidRDefault="006E6CFF" w:rsidP="095637AE">
      <w:pPr>
        <w:rPr>
          <w:rFonts w:cs="Arial"/>
        </w:rPr>
      </w:pPr>
      <w:r w:rsidRPr="510AD179">
        <w:rPr>
          <w:rFonts w:cs="Arial"/>
          <w:b/>
        </w:rPr>
        <w:t>Independent Auditor’s Report to the Members of Lancashire Combined Fire Authority</w:t>
      </w:r>
      <w:r w:rsidRPr="510AD179">
        <w:rPr>
          <w:rFonts w:cs="Arial"/>
        </w:rPr>
        <w:t xml:space="preserve"> – The Auditor's report to the CFA on the accounts for </w:t>
      </w:r>
      <w:r w:rsidRPr="510AD179">
        <w:rPr>
          <w:rFonts w:cs="Arial"/>
          <w:caps/>
        </w:rPr>
        <w:t>202</w:t>
      </w:r>
      <w:r w:rsidR="0055011C" w:rsidRPr="510AD179">
        <w:rPr>
          <w:rFonts w:cs="Arial"/>
          <w:caps/>
        </w:rPr>
        <w:t>5</w:t>
      </w:r>
      <w:r w:rsidR="0041374B">
        <w:rPr>
          <w:rFonts w:cs="Arial"/>
          <w:caps/>
        </w:rPr>
        <w:t>-</w:t>
      </w:r>
      <w:r w:rsidRPr="510AD179">
        <w:rPr>
          <w:rFonts w:cs="Arial"/>
          <w:caps/>
        </w:rPr>
        <w:t>2</w:t>
      </w:r>
      <w:r w:rsidR="0055011C" w:rsidRPr="510AD179">
        <w:rPr>
          <w:rFonts w:cs="Arial"/>
          <w:caps/>
        </w:rPr>
        <w:t>6</w:t>
      </w:r>
      <w:r w:rsidRPr="510AD179">
        <w:rPr>
          <w:rFonts w:cs="Arial"/>
        </w:rPr>
        <w:t>, which are set out in the sections shown below.</w:t>
      </w:r>
    </w:p>
    <w:p w14:paraId="62DE51EC" w14:textId="77777777" w:rsidR="006E6CFF" w:rsidRPr="00011D83" w:rsidRDefault="006E6CFF" w:rsidP="095637AE">
      <w:pPr>
        <w:rPr>
          <w:rFonts w:cs="Arial"/>
        </w:rPr>
      </w:pPr>
    </w:p>
    <w:p w14:paraId="05F9C253" w14:textId="77777777" w:rsidR="006E6CFF" w:rsidRPr="00011D83" w:rsidRDefault="006E6CFF" w:rsidP="095637AE">
      <w:pPr>
        <w:rPr>
          <w:rFonts w:cs="Arial"/>
        </w:rPr>
      </w:pPr>
      <w:r w:rsidRPr="510AD179">
        <w:rPr>
          <w:rFonts w:cs="Arial"/>
          <w:b/>
        </w:rPr>
        <w:t>Statement of Responsibilities for the Statement of Accounts</w:t>
      </w:r>
      <w:r w:rsidRPr="510AD179">
        <w:rPr>
          <w:rFonts w:cs="Arial"/>
        </w:rPr>
        <w:t xml:space="preserve"> – Sets out the responsibilities of the Authority and the Treasurer with regards to the statement of accounts.</w:t>
      </w:r>
    </w:p>
    <w:p w14:paraId="59A099BB" w14:textId="77777777" w:rsidR="006E6CFF" w:rsidRPr="00011D83" w:rsidRDefault="006E6CFF" w:rsidP="095637AE">
      <w:pPr>
        <w:tabs>
          <w:tab w:val="left" w:pos="720"/>
          <w:tab w:val="right" w:pos="5760"/>
        </w:tabs>
        <w:rPr>
          <w:rFonts w:cs="Arial"/>
        </w:rPr>
      </w:pPr>
    </w:p>
    <w:p w14:paraId="013681E4" w14:textId="64B19CB4" w:rsidR="006E6CFF" w:rsidRPr="00011D83" w:rsidRDefault="006E6CFF" w:rsidP="095637AE">
      <w:pPr>
        <w:rPr>
          <w:rFonts w:cs="Arial"/>
        </w:rPr>
      </w:pPr>
      <w:r w:rsidRPr="510AD179">
        <w:rPr>
          <w:rFonts w:cs="Arial"/>
          <w:b/>
        </w:rPr>
        <w:t xml:space="preserve">Comprehensive Income &amp; Expenditure Statement </w:t>
      </w:r>
      <w:r w:rsidRPr="510AD179">
        <w:rPr>
          <w:rFonts w:cs="Arial"/>
        </w:rPr>
        <w:t>- This statement shows the accounting cost in the year of providing services in accordance with generally accepted accounting practices, rather than the amount to be funded from taxation. The Fire Authority raises taxation to cover expenditure in accordance with regulations; this may be different from the accounting cost. The taxation position is shown in the Movement in Reserves Statement.</w:t>
      </w:r>
    </w:p>
    <w:p w14:paraId="2321AAF9" w14:textId="77777777" w:rsidR="006E6CFF" w:rsidRPr="00011D83" w:rsidRDefault="006E6CFF" w:rsidP="095637AE">
      <w:pPr>
        <w:rPr>
          <w:rFonts w:cs="Arial"/>
        </w:rPr>
      </w:pPr>
    </w:p>
    <w:p w14:paraId="5DA8CD33" w14:textId="7A4AE1FC" w:rsidR="006E6CFF" w:rsidRPr="00011D83" w:rsidRDefault="006E6CFF" w:rsidP="095637AE">
      <w:pPr>
        <w:rPr>
          <w:rFonts w:cs="Arial"/>
        </w:rPr>
      </w:pPr>
      <w:r w:rsidRPr="510AD179">
        <w:rPr>
          <w:rFonts w:cs="Arial"/>
          <w:b/>
        </w:rPr>
        <w:t xml:space="preserve">Movement In Reserves Statement </w:t>
      </w:r>
      <w:r w:rsidRPr="510AD179">
        <w:rPr>
          <w:rFonts w:cs="Arial"/>
        </w:rPr>
        <w:t>– This statement shows the movement in year on the different reserves held by the Fire Authority analysed between usable and other reserves. The surplus or (deficit) on the Provision of Services line shows the true economic cost of providing the Fire Authority’s services, more details of which are shown in the Comprehensive Income and Expenditure Statement.</w:t>
      </w:r>
    </w:p>
    <w:p w14:paraId="2FD51274" w14:textId="77777777" w:rsidR="006E6CFF" w:rsidRPr="00011D83" w:rsidRDefault="006E6CFF" w:rsidP="095637AE">
      <w:pPr>
        <w:rPr>
          <w:rFonts w:cs="Arial"/>
          <w:b/>
        </w:rPr>
      </w:pPr>
    </w:p>
    <w:p w14:paraId="1C31C41C" w14:textId="7C64CDC3" w:rsidR="006E6CFF" w:rsidRPr="00011D83" w:rsidRDefault="006E6CFF" w:rsidP="095637AE">
      <w:pPr>
        <w:rPr>
          <w:rFonts w:cs="Arial"/>
        </w:rPr>
      </w:pPr>
      <w:r w:rsidRPr="510AD179">
        <w:rPr>
          <w:rFonts w:cs="Arial"/>
          <w:b/>
        </w:rPr>
        <w:t>Balance Sheet</w:t>
      </w:r>
      <w:r w:rsidRPr="510AD179">
        <w:rPr>
          <w:rFonts w:cs="Arial"/>
        </w:rPr>
        <w:t xml:space="preserve"> – This shows information on the financial position of the Fire Authority as at the 31 March 202</w:t>
      </w:r>
      <w:r w:rsidR="00C40928" w:rsidRPr="510AD179">
        <w:rPr>
          <w:rFonts w:cs="Arial"/>
        </w:rPr>
        <w:t>6</w:t>
      </w:r>
      <w:r w:rsidRPr="510AD179">
        <w:rPr>
          <w:rFonts w:cs="Arial"/>
        </w:rPr>
        <w:t xml:space="preserve">, including the level of balances and reserves at the Fire Authority’s disposal, its </w:t>
      </w:r>
      <w:r w:rsidR="005436A9" w:rsidRPr="510AD179">
        <w:rPr>
          <w:rFonts w:cs="Arial"/>
        </w:rPr>
        <w:t>long-term</w:t>
      </w:r>
      <w:r w:rsidRPr="510AD179">
        <w:rPr>
          <w:rFonts w:cs="Arial"/>
        </w:rPr>
        <w:t xml:space="preserve"> indebtedness and the value of the assets held by the Fire Authority.</w:t>
      </w:r>
    </w:p>
    <w:p w14:paraId="1077F6AF" w14:textId="77777777" w:rsidR="006E6CFF" w:rsidRPr="00011D83" w:rsidRDefault="006E6CFF" w:rsidP="095637AE">
      <w:pPr>
        <w:rPr>
          <w:rFonts w:cs="Arial"/>
        </w:rPr>
      </w:pPr>
      <w:r w:rsidRPr="510AD179">
        <w:rPr>
          <w:rFonts w:cs="Arial"/>
          <w:b/>
        </w:rPr>
        <w:lastRenderedPageBreak/>
        <w:t>Cash Flow Statement</w:t>
      </w:r>
      <w:r w:rsidRPr="510AD179">
        <w:rPr>
          <w:rFonts w:cs="Arial"/>
        </w:rPr>
        <w:t xml:space="preserve"> – This shows the cash and cash equivalent movements in and out of the Fire Authority due to transactions with third parties for revenue and capital purposes.</w:t>
      </w:r>
    </w:p>
    <w:p w14:paraId="653F5C6E" w14:textId="77777777" w:rsidR="006E6CFF" w:rsidRPr="00011D83" w:rsidRDefault="006E6CFF" w:rsidP="095637AE">
      <w:pPr>
        <w:rPr>
          <w:rFonts w:cs="Arial"/>
        </w:rPr>
      </w:pPr>
    </w:p>
    <w:p w14:paraId="4AC9E564" w14:textId="4FDA87CD" w:rsidR="006E6CFF" w:rsidRPr="00C40928" w:rsidRDefault="006E6CFF" w:rsidP="095637AE">
      <w:pPr>
        <w:rPr>
          <w:rFonts w:cs="Arial"/>
        </w:rPr>
      </w:pPr>
      <w:r w:rsidRPr="510AD179">
        <w:rPr>
          <w:rFonts w:cs="Arial"/>
          <w:b/>
        </w:rPr>
        <w:t>Fire Fighters Pension Fund Account and Net Assets Statement</w:t>
      </w:r>
      <w:r w:rsidRPr="510AD179">
        <w:rPr>
          <w:rFonts w:cs="Arial"/>
        </w:rPr>
        <w:t xml:space="preserve"> – Shows the financial position of the fire fighters pension fund account, showing whether the Authority owes, or is owed, money by the Government </w:t>
      </w:r>
      <w:r w:rsidR="007D71A7" w:rsidRPr="510AD179">
        <w:rPr>
          <w:rFonts w:cs="Arial"/>
        </w:rPr>
        <w:t>to</w:t>
      </w:r>
      <w:r w:rsidRPr="510AD179">
        <w:rPr>
          <w:rFonts w:cs="Arial"/>
        </w:rPr>
        <w:t xml:space="preserve"> balance the account, together with details of its net assets.</w:t>
      </w:r>
    </w:p>
    <w:p w14:paraId="4BF85B5F" w14:textId="77777777" w:rsidR="003668C6" w:rsidRPr="00C40928" w:rsidRDefault="003668C6" w:rsidP="095637AE">
      <w:pPr>
        <w:rPr>
          <w:rFonts w:cs="Arial"/>
          <w:szCs w:val="24"/>
        </w:rPr>
      </w:pPr>
    </w:p>
    <w:p w14:paraId="3E7209B7" w14:textId="77777777" w:rsidR="006E6CFF" w:rsidRPr="00467AE9" w:rsidRDefault="006E6CFF" w:rsidP="095637AE">
      <w:pPr>
        <w:rPr>
          <w:rFonts w:cs="Arial"/>
          <w:b/>
          <w:szCs w:val="24"/>
        </w:rPr>
      </w:pPr>
      <w:r w:rsidRPr="00467AE9">
        <w:rPr>
          <w:rFonts w:cs="Arial"/>
          <w:b/>
          <w:szCs w:val="24"/>
        </w:rPr>
        <w:t>Review of the Year</w:t>
      </w:r>
    </w:p>
    <w:p w14:paraId="37EB89E6" w14:textId="77777777" w:rsidR="006E6CFF" w:rsidRPr="00450750" w:rsidRDefault="006E6CFF" w:rsidP="095637AE">
      <w:pPr>
        <w:rPr>
          <w:rFonts w:cs="Arial"/>
          <w:szCs w:val="24"/>
          <w:highlight w:val="yellow"/>
        </w:rPr>
      </w:pPr>
    </w:p>
    <w:p w14:paraId="7E7BAD44" w14:textId="77777777" w:rsidR="00D53C60" w:rsidRDefault="00D53C60">
      <w:r>
        <w:t>Lancashire Fire and Rescue Service continued to deliver its core purpose of making Lancashire safer during 2025-26. The Service maintained effective emergency response, prevention and protection activity while adapting to changing risks in communities and continuing to manage significant financial pressures.</w:t>
      </w:r>
    </w:p>
    <w:p w14:paraId="21E890B8" w14:textId="77777777" w:rsidR="00C06537" w:rsidRDefault="00C06537">
      <w:pPr>
        <w:rPr>
          <w:kern w:val="2"/>
          <w:szCs w:val="24"/>
          <w14:ligatures w14:val="standardContextual"/>
        </w:rPr>
      </w:pPr>
    </w:p>
    <w:p w14:paraId="15C13050" w14:textId="2B27C368" w:rsidR="00D53C60" w:rsidRDefault="00D53C60">
      <w:r>
        <w:t>The year was marked by strong independent recognition of the Service’s performance. His Majesty’s Inspectorate of Constabulary and Fire and Rescue Services</w:t>
      </w:r>
      <w:r w:rsidR="00D977C7">
        <w:t xml:space="preserve"> (HMICFRS)</w:t>
      </w:r>
      <w:r>
        <w:t xml:space="preserve"> reported the outcome of its third inspection in August 2025, awarding six ‘Outstanding’ and five ‘Good’ ratings across the 11 inspection areas. This included being the only service in the country to receive a minimum rating of ‘Good’ in every category. The inspection highlighted the Service’s understanding of risk, protection activity, use of resources, culture, workforce and commitment to continuous improvement.</w:t>
      </w:r>
    </w:p>
    <w:p w14:paraId="385A732E" w14:textId="77777777" w:rsidR="00C06537" w:rsidRDefault="00C06537">
      <w:pPr>
        <w:rPr>
          <w:kern w:val="2"/>
          <w:szCs w:val="24"/>
          <w14:ligatures w14:val="standardContextual"/>
        </w:rPr>
      </w:pPr>
    </w:p>
    <w:p w14:paraId="3E1622E0" w14:textId="77777777" w:rsidR="00D53C60" w:rsidRDefault="00D53C60">
      <w:pPr>
        <w:rPr>
          <w:kern w:val="2"/>
          <w:szCs w:val="24"/>
          <w14:ligatures w14:val="standardContextual"/>
        </w:rPr>
      </w:pPr>
      <w:r>
        <w:t>Preventing fires and other emergencies remained a key priority. The Service continued to focus activity on those most at risk, using evaluation and local risk information to target prevention work more effectively. This included work in wildfire risk areas, continued delivery of home fire safety checks and prevention education, and a wide-ranging water safety campaign which reached thousands of young people and received national recognition.</w:t>
      </w:r>
    </w:p>
    <w:p w14:paraId="7AA81C9D" w14:textId="77777777" w:rsidR="00530D16" w:rsidRDefault="00530D16"/>
    <w:p w14:paraId="0383AE3E" w14:textId="2A578578" w:rsidR="00D53C60" w:rsidRDefault="00D53C60">
      <w:r>
        <w:t>Protection activity also continued to be a significant area of focus. The Service supported businesses, landlords and those responsible for fire safety to meet their legal duties, while taking enforcement action where serious breaches were identified. During the year, operational crews delivered more than 3,000 business fire safety checks and the Service continued to respond to national fire safety developments, including work linked to the Grenfell Tower Inquiry, mid-rise premises and building remediation.</w:t>
      </w:r>
    </w:p>
    <w:p w14:paraId="338CB6F7" w14:textId="77777777" w:rsidR="00C06537" w:rsidRDefault="00C06537">
      <w:pPr>
        <w:rPr>
          <w:kern w:val="2"/>
          <w:szCs w:val="24"/>
          <w14:ligatures w14:val="standardContextual"/>
        </w:rPr>
      </w:pPr>
    </w:p>
    <w:p w14:paraId="58540AD4" w14:textId="77777777" w:rsidR="00D53C60" w:rsidRDefault="00D53C60">
      <w:r>
        <w:t>Operational demand remained significant, with firefighters attending more than 17,000 incidents across Lancashire. The Service continued to invest in response capability, including new water tower appliances, training for aerial capability, new breathing apparatus, improvements in dynamic cover arrangements and continued work to strengthen on-call availability. These investments support firefighter safety, operational effectiveness and the ability to respond to increasingly complex incidents.</w:t>
      </w:r>
    </w:p>
    <w:p w14:paraId="63D75577" w14:textId="77777777" w:rsidR="00C06537" w:rsidRDefault="00C06537">
      <w:pPr>
        <w:rPr>
          <w:kern w:val="2"/>
          <w:szCs w:val="24"/>
          <w14:ligatures w14:val="standardContextual"/>
        </w:rPr>
      </w:pPr>
    </w:p>
    <w:p w14:paraId="7EBCBF97" w14:textId="77777777" w:rsidR="00D53C60" w:rsidRDefault="00D53C60">
      <w:r>
        <w:t>The Authority also continued to invest in its people, recognising that the Service’s achievements depend on the professionalism, commitment and expertise of staff. Work during the year included leadership development, health, safety and wellbeing initiatives, improvements to training for on-call firefighters, the development of employee voice arrangements and investment in station facilities. The Service also recognised the contribution of staff through honours, awards and long service celebrations.</w:t>
      </w:r>
    </w:p>
    <w:p w14:paraId="4CB12C52" w14:textId="77777777" w:rsidR="00C06537" w:rsidRDefault="00C06537">
      <w:pPr>
        <w:rPr>
          <w:kern w:val="2"/>
          <w:szCs w:val="24"/>
          <w14:ligatures w14:val="standardContextual"/>
        </w:rPr>
      </w:pPr>
    </w:p>
    <w:p w14:paraId="26871182" w14:textId="77777777" w:rsidR="00D53C60" w:rsidRDefault="00D53C60">
      <w:pPr>
        <w:rPr>
          <w:kern w:val="2"/>
          <w:szCs w:val="24"/>
          <w14:ligatures w14:val="standardContextual"/>
        </w:rPr>
      </w:pPr>
      <w:r>
        <w:t xml:space="preserve">Delivering value for money remained central to the Authority’s approach. The Service continued to identify efficiencies and improve productivity, including through dynamic </w:t>
      </w:r>
      <w:r>
        <w:lastRenderedPageBreak/>
        <w:t>resource management, modern ways of working, digital investment, performance dashboards and collaboration with other public services. These activities are increasingly important as the Authority manages future financial pressures while seeking to maintain and improve services.</w:t>
      </w:r>
    </w:p>
    <w:p w14:paraId="09913853" w14:textId="77777777" w:rsidR="00C06537" w:rsidRDefault="00C06537"/>
    <w:p w14:paraId="14F05E49" w14:textId="77777777" w:rsidR="00D53C60" w:rsidRDefault="00D53C60">
      <w:pPr>
        <w:rPr>
          <w:kern w:val="2"/>
          <w:szCs w:val="24"/>
          <w14:ligatures w14:val="standardContextual"/>
        </w:rPr>
      </w:pPr>
      <w:r>
        <w:t>Overall, the Authority ended 2025-26 in a stable financial position. The revenue budget was delivered within budget, reserves remained adequate and planned capital investment continued. However, the medium-term financial outlook remains challenging because of inflation, pay and pension pressures, uncertainty over future funding arrangements and the need to fund a significant capital programme. The Authority will continue to balance these pressures with its commitment to maintaining an effective, efficient and well-run fire and rescue service for the people of Lancashire.</w:t>
      </w:r>
    </w:p>
    <w:p w14:paraId="2CD21999" w14:textId="77777777" w:rsidR="00E65136" w:rsidRPr="00450750" w:rsidRDefault="00E65136" w:rsidP="095637AE">
      <w:pPr>
        <w:rPr>
          <w:rFonts w:cs="Arial"/>
          <w:b/>
          <w:bCs/>
          <w:szCs w:val="24"/>
          <w:highlight w:val="yellow"/>
        </w:rPr>
      </w:pPr>
    </w:p>
    <w:p w14:paraId="68A39F1F" w14:textId="42BC7659" w:rsidR="006E6CFF" w:rsidRPr="008A7395" w:rsidRDefault="006E6CFF" w:rsidP="095637AE">
      <w:pPr>
        <w:rPr>
          <w:rFonts w:cs="Arial"/>
          <w:b/>
          <w:szCs w:val="24"/>
        </w:rPr>
      </w:pPr>
      <w:r w:rsidRPr="008A7395">
        <w:rPr>
          <w:rFonts w:cs="Arial"/>
          <w:b/>
          <w:szCs w:val="24"/>
        </w:rPr>
        <w:t>The 202</w:t>
      </w:r>
      <w:r w:rsidR="00011D83" w:rsidRPr="008A7395">
        <w:rPr>
          <w:rFonts w:cs="Arial"/>
          <w:b/>
          <w:szCs w:val="24"/>
        </w:rPr>
        <w:t>5</w:t>
      </w:r>
      <w:r w:rsidR="0041374B">
        <w:rPr>
          <w:rFonts w:cs="Arial"/>
          <w:b/>
          <w:szCs w:val="24"/>
        </w:rPr>
        <w:t>-</w:t>
      </w:r>
      <w:r w:rsidR="00011D83" w:rsidRPr="008A7395">
        <w:rPr>
          <w:rFonts w:cs="Arial"/>
          <w:b/>
          <w:szCs w:val="24"/>
        </w:rPr>
        <w:t>26</w:t>
      </w:r>
      <w:r w:rsidRPr="008A7395">
        <w:rPr>
          <w:rFonts w:cs="Arial"/>
          <w:b/>
          <w:szCs w:val="24"/>
        </w:rPr>
        <w:t xml:space="preserve"> Financial Overview</w:t>
      </w:r>
    </w:p>
    <w:p w14:paraId="681C4A7E" w14:textId="77777777" w:rsidR="006E6CFF" w:rsidRPr="008A7395" w:rsidRDefault="006E6CFF" w:rsidP="095637AE">
      <w:pPr>
        <w:rPr>
          <w:rFonts w:cs="Arial"/>
          <w:szCs w:val="24"/>
        </w:rPr>
      </w:pPr>
    </w:p>
    <w:p w14:paraId="4ADC536C" w14:textId="77777777" w:rsidR="00207C95" w:rsidRPr="008A7395" w:rsidRDefault="00207C95">
      <w:pPr>
        <w:rPr>
          <w:kern w:val="2"/>
          <w:szCs w:val="24"/>
          <w14:ligatures w14:val="standardContextual"/>
        </w:rPr>
      </w:pPr>
      <w:r w:rsidRPr="008A7395">
        <w:t>The Authority’s spending is planned and controlled through its annual budget process. The approved revenue budget funds the day-to-day cost of providing fire and rescue services, while the capital programme funds longer-term investment in buildings, vehicles, operational equipment and ICT. The Authority also holds reserves to manage risk, smooth the impact of future costs and support planned investment.</w:t>
      </w:r>
    </w:p>
    <w:p w14:paraId="04BDC542" w14:textId="77777777" w:rsidR="006E6CFF" w:rsidRPr="008A7395" w:rsidRDefault="006E6CFF" w:rsidP="095637AE">
      <w:pPr>
        <w:rPr>
          <w:rFonts w:cs="Arial"/>
          <w:color w:val="000000" w:themeColor="text1"/>
          <w:szCs w:val="24"/>
        </w:rPr>
      </w:pPr>
    </w:p>
    <w:p w14:paraId="1D38E447" w14:textId="0485DAB6" w:rsidR="006E6CFF" w:rsidRPr="008A7395" w:rsidRDefault="00207C95" w:rsidP="095637AE">
      <w:pPr>
        <w:rPr>
          <w:kern w:val="2"/>
          <w:szCs w:val="24"/>
          <w14:ligatures w14:val="standardContextual"/>
        </w:rPr>
      </w:pPr>
      <w:r w:rsidRPr="008A7395">
        <w:t>In setting and managing its budget, the Authority seeks to balance the cost of providing services with the need to maintain effective emergency response, prevention and protection activity, invest in service improvement and keep council tax at reasonable levels. The budget is also designed to be robust, taking account of known and anticipated pressures, and to maintain an adequate level of reserves.</w:t>
      </w:r>
    </w:p>
    <w:p w14:paraId="4456C4C9" w14:textId="77777777" w:rsidR="006E6CFF" w:rsidRPr="008A7395" w:rsidRDefault="006E6CFF" w:rsidP="095637AE">
      <w:pPr>
        <w:rPr>
          <w:rFonts w:cs="Arial"/>
          <w:color w:val="000000" w:themeColor="text1"/>
          <w:szCs w:val="24"/>
        </w:rPr>
      </w:pPr>
    </w:p>
    <w:p w14:paraId="3C04B070" w14:textId="6C29247F" w:rsidR="00E95779" w:rsidRDefault="00207C95">
      <w:pPr>
        <w:rPr>
          <w:rFonts w:cs="Arial"/>
          <w:szCs w:val="24"/>
        </w:rPr>
      </w:pPr>
      <w:r w:rsidRPr="008A7395">
        <w:t>For 2025</w:t>
      </w:r>
      <w:r w:rsidR="0041374B">
        <w:t>-</w:t>
      </w:r>
      <w:r w:rsidRPr="008A7395">
        <w:t>26 the Authority agreed a budget requirement of £77.511</w:t>
      </w:r>
      <w:r w:rsidR="00383258">
        <w:t xml:space="preserve"> </w:t>
      </w:r>
      <w:r w:rsidRPr="008A7395">
        <w:t>m</w:t>
      </w:r>
      <w:r w:rsidR="00383258">
        <w:t>illion</w:t>
      </w:r>
      <w:r w:rsidRPr="008A7395">
        <w:t>. Actual net expenditure for the year was £77.247</w:t>
      </w:r>
      <w:r w:rsidR="00383258">
        <w:t xml:space="preserve"> </w:t>
      </w:r>
      <w:r w:rsidRPr="008A7395">
        <w:t>m</w:t>
      </w:r>
      <w:r w:rsidR="00383258">
        <w:t>illion</w:t>
      </w:r>
      <w:r w:rsidRPr="008A7395">
        <w:t xml:space="preserve"> and, after taking account of funding, the Authority reported a net underspend of £0.335</w:t>
      </w:r>
      <w:r w:rsidR="00383258">
        <w:t xml:space="preserve"> </w:t>
      </w:r>
      <w:r w:rsidRPr="008A7395">
        <w:t>m</w:t>
      </w:r>
      <w:r w:rsidR="00383258">
        <w:t>illion</w:t>
      </w:r>
      <w:r w:rsidRPr="008A7395">
        <w:t>. This underspend has been transferred to reserves, strengthening the Authority’s financial position.</w:t>
      </w:r>
      <w:r w:rsidR="00E95779">
        <w:rPr>
          <w:rFonts w:cs="Arial"/>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6"/>
        <w:gridCol w:w="648"/>
        <w:gridCol w:w="648"/>
      </w:tblGrid>
      <w:tr w:rsidR="00E95779" w:rsidRPr="00D948C1" w14:paraId="2548DB3C" w14:textId="77777777" w:rsidTr="006629B9">
        <w:tc>
          <w:tcPr>
            <w:tcW w:w="8626" w:type="dxa"/>
          </w:tcPr>
          <w:p w14:paraId="132CFE74" w14:textId="77777777" w:rsidR="00E95779" w:rsidRDefault="0040050A" w:rsidP="095637AE">
            <w:pPr>
              <w:jc w:val="both"/>
              <w:rPr>
                <w:rFonts w:cs="Arial"/>
                <w:color w:val="000000" w:themeColor="text1"/>
              </w:rPr>
            </w:pPr>
            <w:r w:rsidRPr="510AD179">
              <w:rPr>
                <w:rFonts w:cs="Arial"/>
                <w:color w:val="000000" w:themeColor="text1"/>
              </w:rPr>
              <w:lastRenderedPageBreak/>
              <w:t>T</w:t>
            </w:r>
            <w:r w:rsidR="00D859CA" w:rsidRPr="510AD179">
              <w:rPr>
                <w:rFonts w:cs="Arial"/>
                <w:color w:val="000000" w:themeColor="text1"/>
              </w:rPr>
              <w:t xml:space="preserve">he </w:t>
            </w:r>
            <w:r w:rsidR="002448DC" w:rsidRPr="510AD179">
              <w:rPr>
                <w:rFonts w:cs="Arial"/>
                <w:color w:val="000000" w:themeColor="text1"/>
              </w:rPr>
              <w:t xml:space="preserve">following </w:t>
            </w:r>
            <w:r w:rsidR="00D859CA" w:rsidRPr="510AD179">
              <w:rPr>
                <w:rFonts w:cs="Arial"/>
                <w:color w:val="000000" w:themeColor="text1"/>
              </w:rPr>
              <w:t xml:space="preserve">charts </w:t>
            </w:r>
            <w:r w:rsidR="002448DC" w:rsidRPr="510AD179">
              <w:rPr>
                <w:rFonts w:cs="Arial"/>
                <w:color w:val="000000" w:themeColor="text1"/>
              </w:rPr>
              <w:t>show our</w:t>
            </w:r>
            <w:r w:rsidRPr="510AD179">
              <w:rPr>
                <w:rFonts w:cs="Arial"/>
                <w:color w:val="000000" w:themeColor="text1"/>
              </w:rPr>
              <w:t xml:space="preserve"> key areas of</w:t>
            </w:r>
            <w:r w:rsidR="002448DC" w:rsidRPr="510AD179">
              <w:rPr>
                <w:rFonts w:cs="Arial"/>
                <w:color w:val="000000" w:themeColor="text1"/>
              </w:rPr>
              <w:t xml:space="preserve"> budgeted income and expenditure</w:t>
            </w:r>
            <w:r w:rsidR="00E95779" w:rsidRPr="510AD179">
              <w:rPr>
                <w:rFonts w:cs="Arial"/>
                <w:color w:val="000000" w:themeColor="text1"/>
              </w:rPr>
              <w:t>:</w:t>
            </w:r>
          </w:p>
          <w:p w14:paraId="59872A2F" w14:textId="77777777" w:rsidR="000A6B17" w:rsidRDefault="000A6B17" w:rsidP="095637AE">
            <w:pPr>
              <w:jc w:val="both"/>
              <w:rPr>
                <w:rFonts w:cs="Arial"/>
                <w:noProof/>
                <w:color w:val="000000" w:themeColor="text1"/>
                <w:highlight w:val="red"/>
              </w:rPr>
            </w:pPr>
          </w:p>
          <w:p w14:paraId="2555A655" w14:textId="780BD40F" w:rsidR="00BE3CE6" w:rsidRPr="00D948C1" w:rsidRDefault="00BC0665" w:rsidP="095637AE">
            <w:pPr>
              <w:jc w:val="both"/>
              <w:rPr>
                <w:rFonts w:cs="Arial"/>
                <w:noProof/>
                <w:color w:val="000000" w:themeColor="text1"/>
                <w:highlight w:val="red"/>
              </w:rPr>
            </w:pPr>
            <w:r>
              <w:rPr>
                <w:noProof/>
              </w:rPr>
              <w:drawing>
                <wp:inline distT="0" distB="0" distL="0" distR="0" wp14:anchorId="78D3461F" wp14:editId="6035F305">
                  <wp:extent cx="5340705" cy="3924000"/>
                  <wp:effectExtent l="0" t="0" r="0" b="635"/>
                  <wp:docPr id="1559817134" name="Chart 1" descr="Pie chart showing the Authority's expenditure analysis for 2025/26. Employee pay costs 71%, supplies and services 13%, capital financing and other items 6%, premises 5%, transport 3% and other employee related costs 2%.">
                    <a:extLst xmlns:a="http://schemas.openxmlformats.org/drawingml/2006/main">
                      <a:ext uri="{FF2B5EF4-FFF2-40B4-BE49-F238E27FC236}">
                        <a16:creationId xmlns:a16="http://schemas.microsoft.com/office/drawing/2014/main" id="{70646ACC-4D9B-4F14-BAF4-06B528C8D8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648" w:type="dxa"/>
          </w:tcPr>
          <w:p w14:paraId="35BF0862" w14:textId="77777777" w:rsidR="00E95779" w:rsidRPr="00D948C1" w:rsidRDefault="00E95779" w:rsidP="095637AE">
            <w:pPr>
              <w:jc w:val="both"/>
              <w:rPr>
                <w:rFonts w:cs="Arial"/>
                <w:color w:val="000000" w:themeColor="text1"/>
                <w:highlight w:val="red"/>
              </w:rPr>
            </w:pPr>
          </w:p>
        </w:tc>
        <w:tc>
          <w:tcPr>
            <w:tcW w:w="648" w:type="dxa"/>
          </w:tcPr>
          <w:p w14:paraId="61DAE325" w14:textId="644D6A59" w:rsidR="00E95779" w:rsidRPr="00D948C1" w:rsidRDefault="00E95779" w:rsidP="095637AE">
            <w:pPr>
              <w:jc w:val="both"/>
              <w:rPr>
                <w:rFonts w:cs="Arial"/>
                <w:color w:val="000000" w:themeColor="text1"/>
                <w:highlight w:val="red"/>
              </w:rPr>
            </w:pPr>
          </w:p>
        </w:tc>
      </w:tr>
    </w:tbl>
    <w:p w14:paraId="10547006" w14:textId="4669CD7C" w:rsidR="004A1184" w:rsidRPr="00D948C1" w:rsidRDefault="0056698C" w:rsidP="095637AE">
      <w:pPr>
        <w:rPr>
          <w:rFonts w:cs="Arial"/>
          <w:color w:val="000000" w:themeColor="text1"/>
          <w:highlight w:val="red"/>
        </w:rPr>
      </w:pPr>
      <w:r>
        <w:rPr>
          <w:noProof/>
        </w:rPr>
        <w:drawing>
          <wp:inline distT="0" distB="0" distL="0" distR="0" wp14:anchorId="63FCDAFF" wp14:editId="3BBA95E2">
            <wp:extent cx="5340705" cy="3924000"/>
            <wp:effectExtent l="0" t="0" r="0" b="635"/>
            <wp:docPr id="1044067548" name="Chart 1" descr="Pie chart showing the Authority's income analysis for 2024/25. Council tax 50%, business rates 25%, government grant 15% and other income 10%.">
              <a:extLst xmlns:a="http://schemas.openxmlformats.org/drawingml/2006/main">
                <a:ext uri="{FF2B5EF4-FFF2-40B4-BE49-F238E27FC236}">
                  <a16:creationId xmlns:a16="http://schemas.microsoft.com/office/drawing/2014/main" id="{3F73873E-F689-4F4D-806A-5D85CDB21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4A1184" w:rsidRPr="095637AE">
        <w:rPr>
          <w:rFonts w:cs="Arial"/>
          <w:color w:val="000000" w:themeColor="text1"/>
          <w:highlight w:val="red"/>
        </w:rPr>
        <w:br w:type="page"/>
      </w:r>
    </w:p>
    <w:p w14:paraId="095A2956" w14:textId="2C3AB5F7" w:rsidR="006E6CFF" w:rsidRPr="00886131" w:rsidRDefault="0040050A" w:rsidP="095637AE">
      <w:pPr>
        <w:rPr>
          <w:rFonts w:cs="Arial"/>
          <w:color w:val="000000" w:themeColor="text1"/>
        </w:rPr>
      </w:pPr>
      <w:r w:rsidRPr="510AD179">
        <w:rPr>
          <w:rFonts w:cs="Arial"/>
          <w:color w:val="000000" w:themeColor="text1"/>
        </w:rPr>
        <w:lastRenderedPageBreak/>
        <w:t xml:space="preserve">The net revenue position shows a </w:t>
      </w:r>
      <w:r w:rsidR="00645B58" w:rsidRPr="510AD179">
        <w:rPr>
          <w:rFonts w:cs="Arial"/>
          <w:color w:val="000000" w:themeColor="text1"/>
        </w:rPr>
        <w:t xml:space="preserve">small </w:t>
      </w:r>
      <w:r w:rsidR="009E2274" w:rsidRPr="510AD179">
        <w:rPr>
          <w:rFonts w:cs="Arial"/>
          <w:color w:val="000000" w:themeColor="text1"/>
        </w:rPr>
        <w:t>net</w:t>
      </w:r>
      <w:r w:rsidRPr="510AD179">
        <w:rPr>
          <w:rFonts w:cs="Arial"/>
          <w:color w:val="000000" w:themeColor="text1"/>
        </w:rPr>
        <w:t xml:space="preserve"> </w:t>
      </w:r>
      <w:r w:rsidR="00613B91" w:rsidRPr="510AD179">
        <w:rPr>
          <w:rFonts w:cs="Arial"/>
          <w:color w:val="000000" w:themeColor="text1"/>
        </w:rPr>
        <w:t>und</w:t>
      </w:r>
      <w:r w:rsidRPr="510AD179">
        <w:rPr>
          <w:rFonts w:cs="Arial"/>
          <w:color w:val="000000" w:themeColor="text1"/>
        </w:rPr>
        <w:t>erspend of £</w:t>
      </w:r>
      <w:r w:rsidR="00645B58" w:rsidRPr="510AD179">
        <w:rPr>
          <w:rFonts w:cs="Arial"/>
          <w:color w:val="000000" w:themeColor="text1"/>
        </w:rPr>
        <w:t>0.3</w:t>
      </w:r>
      <w:r w:rsidR="00137BE5">
        <w:rPr>
          <w:rFonts w:cs="Arial"/>
          <w:color w:val="000000" w:themeColor="text1"/>
        </w:rPr>
        <w:t xml:space="preserve"> </w:t>
      </w:r>
      <w:r w:rsidRPr="510AD179">
        <w:rPr>
          <w:rFonts w:cs="Arial"/>
          <w:color w:val="000000" w:themeColor="text1"/>
        </w:rPr>
        <w:t>m</w:t>
      </w:r>
      <w:r w:rsidR="00137BE5">
        <w:rPr>
          <w:rFonts w:cs="Arial"/>
          <w:color w:val="000000" w:themeColor="text1"/>
        </w:rPr>
        <w:t>illion</w:t>
      </w:r>
      <w:r w:rsidR="009E2274" w:rsidRPr="510AD179">
        <w:rPr>
          <w:rFonts w:cs="Arial"/>
          <w:color w:val="000000" w:themeColor="text1"/>
        </w:rPr>
        <w:t xml:space="preserve"> due to </w:t>
      </w:r>
      <w:r w:rsidR="00C67F69" w:rsidRPr="510AD179">
        <w:rPr>
          <w:rFonts w:cs="Arial"/>
          <w:color w:val="000000" w:themeColor="text1"/>
        </w:rPr>
        <w:t>additional income</w:t>
      </w:r>
      <w:r w:rsidRPr="510AD179">
        <w:rPr>
          <w:rFonts w:cs="Arial"/>
          <w:color w:val="000000" w:themeColor="text1"/>
        </w:rPr>
        <w:t xml:space="preserve"> over the year</w:t>
      </w:r>
      <w:r w:rsidR="000E606D" w:rsidRPr="510AD179">
        <w:rPr>
          <w:rFonts w:cs="Arial"/>
          <w:color w:val="000000" w:themeColor="text1"/>
        </w:rPr>
        <w:t>:</w:t>
      </w:r>
    </w:p>
    <w:p w14:paraId="40428272" w14:textId="77777777" w:rsidR="006E6CFF" w:rsidRPr="00927796" w:rsidRDefault="006E6CFF" w:rsidP="095637AE">
      <w:pPr>
        <w:rPr>
          <w:rFonts w:cs="Arial"/>
          <w:color w:val="000000" w:themeColor="text1"/>
          <w:szCs w:val="24"/>
          <w:highlight w:val="red"/>
        </w:rPr>
      </w:pPr>
    </w:p>
    <w:tbl>
      <w:tblPr>
        <w:tblStyle w:val="TableGrid"/>
        <w:tblW w:w="8573" w:type="dxa"/>
        <w:tblLook w:val="04A0" w:firstRow="1" w:lastRow="0" w:firstColumn="1" w:lastColumn="0" w:noHBand="0" w:noVBand="1"/>
      </w:tblPr>
      <w:tblGrid>
        <w:gridCol w:w="4082"/>
        <w:gridCol w:w="1497"/>
        <w:gridCol w:w="1497"/>
        <w:gridCol w:w="1497"/>
      </w:tblGrid>
      <w:tr w:rsidR="00F74CEC" w:rsidRPr="00927796" w14:paraId="13B198A7" w14:textId="77777777" w:rsidTr="002D5D55">
        <w:trPr>
          <w:trHeight w:val="601"/>
        </w:trPr>
        <w:tc>
          <w:tcPr>
            <w:tcW w:w="4082" w:type="dxa"/>
            <w:shd w:val="clear" w:color="auto" w:fill="BD2716"/>
            <w:vAlign w:val="center"/>
          </w:tcPr>
          <w:p w14:paraId="31EE9F7F" w14:textId="40E65C67"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Comparison (£000)</w:t>
            </w:r>
          </w:p>
        </w:tc>
        <w:tc>
          <w:tcPr>
            <w:tcW w:w="1497" w:type="dxa"/>
            <w:shd w:val="clear" w:color="auto" w:fill="BD2716"/>
            <w:vAlign w:val="center"/>
          </w:tcPr>
          <w:p w14:paraId="2A6988F4" w14:textId="30C1F4C9"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Budget</w:t>
            </w:r>
          </w:p>
        </w:tc>
        <w:tc>
          <w:tcPr>
            <w:tcW w:w="1497" w:type="dxa"/>
            <w:shd w:val="clear" w:color="auto" w:fill="BD2716"/>
            <w:vAlign w:val="center"/>
          </w:tcPr>
          <w:p w14:paraId="2DB7CCDD" w14:textId="5BA56808"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Spend</w:t>
            </w:r>
          </w:p>
        </w:tc>
        <w:tc>
          <w:tcPr>
            <w:tcW w:w="1497" w:type="dxa"/>
            <w:shd w:val="clear" w:color="auto" w:fill="BD2716"/>
            <w:vAlign w:val="center"/>
          </w:tcPr>
          <w:p w14:paraId="7F3AF40D" w14:textId="3918D424" w:rsidR="00F74CEC" w:rsidRPr="002D5D55" w:rsidRDefault="00F74CEC" w:rsidP="00F74CEC">
            <w:pPr>
              <w:rPr>
                <w:rFonts w:cs="Arial"/>
                <w:color w:val="FFFFFF" w:themeColor="background1"/>
                <w:szCs w:val="24"/>
                <w:lang w:eastAsia="en-GB"/>
              </w:rPr>
            </w:pPr>
            <w:r w:rsidRPr="00927796">
              <w:rPr>
                <w:rFonts w:cs="Arial"/>
                <w:color w:val="FFFFFF" w:themeColor="background1"/>
                <w:szCs w:val="24"/>
                <w:lang w:eastAsia="en-GB"/>
              </w:rPr>
              <w:t>(Under)</w:t>
            </w:r>
            <w:r w:rsidR="006E1935">
              <w:rPr>
                <w:rFonts w:cs="Arial"/>
                <w:color w:val="FFFFFF" w:themeColor="background1"/>
                <w:szCs w:val="24"/>
                <w:lang w:eastAsia="en-GB"/>
              </w:rPr>
              <w:t xml:space="preserve"> or </w:t>
            </w:r>
            <w:proofErr w:type="gramStart"/>
            <w:r w:rsidRPr="00927796">
              <w:rPr>
                <w:rFonts w:cs="Arial"/>
                <w:color w:val="FFFFFF" w:themeColor="background1"/>
                <w:szCs w:val="24"/>
                <w:lang w:eastAsia="en-GB"/>
              </w:rPr>
              <w:t>Overspend</w:t>
            </w:r>
            <w:proofErr w:type="gramEnd"/>
          </w:p>
        </w:tc>
      </w:tr>
      <w:tr w:rsidR="00F74CEC" w:rsidRPr="00927796" w14:paraId="54226C00" w14:textId="77777777" w:rsidTr="002D5D55">
        <w:trPr>
          <w:trHeight w:val="300"/>
        </w:trPr>
        <w:tc>
          <w:tcPr>
            <w:tcW w:w="4082" w:type="dxa"/>
            <w:vAlign w:val="center"/>
          </w:tcPr>
          <w:p w14:paraId="1F39F0F2" w14:textId="34612977" w:rsidR="00F74CEC" w:rsidRPr="00927796" w:rsidRDefault="00F74CEC" w:rsidP="00F74CEC">
            <w:pPr>
              <w:rPr>
                <w:rFonts w:cs="Arial"/>
                <w:color w:val="000000" w:themeColor="text1"/>
                <w:szCs w:val="24"/>
                <w:highlight w:val="red"/>
              </w:rPr>
            </w:pPr>
            <w:r w:rsidRPr="00927796">
              <w:rPr>
                <w:rFonts w:cs="Arial"/>
                <w:szCs w:val="24"/>
                <w:lang w:eastAsia="en-GB"/>
              </w:rPr>
              <w:t>Employees: pay costs</w:t>
            </w:r>
          </w:p>
        </w:tc>
        <w:tc>
          <w:tcPr>
            <w:tcW w:w="1497" w:type="dxa"/>
            <w:vAlign w:val="center"/>
          </w:tcPr>
          <w:p w14:paraId="0CDD4930" w14:textId="24798D53" w:rsidR="00F74CEC" w:rsidRPr="002D5D55" w:rsidRDefault="00C67F69" w:rsidP="002D5D55">
            <w:pPr>
              <w:jc w:val="right"/>
              <w:rPr>
                <w:rFonts w:cs="Arial"/>
                <w:color w:val="000000" w:themeColor="text1"/>
                <w:szCs w:val="24"/>
              </w:rPr>
            </w:pPr>
            <w:r>
              <w:rPr>
                <w:rFonts w:cs="Arial"/>
                <w:color w:val="000000" w:themeColor="text1"/>
                <w:szCs w:val="24"/>
              </w:rPr>
              <w:t>61,046</w:t>
            </w:r>
          </w:p>
        </w:tc>
        <w:tc>
          <w:tcPr>
            <w:tcW w:w="1497" w:type="dxa"/>
            <w:vAlign w:val="center"/>
          </w:tcPr>
          <w:p w14:paraId="204D5EAD" w14:textId="0328C6E5" w:rsidR="00F74CEC" w:rsidRPr="002D5D55" w:rsidRDefault="00C67F69" w:rsidP="002D5D55">
            <w:pPr>
              <w:jc w:val="right"/>
              <w:rPr>
                <w:rFonts w:cs="Arial"/>
                <w:color w:val="000000" w:themeColor="text1"/>
                <w:szCs w:val="24"/>
              </w:rPr>
            </w:pPr>
            <w:r>
              <w:rPr>
                <w:rFonts w:cs="Arial"/>
                <w:color w:val="000000" w:themeColor="text1"/>
                <w:szCs w:val="24"/>
              </w:rPr>
              <w:t>60,684</w:t>
            </w:r>
          </w:p>
        </w:tc>
        <w:tc>
          <w:tcPr>
            <w:tcW w:w="1497" w:type="dxa"/>
            <w:vAlign w:val="center"/>
          </w:tcPr>
          <w:p w14:paraId="5335DB14" w14:textId="0049AD0C" w:rsidR="00F74CEC" w:rsidRPr="002D5D55" w:rsidRDefault="00D44EF0" w:rsidP="002D5D55">
            <w:pPr>
              <w:jc w:val="right"/>
              <w:rPr>
                <w:rFonts w:cs="Arial"/>
                <w:color w:val="000000" w:themeColor="text1"/>
                <w:szCs w:val="24"/>
              </w:rPr>
            </w:pPr>
            <w:r>
              <w:rPr>
                <w:rFonts w:cs="Arial"/>
                <w:color w:val="000000" w:themeColor="text1"/>
                <w:szCs w:val="24"/>
              </w:rPr>
              <w:t>(362)</w:t>
            </w:r>
          </w:p>
        </w:tc>
      </w:tr>
      <w:tr w:rsidR="00F74CEC" w:rsidRPr="00927796" w14:paraId="57C9C122" w14:textId="77777777" w:rsidTr="002D5D55">
        <w:trPr>
          <w:trHeight w:val="300"/>
        </w:trPr>
        <w:tc>
          <w:tcPr>
            <w:tcW w:w="4082" w:type="dxa"/>
            <w:vAlign w:val="center"/>
          </w:tcPr>
          <w:p w14:paraId="47961EC1" w14:textId="0E808C5B" w:rsidR="00F74CEC" w:rsidRPr="00927796" w:rsidRDefault="00F74CEC" w:rsidP="00F74CEC">
            <w:pPr>
              <w:rPr>
                <w:rFonts w:cs="Arial"/>
                <w:color w:val="000000" w:themeColor="text1"/>
                <w:szCs w:val="24"/>
                <w:highlight w:val="red"/>
              </w:rPr>
            </w:pPr>
            <w:r w:rsidRPr="00927796">
              <w:rPr>
                <w:rFonts w:cs="Arial"/>
                <w:szCs w:val="24"/>
                <w:lang w:eastAsia="en-GB"/>
              </w:rPr>
              <w:t>Other employee related costs</w:t>
            </w:r>
          </w:p>
        </w:tc>
        <w:tc>
          <w:tcPr>
            <w:tcW w:w="1497" w:type="dxa"/>
            <w:vAlign w:val="center"/>
          </w:tcPr>
          <w:p w14:paraId="6526BB63" w14:textId="6720F72F" w:rsidR="00F74CEC" w:rsidRPr="002D5D55" w:rsidRDefault="00C67F69" w:rsidP="002D5D55">
            <w:pPr>
              <w:jc w:val="right"/>
              <w:rPr>
                <w:rFonts w:cs="Arial"/>
                <w:color w:val="000000" w:themeColor="text1"/>
                <w:szCs w:val="24"/>
              </w:rPr>
            </w:pPr>
            <w:r>
              <w:rPr>
                <w:rFonts w:cs="Arial"/>
                <w:color w:val="000000" w:themeColor="text1"/>
                <w:szCs w:val="24"/>
              </w:rPr>
              <w:t>1,904</w:t>
            </w:r>
          </w:p>
        </w:tc>
        <w:tc>
          <w:tcPr>
            <w:tcW w:w="1497" w:type="dxa"/>
            <w:vAlign w:val="center"/>
          </w:tcPr>
          <w:p w14:paraId="19EFA6AD" w14:textId="1D0A2A44" w:rsidR="00F74CEC" w:rsidRPr="002D5D55" w:rsidRDefault="00C67F69" w:rsidP="002D5D55">
            <w:pPr>
              <w:jc w:val="right"/>
              <w:rPr>
                <w:rFonts w:cs="Arial"/>
                <w:color w:val="000000" w:themeColor="text1"/>
                <w:szCs w:val="24"/>
              </w:rPr>
            </w:pPr>
            <w:r>
              <w:rPr>
                <w:rFonts w:cs="Arial"/>
                <w:color w:val="000000" w:themeColor="text1"/>
                <w:szCs w:val="24"/>
              </w:rPr>
              <w:t>1,889</w:t>
            </w:r>
          </w:p>
        </w:tc>
        <w:tc>
          <w:tcPr>
            <w:tcW w:w="1497" w:type="dxa"/>
            <w:vAlign w:val="center"/>
          </w:tcPr>
          <w:p w14:paraId="19D9E8EE" w14:textId="36BFD41A" w:rsidR="00F74CEC" w:rsidRPr="002D5D55" w:rsidRDefault="00DD5C4F" w:rsidP="002D5D55">
            <w:pPr>
              <w:jc w:val="right"/>
              <w:rPr>
                <w:rFonts w:cs="Arial"/>
                <w:color w:val="000000" w:themeColor="text1"/>
                <w:szCs w:val="24"/>
              </w:rPr>
            </w:pPr>
            <w:r>
              <w:rPr>
                <w:rFonts w:cs="Arial"/>
                <w:color w:val="000000" w:themeColor="text1"/>
                <w:szCs w:val="24"/>
              </w:rPr>
              <w:t>(15)</w:t>
            </w:r>
          </w:p>
        </w:tc>
      </w:tr>
      <w:tr w:rsidR="00F74CEC" w:rsidRPr="00927796" w14:paraId="1B0A931A" w14:textId="77777777" w:rsidTr="002D5D55">
        <w:trPr>
          <w:trHeight w:val="300"/>
        </w:trPr>
        <w:tc>
          <w:tcPr>
            <w:tcW w:w="4082" w:type="dxa"/>
            <w:vAlign w:val="center"/>
          </w:tcPr>
          <w:p w14:paraId="72032AE9" w14:textId="74953587" w:rsidR="00F74CEC" w:rsidRPr="00927796" w:rsidRDefault="00F74CEC" w:rsidP="00F74CEC">
            <w:pPr>
              <w:rPr>
                <w:rFonts w:cs="Arial"/>
                <w:color w:val="000000" w:themeColor="text1"/>
                <w:szCs w:val="24"/>
                <w:highlight w:val="red"/>
              </w:rPr>
            </w:pPr>
            <w:r w:rsidRPr="00927796">
              <w:rPr>
                <w:rFonts w:cs="Arial"/>
                <w:szCs w:val="24"/>
                <w:lang w:eastAsia="en-GB"/>
              </w:rPr>
              <w:t>Premises</w:t>
            </w:r>
          </w:p>
        </w:tc>
        <w:tc>
          <w:tcPr>
            <w:tcW w:w="1497" w:type="dxa"/>
            <w:vAlign w:val="center"/>
          </w:tcPr>
          <w:p w14:paraId="7E922C9E" w14:textId="55BB1831" w:rsidR="00F74CEC" w:rsidRPr="002D5D55" w:rsidRDefault="00C67F69" w:rsidP="002D5D55">
            <w:pPr>
              <w:jc w:val="right"/>
              <w:rPr>
                <w:rFonts w:cs="Arial"/>
                <w:color w:val="000000" w:themeColor="text1"/>
                <w:szCs w:val="24"/>
              </w:rPr>
            </w:pPr>
            <w:r>
              <w:rPr>
                <w:rFonts w:cs="Arial"/>
                <w:color w:val="000000" w:themeColor="text1"/>
                <w:szCs w:val="24"/>
              </w:rPr>
              <w:t>4,289</w:t>
            </w:r>
          </w:p>
        </w:tc>
        <w:tc>
          <w:tcPr>
            <w:tcW w:w="1497" w:type="dxa"/>
            <w:vAlign w:val="center"/>
          </w:tcPr>
          <w:p w14:paraId="48C6B2E4" w14:textId="5B0EA44E" w:rsidR="00F74CEC" w:rsidRPr="002D5D55" w:rsidRDefault="00C67F69" w:rsidP="002D5D55">
            <w:pPr>
              <w:jc w:val="right"/>
              <w:rPr>
                <w:rFonts w:cs="Arial"/>
                <w:color w:val="000000" w:themeColor="text1"/>
                <w:szCs w:val="24"/>
              </w:rPr>
            </w:pPr>
            <w:r>
              <w:rPr>
                <w:rFonts w:cs="Arial"/>
                <w:color w:val="000000" w:themeColor="text1"/>
                <w:szCs w:val="24"/>
              </w:rPr>
              <w:t>4,101</w:t>
            </w:r>
          </w:p>
        </w:tc>
        <w:tc>
          <w:tcPr>
            <w:tcW w:w="1497" w:type="dxa"/>
            <w:vAlign w:val="center"/>
          </w:tcPr>
          <w:p w14:paraId="09C9BAA9" w14:textId="3A02BE3C" w:rsidR="00F74CEC" w:rsidRPr="002D5D55" w:rsidRDefault="00DD5C4F" w:rsidP="002D5D55">
            <w:pPr>
              <w:jc w:val="right"/>
              <w:rPr>
                <w:rFonts w:cs="Arial"/>
                <w:color w:val="000000" w:themeColor="text1"/>
                <w:szCs w:val="24"/>
              </w:rPr>
            </w:pPr>
            <w:r>
              <w:rPr>
                <w:rFonts w:cs="Arial"/>
                <w:color w:val="000000" w:themeColor="text1"/>
                <w:szCs w:val="24"/>
              </w:rPr>
              <w:t>(188)</w:t>
            </w:r>
          </w:p>
        </w:tc>
      </w:tr>
      <w:tr w:rsidR="00F74CEC" w:rsidRPr="00927796" w14:paraId="7DFD6B5E" w14:textId="77777777" w:rsidTr="002D5D55">
        <w:trPr>
          <w:trHeight w:val="300"/>
        </w:trPr>
        <w:tc>
          <w:tcPr>
            <w:tcW w:w="4082" w:type="dxa"/>
            <w:vAlign w:val="center"/>
          </w:tcPr>
          <w:p w14:paraId="225AB64C" w14:textId="1B337E45" w:rsidR="00F74CEC" w:rsidRPr="00927796" w:rsidRDefault="00F74CEC" w:rsidP="00F74CEC">
            <w:pPr>
              <w:rPr>
                <w:rFonts w:cs="Arial"/>
                <w:color w:val="000000" w:themeColor="text1"/>
                <w:szCs w:val="24"/>
                <w:highlight w:val="red"/>
              </w:rPr>
            </w:pPr>
            <w:r w:rsidRPr="00927796">
              <w:rPr>
                <w:rFonts w:cs="Arial"/>
                <w:szCs w:val="24"/>
                <w:lang w:eastAsia="en-GB"/>
              </w:rPr>
              <w:t>Transport</w:t>
            </w:r>
          </w:p>
        </w:tc>
        <w:tc>
          <w:tcPr>
            <w:tcW w:w="1497" w:type="dxa"/>
            <w:vAlign w:val="center"/>
          </w:tcPr>
          <w:p w14:paraId="0D10492B" w14:textId="3CEE0E51" w:rsidR="00F74CEC" w:rsidRPr="002D5D55" w:rsidRDefault="00C67F69" w:rsidP="002D5D55">
            <w:pPr>
              <w:jc w:val="right"/>
              <w:rPr>
                <w:rFonts w:cs="Arial"/>
                <w:color w:val="000000" w:themeColor="text1"/>
                <w:szCs w:val="24"/>
              </w:rPr>
            </w:pPr>
            <w:r>
              <w:rPr>
                <w:rFonts w:cs="Arial"/>
                <w:color w:val="000000" w:themeColor="text1"/>
                <w:szCs w:val="24"/>
              </w:rPr>
              <w:t>2,445</w:t>
            </w:r>
          </w:p>
        </w:tc>
        <w:tc>
          <w:tcPr>
            <w:tcW w:w="1497" w:type="dxa"/>
            <w:vAlign w:val="center"/>
          </w:tcPr>
          <w:p w14:paraId="44D3BC01" w14:textId="6E6C29BE" w:rsidR="00F74CEC" w:rsidRPr="002D5D55" w:rsidRDefault="00C67F69" w:rsidP="002D5D55">
            <w:pPr>
              <w:jc w:val="right"/>
              <w:rPr>
                <w:rFonts w:cs="Arial"/>
                <w:color w:val="000000" w:themeColor="text1"/>
                <w:szCs w:val="24"/>
              </w:rPr>
            </w:pPr>
            <w:r>
              <w:rPr>
                <w:rFonts w:cs="Arial"/>
                <w:color w:val="000000" w:themeColor="text1"/>
                <w:szCs w:val="24"/>
              </w:rPr>
              <w:t>2,367</w:t>
            </w:r>
          </w:p>
        </w:tc>
        <w:tc>
          <w:tcPr>
            <w:tcW w:w="1497" w:type="dxa"/>
            <w:vAlign w:val="center"/>
          </w:tcPr>
          <w:p w14:paraId="09E053D9" w14:textId="5BE5ED71" w:rsidR="00F74CEC" w:rsidRPr="002D5D55" w:rsidRDefault="00DD5C4F" w:rsidP="002D5D55">
            <w:pPr>
              <w:jc w:val="right"/>
              <w:rPr>
                <w:rFonts w:cs="Arial"/>
                <w:color w:val="000000" w:themeColor="text1"/>
                <w:szCs w:val="24"/>
              </w:rPr>
            </w:pPr>
            <w:r>
              <w:rPr>
                <w:rFonts w:cs="Arial"/>
                <w:color w:val="000000" w:themeColor="text1"/>
                <w:szCs w:val="24"/>
              </w:rPr>
              <w:t>(78)</w:t>
            </w:r>
          </w:p>
        </w:tc>
      </w:tr>
      <w:tr w:rsidR="00F74CEC" w:rsidRPr="00927796" w14:paraId="6380032B" w14:textId="77777777" w:rsidTr="002D5D55">
        <w:trPr>
          <w:trHeight w:val="300"/>
        </w:trPr>
        <w:tc>
          <w:tcPr>
            <w:tcW w:w="4082" w:type="dxa"/>
            <w:vAlign w:val="center"/>
          </w:tcPr>
          <w:p w14:paraId="7E0CF68C" w14:textId="217FEB38" w:rsidR="00F74CEC" w:rsidRPr="00927796" w:rsidRDefault="00F74CEC" w:rsidP="00F74CEC">
            <w:pPr>
              <w:rPr>
                <w:rFonts w:cs="Arial"/>
                <w:color w:val="000000" w:themeColor="text1"/>
                <w:szCs w:val="24"/>
                <w:highlight w:val="red"/>
              </w:rPr>
            </w:pPr>
            <w:r w:rsidRPr="00927796">
              <w:rPr>
                <w:rFonts w:cs="Arial"/>
                <w:szCs w:val="24"/>
                <w:lang w:eastAsia="en-GB"/>
              </w:rPr>
              <w:t>Supplies &amp; services</w:t>
            </w:r>
          </w:p>
        </w:tc>
        <w:tc>
          <w:tcPr>
            <w:tcW w:w="1497" w:type="dxa"/>
            <w:vAlign w:val="center"/>
          </w:tcPr>
          <w:p w14:paraId="525B4D5F" w14:textId="25D5E626" w:rsidR="00F74CEC" w:rsidRPr="002D5D55" w:rsidRDefault="00C67F69" w:rsidP="002D5D55">
            <w:pPr>
              <w:jc w:val="right"/>
              <w:rPr>
                <w:rFonts w:cs="Arial"/>
                <w:color w:val="000000" w:themeColor="text1"/>
                <w:szCs w:val="24"/>
              </w:rPr>
            </w:pPr>
            <w:r>
              <w:rPr>
                <w:rFonts w:cs="Arial"/>
                <w:color w:val="000000" w:themeColor="text1"/>
                <w:szCs w:val="24"/>
              </w:rPr>
              <w:t>10,877</w:t>
            </w:r>
          </w:p>
        </w:tc>
        <w:tc>
          <w:tcPr>
            <w:tcW w:w="1497" w:type="dxa"/>
            <w:vAlign w:val="center"/>
          </w:tcPr>
          <w:p w14:paraId="13B420BD" w14:textId="67283AB1" w:rsidR="00F74CEC" w:rsidRPr="002D5D55" w:rsidRDefault="00D44EF0" w:rsidP="002D5D55">
            <w:pPr>
              <w:jc w:val="right"/>
              <w:rPr>
                <w:rFonts w:cs="Arial"/>
                <w:color w:val="000000" w:themeColor="text1"/>
                <w:szCs w:val="24"/>
              </w:rPr>
            </w:pPr>
            <w:r>
              <w:rPr>
                <w:rFonts w:cs="Arial"/>
                <w:color w:val="000000" w:themeColor="text1"/>
                <w:szCs w:val="24"/>
              </w:rPr>
              <w:t>11,198</w:t>
            </w:r>
          </w:p>
        </w:tc>
        <w:tc>
          <w:tcPr>
            <w:tcW w:w="1497" w:type="dxa"/>
            <w:vAlign w:val="center"/>
          </w:tcPr>
          <w:p w14:paraId="0058A35E" w14:textId="1191D54A" w:rsidR="00F74CEC" w:rsidRPr="002D5D55" w:rsidRDefault="00DD5C4F" w:rsidP="002D5D55">
            <w:pPr>
              <w:jc w:val="right"/>
              <w:rPr>
                <w:rFonts w:cs="Arial"/>
                <w:color w:val="000000" w:themeColor="text1"/>
                <w:szCs w:val="24"/>
              </w:rPr>
            </w:pPr>
            <w:r>
              <w:rPr>
                <w:rFonts w:cs="Arial"/>
                <w:color w:val="000000" w:themeColor="text1"/>
                <w:szCs w:val="24"/>
              </w:rPr>
              <w:t>321</w:t>
            </w:r>
          </w:p>
        </w:tc>
      </w:tr>
      <w:tr w:rsidR="00F74CEC" w:rsidRPr="00927796" w14:paraId="1EE312E2" w14:textId="77777777" w:rsidTr="002D5D55">
        <w:trPr>
          <w:trHeight w:val="300"/>
        </w:trPr>
        <w:tc>
          <w:tcPr>
            <w:tcW w:w="4082" w:type="dxa"/>
            <w:vAlign w:val="center"/>
          </w:tcPr>
          <w:p w14:paraId="41068767" w14:textId="436F8821" w:rsidR="00F74CEC" w:rsidRPr="00927796" w:rsidRDefault="00F74CEC" w:rsidP="00F74CEC">
            <w:pPr>
              <w:rPr>
                <w:rFonts w:cs="Arial"/>
                <w:color w:val="000000" w:themeColor="text1"/>
                <w:szCs w:val="24"/>
                <w:highlight w:val="red"/>
              </w:rPr>
            </w:pPr>
            <w:r w:rsidRPr="00927796">
              <w:rPr>
                <w:rFonts w:cs="Arial"/>
                <w:szCs w:val="24"/>
                <w:lang w:eastAsia="en-GB"/>
              </w:rPr>
              <w:t>Capital financing costs &amp; other items</w:t>
            </w:r>
          </w:p>
        </w:tc>
        <w:tc>
          <w:tcPr>
            <w:tcW w:w="1497" w:type="dxa"/>
            <w:vAlign w:val="center"/>
          </w:tcPr>
          <w:p w14:paraId="3285492B" w14:textId="64227FC3" w:rsidR="00F74CEC" w:rsidRPr="002D5D55" w:rsidRDefault="00C67F69" w:rsidP="002D5D55">
            <w:pPr>
              <w:jc w:val="right"/>
              <w:rPr>
                <w:rFonts w:cs="Arial"/>
                <w:color w:val="000000" w:themeColor="text1"/>
                <w:szCs w:val="24"/>
              </w:rPr>
            </w:pPr>
            <w:r>
              <w:rPr>
                <w:rFonts w:cs="Arial"/>
                <w:color w:val="000000" w:themeColor="text1"/>
                <w:szCs w:val="24"/>
              </w:rPr>
              <w:t>4,812</w:t>
            </w:r>
          </w:p>
        </w:tc>
        <w:tc>
          <w:tcPr>
            <w:tcW w:w="1497" w:type="dxa"/>
            <w:vAlign w:val="center"/>
          </w:tcPr>
          <w:p w14:paraId="3E54CCCA" w14:textId="5838CDF6" w:rsidR="00F74CEC" w:rsidRPr="002D5D55" w:rsidRDefault="00D44EF0" w:rsidP="002D5D55">
            <w:pPr>
              <w:jc w:val="right"/>
              <w:rPr>
                <w:rFonts w:cs="Arial"/>
                <w:color w:val="000000" w:themeColor="text1"/>
                <w:szCs w:val="24"/>
              </w:rPr>
            </w:pPr>
            <w:r>
              <w:rPr>
                <w:rFonts w:cs="Arial"/>
                <w:color w:val="000000" w:themeColor="text1"/>
                <w:szCs w:val="24"/>
              </w:rPr>
              <w:t>5,640</w:t>
            </w:r>
          </w:p>
        </w:tc>
        <w:tc>
          <w:tcPr>
            <w:tcW w:w="1497" w:type="dxa"/>
            <w:vAlign w:val="center"/>
          </w:tcPr>
          <w:p w14:paraId="564136E0" w14:textId="39C29905" w:rsidR="00F74CEC" w:rsidRPr="002D5D55" w:rsidRDefault="00DD5C4F" w:rsidP="002D5D55">
            <w:pPr>
              <w:jc w:val="right"/>
              <w:rPr>
                <w:rFonts w:cs="Arial"/>
                <w:color w:val="000000" w:themeColor="text1"/>
                <w:szCs w:val="24"/>
              </w:rPr>
            </w:pPr>
            <w:r>
              <w:rPr>
                <w:rFonts w:cs="Arial"/>
                <w:color w:val="000000" w:themeColor="text1"/>
                <w:szCs w:val="24"/>
              </w:rPr>
              <w:t>828</w:t>
            </w:r>
          </w:p>
        </w:tc>
      </w:tr>
      <w:tr w:rsidR="00F74CEC" w:rsidRPr="00927796" w14:paraId="663997DA" w14:textId="77777777" w:rsidTr="002D5D55">
        <w:trPr>
          <w:trHeight w:val="300"/>
        </w:trPr>
        <w:tc>
          <w:tcPr>
            <w:tcW w:w="4082" w:type="dxa"/>
            <w:vAlign w:val="center"/>
          </w:tcPr>
          <w:p w14:paraId="085823F9" w14:textId="28C62A17" w:rsidR="00F74CEC" w:rsidRPr="00927796" w:rsidRDefault="00F74CEC" w:rsidP="00F74CEC">
            <w:pPr>
              <w:rPr>
                <w:rFonts w:cs="Arial"/>
                <w:color w:val="000000" w:themeColor="text1"/>
                <w:szCs w:val="24"/>
                <w:highlight w:val="red"/>
              </w:rPr>
            </w:pPr>
            <w:r w:rsidRPr="00927796">
              <w:rPr>
                <w:rFonts w:cs="Arial"/>
                <w:b/>
                <w:bCs/>
                <w:szCs w:val="24"/>
                <w:lang w:eastAsia="en-GB"/>
              </w:rPr>
              <w:t>Total Expenditure</w:t>
            </w:r>
          </w:p>
        </w:tc>
        <w:tc>
          <w:tcPr>
            <w:tcW w:w="1497" w:type="dxa"/>
            <w:vAlign w:val="center"/>
          </w:tcPr>
          <w:p w14:paraId="3868BFF4" w14:textId="1368F3D1" w:rsidR="00F74CEC" w:rsidRPr="002D5D55" w:rsidRDefault="00C67F69" w:rsidP="002D5D55">
            <w:pPr>
              <w:jc w:val="right"/>
              <w:rPr>
                <w:rFonts w:cs="Arial"/>
                <w:b/>
                <w:color w:val="000000" w:themeColor="text1"/>
                <w:szCs w:val="24"/>
              </w:rPr>
            </w:pPr>
            <w:r>
              <w:rPr>
                <w:rFonts w:cs="Arial"/>
                <w:b/>
                <w:color w:val="000000" w:themeColor="text1"/>
                <w:szCs w:val="24"/>
              </w:rPr>
              <w:t>85,373</w:t>
            </w:r>
          </w:p>
        </w:tc>
        <w:tc>
          <w:tcPr>
            <w:tcW w:w="1497" w:type="dxa"/>
            <w:vAlign w:val="center"/>
          </w:tcPr>
          <w:p w14:paraId="2598CBD5" w14:textId="42330A80" w:rsidR="00F74CEC" w:rsidRPr="002D5D55" w:rsidRDefault="00D44EF0" w:rsidP="002D5D55">
            <w:pPr>
              <w:jc w:val="right"/>
              <w:rPr>
                <w:rFonts w:cs="Arial"/>
                <w:b/>
                <w:color w:val="000000" w:themeColor="text1"/>
                <w:szCs w:val="24"/>
              </w:rPr>
            </w:pPr>
            <w:r>
              <w:rPr>
                <w:rFonts w:cs="Arial"/>
                <w:b/>
                <w:color w:val="000000" w:themeColor="text1"/>
                <w:szCs w:val="24"/>
              </w:rPr>
              <w:t>85,879</w:t>
            </w:r>
          </w:p>
        </w:tc>
        <w:tc>
          <w:tcPr>
            <w:tcW w:w="1497" w:type="dxa"/>
            <w:vAlign w:val="center"/>
          </w:tcPr>
          <w:p w14:paraId="71D07C33" w14:textId="5E7EC13B" w:rsidR="00F74CEC" w:rsidRPr="002D5D55" w:rsidRDefault="00DD5C4F" w:rsidP="002D5D55">
            <w:pPr>
              <w:jc w:val="right"/>
              <w:rPr>
                <w:rFonts w:cs="Arial"/>
                <w:b/>
                <w:color w:val="000000" w:themeColor="text1"/>
                <w:szCs w:val="24"/>
              </w:rPr>
            </w:pPr>
            <w:r>
              <w:rPr>
                <w:rFonts w:cs="Arial"/>
                <w:b/>
                <w:color w:val="000000" w:themeColor="text1"/>
                <w:szCs w:val="24"/>
              </w:rPr>
              <w:t>506</w:t>
            </w:r>
          </w:p>
        </w:tc>
      </w:tr>
      <w:tr w:rsidR="00F74CEC" w:rsidRPr="00927796" w14:paraId="6E3F1FA8" w14:textId="77777777" w:rsidTr="002D5D55">
        <w:trPr>
          <w:trHeight w:val="300"/>
        </w:trPr>
        <w:tc>
          <w:tcPr>
            <w:tcW w:w="4082" w:type="dxa"/>
            <w:vAlign w:val="center"/>
          </w:tcPr>
          <w:p w14:paraId="7FBA1EA3" w14:textId="55496E80" w:rsidR="00F74CEC" w:rsidRPr="00927796" w:rsidRDefault="00F74CEC" w:rsidP="00F74CEC">
            <w:pPr>
              <w:rPr>
                <w:rFonts w:cs="Arial"/>
                <w:color w:val="000000" w:themeColor="text1"/>
                <w:szCs w:val="24"/>
                <w:highlight w:val="red"/>
              </w:rPr>
            </w:pPr>
            <w:r w:rsidRPr="00927796">
              <w:rPr>
                <w:rFonts w:cs="Arial"/>
                <w:szCs w:val="24"/>
                <w:lang w:eastAsia="en-GB"/>
              </w:rPr>
              <w:t>Other Income</w:t>
            </w:r>
          </w:p>
        </w:tc>
        <w:tc>
          <w:tcPr>
            <w:tcW w:w="1497" w:type="dxa"/>
            <w:vAlign w:val="center"/>
          </w:tcPr>
          <w:p w14:paraId="22365D62" w14:textId="796EEA21" w:rsidR="00F74CEC" w:rsidRPr="002D5D55" w:rsidRDefault="00C67F69" w:rsidP="002D5D55">
            <w:pPr>
              <w:jc w:val="right"/>
              <w:rPr>
                <w:rFonts w:cs="Arial"/>
                <w:color w:val="000000" w:themeColor="text1"/>
                <w:szCs w:val="24"/>
              </w:rPr>
            </w:pPr>
            <w:r>
              <w:rPr>
                <w:rFonts w:cs="Arial"/>
                <w:color w:val="000000" w:themeColor="text1"/>
                <w:szCs w:val="24"/>
              </w:rPr>
              <w:t>(7,863)</w:t>
            </w:r>
          </w:p>
        </w:tc>
        <w:tc>
          <w:tcPr>
            <w:tcW w:w="1497" w:type="dxa"/>
            <w:vAlign w:val="center"/>
          </w:tcPr>
          <w:p w14:paraId="1AA95058" w14:textId="1BE14344" w:rsidR="00F74CEC" w:rsidRPr="002D5D55" w:rsidRDefault="00D44EF0" w:rsidP="002D5D55">
            <w:pPr>
              <w:jc w:val="right"/>
              <w:rPr>
                <w:rFonts w:cs="Arial"/>
                <w:color w:val="000000" w:themeColor="text1"/>
                <w:szCs w:val="24"/>
              </w:rPr>
            </w:pPr>
            <w:r>
              <w:rPr>
                <w:rFonts w:cs="Arial"/>
                <w:color w:val="000000" w:themeColor="text1"/>
                <w:szCs w:val="24"/>
              </w:rPr>
              <w:t>(8,633)</w:t>
            </w:r>
          </w:p>
        </w:tc>
        <w:tc>
          <w:tcPr>
            <w:tcW w:w="1497" w:type="dxa"/>
            <w:vAlign w:val="center"/>
          </w:tcPr>
          <w:p w14:paraId="6C7C0E57" w14:textId="44348874" w:rsidR="00F74CEC" w:rsidRPr="002D5D55" w:rsidRDefault="00E2480A" w:rsidP="002D5D55">
            <w:pPr>
              <w:jc w:val="right"/>
              <w:rPr>
                <w:rFonts w:cs="Arial"/>
                <w:color w:val="000000" w:themeColor="text1"/>
                <w:szCs w:val="24"/>
              </w:rPr>
            </w:pPr>
            <w:r>
              <w:rPr>
                <w:rFonts w:cs="Arial"/>
                <w:color w:val="000000" w:themeColor="text1"/>
                <w:szCs w:val="24"/>
              </w:rPr>
              <w:t>(770)</w:t>
            </w:r>
          </w:p>
        </w:tc>
      </w:tr>
      <w:tr w:rsidR="00F74CEC" w:rsidRPr="00927796" w14:paraId="6FFB0D66" w14:textId="77777777" w:rsidTr="002D5D55">
        <w:trPr>
          <w:trHeight w:val="300"/>
        </w:trPr>
        <w:tc>
          <w:tcPr>
            <w:tcW w:w="4082" w:type="dxa"/>
            <w:vAlign w:val="center"/>
          </w:tcPr>
          <w:p w14:paraId="06AE5A35" w14:textId="7D20FC8A" w:rsidR="00F74CEC" w:rsidRPr="00927796" w:rsidRDefault="00F74CEC" w:rsidP="00F74CEC">
            <w:pPr>
              <w:rPr>
                <w:rFonts w:cs="Arial"/>
                <w:color w:val="000000" w:themeColor="text1"/>
                <w:szCs w:val="24"/>
                <w:highlight w:val="red"/>
              </w:rPr>
            </w:pPr>
            <w:r w:rsidRPr="00927796">
              <w:rPr>
                <w:rFonts w:cs="Arial"/>
                <w:b/>
                <w:bCs/>
                <w:szCs w:val="24"/>
                <w:lang w:eastAsia="en-GB"/>
              </w:rPr>
              <w:t>Budget requirement</w:t>
            </w:r>
          </w:p>
        </w:tc>
        <w:tc>
          <w:tcPr>
            <w:tcW w:w="1497" w:type="dxa"/>
            <w:vAlign w:val="center"/>
          </w:tcPr>
          <w:p w14:paraId="69C76590" w14:textId="6D002D51" w:rsidR="00F74CEC" w:rsidRPr="002D5D55" w:rsidRDefault="00C67F69" w:rsidP="002D5D55">
            <w:pPr>
              <w:jc w:val="right"/>
              <w:rPr>
                <w:rFonts w:cs="Arial"/>
                <w:b/>
                <w:color w:val="000000" w:themeColor="text1"/>
                <w:szCs w:val="24"/>
              </w:rPr>
            </w:pPr>
            <w:r>
              <w:rPr>
                <w:rFonts w:cs="Arial"/>
                <w:b/>
                <w:color w:val="000000" w:themeColor="text1"/>
                <w:szCs w:val="24"/>
              </w:rPr>
              <w:t>77,511</w:t>
            </w:r>
          </w:p>
        </w:tc>
        <w:tc>
          <w:tcPr>
            <w:tcW w:w="1497" w:type="dxa"/>
            <w:vAlign w:val="center"/>
          </w:tcPr>
          <w:p w14:paraId="21903C00" w14:textId="5D0C6B8E" w:rsidR="00F74CEC" w:rsidRPr="002D5D55" w:rsidRDefault="00D44EF0" w:rsidP="002D5D55">
            <w:pPr>
              <w:jc w:val="right"/>
              <w:rPr>
                <w:rFonts w:cs="Arial"/>
                <w:b/>
                <w:color w:val="000000" w:themeColor="text1"/>
                <w:szCs w:val="24"/>
              </w:rPr>
            </w:pPr>
            <w:r>
              <w:rPr>
                <w:rFonts w:cs="Arial"/>
                <w:b/>
                <w:color w:val="000000" w:themeColor="text1"/>
                <w:szCs w:val="24"/>
              </w:rPr>
              <w:t>77,247</w:t>
            </w:r>
          </w:p>
        </w:tc>
        <w:tc>
          <w:tcPr>
            <w:tcW w:w="1497" w:type="dxa"/>
            <w:vAlign w:val="center"/>
          </w:tcPr>
          <w:p w14:paraId="355A9B0D" w14:textId="4D9C4BC6" w:rsidR="00F74CEC" w:rsidRPr="002D5D55" w:rsidRDefault="00E2480A" w:rsidP="002D5D55">
            <w:pPr>
              <w:jc w:val="right"/>
              <w:rPr>
                <w:rFonts w:cs="Arial"/>
                <w:b/>
                <w:color w:val="000000" w:themeColor="text1"/>
                <w:szCs w:val="24"/>
              </w:rPr>
            </w:pPr>
            <w:r>
              <w:rPr>
                <w:rFonts w:cs="Arial"/>
                <w:b/>
                <w:color w:val="000000" w:themeColor="text1"/>
                <w:szCs w:val="24"/>
              </w:rPr>
              <w:t>(264)</w:t>
            </w:r>
          </w:p>
        </w:tc>
      </w:tr>
    </w:tbl>
    <w:p w14:paraId="43364480" w14:textId="77777777" w:rsidR="00870DA3" w:rsidRPr="00927796" w:rsidRDefault="00870DA3" w:rsidP="095637AE">
      <w:pPr>
        <w:rPr>
          <w:rFonts w:cs="Arial"/>
          <w:color w:val="000000" w:themeColor="text1"/>
          <w:szCs w:val="24"/>
          <w:highlight w:val="red"/>
        </w:rPr>
      </w:pPr>
    </w:p>
    <w:tbl>
      <w:tblPr>
        <w:tblStyle w:val="TableGrid"/>
        <w:tblW w:w="0" w:type="auto"/>
        <w:tblLook w:val="04A0" w:firstRow="1" w:lastRow="0" w:firstColumn="1" w:lastColumn="0" w:noHBand="0" w:noVBand="1"/>
      </w:tblPr>
      <w:tblGrid>
        <w:gridCol w:w="4082"/>
        <w:gridCol w:w="1497"/>
        <w:gridCol w:w="1497"/>
        <w:gridCol w:w="1497"/>
      </w:tblGrid>
      <w:tr w:rsidR="00D0621D" w:rsidRPr="00927796" w14:paraId="4AC883F5" w14:textId="77777777" w:rsidTr="002D5D55">
        <w:trPr>
          <w:trHeight w:val="300"/>
        </w:trPr>
        <w:tc>
          <w:tcPr>
            <w:tcW w:w="8573" w:type="dxa"/>
            <w:gridSpan w:val="4"/>
            <w:shd w:val="clear" w:color="auto" w:fill="D9D9D9" w:themeFill="background1" w:themeFillShade="D9"/>
          </w:tcPr>
          <w:p w14:paraId="7E602DC3" w14:textId="14A236F4" w:rsidR="00D0621D" w:rsidRPr="002D5D55" w:rsidRDefault="00D0621D" w:rsidP="095637AE">
            <w:pPr>
              <w:rPr>
                <w:rFonts w:cs="Arial"/>
                <w:b/>
                <w:color w:val="000000" w:themeColor="text1"/>
                <w:szCs w:val="24"/>
              </w:rPr>
            </w:pPr>
            <w:r w:rsidRPr="002D5D55">
              <w:rPr>
                <w:rFonts w:cs="Arial"/>
                <w:b/>
                <w:color w:val="000000" w:themeColor="text1"/>
                <w:szCs w:val="24"/>
              </w:rPr>
              <w:t>Funded by:</w:t>
            </w:r>
          </w:p>
        </w:tc>
      </w:tr>
      <w:tr w:rsidR="00D0621D" w:rsidRPr="00927796" w14:paraId="4E4CF225" w14:textId="77777777" w:rsidTr="002D5D55">
        <w:trPr>
          <w:trHeight w:val="300"/>
        </w:trPr>
        <w:tc>
          <w:tcPr>
            <w:tcW w:w="4082" w:type="dxa"/>
            <w:vAlign w:val="center"/>
          </w:tcPr>
          <w:p w14:paraId="097B1A0F" w14:textId="023615C3" w:rsidR="00D0621D" w:rsidRPr="002D5D55" w:rsidRDefault="00D0621D" w:rsidP="00D0621D">
            <w:pPr>
              <w:rPr>
                <w:rFonts w:cs="Arial"/>
                <w:color w:val="000000" w:themeColor="text1"/>
                <w:szCs w:val="24"/>
              </w:rPr>
            </w:pPr>
            <w:r w:rsidRPr="00927796">
              <w:rPr>
                <w:rFonts w:cs="Arial"/>
                <w:szCs w:val="24"/>
                <w:lang w:eastAsia="en-GB"/>
              </w:rPr>
              <w:t>Council tax</w:t>
            </w:r>
          </w:p>
        </w:tc>
        <w:tc>
          <w:tcPr>
            <w:tcW w:w="1497" w:type="dxa"/>
            <w:vAlign w:val="center"/>
          </w:tcPr>
          <w:p w14:paraId="52A372F0" w14:textId="031F1416" w:rsidR="00D0621D" w:rsidRPr="002D5D55" w:rsidRDefault="00E2480A" w:rsidP="002D5D55">
            <w:pPr>
              <w:jc w:val="right"/>
              <w:rPr>
                <w:rFonts w:cs="Arial"/>
                <w:color w:val="000000" w:themeColor="text1"/>
                <w:szCs w:val="24"/>
              </w:rPr>
            </w:pPr>
            <w:r>
              <w:rPr>
                <w:rFonts w:cs="Arial"/>
                <w:color w:val="000000" w:themeColor="text1"/>
                <w:szCs w:val="24"/>
              </w:rPr>
              <w:t>(42,993)</w:t>
            </w:r>
          </w:p>
        </w:tc>
        <w:tc>
          <w:tcPr>
            <w:tcW w:w="1497" w:type="dxa"/>
            <w:vAlign w:val="center"/>
          </w:tcPr>
          <w:p w14:paraId="637D3195" w14:textId="239416B3" w:rsidR="00D0621D" w:rsidRPr="002D5D55" w:rsidRDefault="00E2480A" w:rsidP="002D5D55">
            <w:pPr>
              <w:jc w:val="right"/>
              <w:rPr>
                <w:rFonts w:cs="Arial"/>
                <w:color w:val="000000" w:themeColor="text1"/>
                <w:szCs w:val="24"/>
              </w:rPr>
            </w:pPr>
            <w:r>
              <w:rPr>
                <w:rFonts w:cs="Arial"/>
                <w:color w:val="000000" w:themeColor="text1"/>
                <w:szCs w:val="24"/>
              </w:rPr>
              <w:t>(42,993)</w:t>
            </w:r>
          </w:p>
        </w:tc>
        <w:tc>
          <w:tcPr>
            <w:tcW w:w="1497" w:type="dxa"/>
            <w:vAlign w:val="center"/>
          </w:tcPr>
          <w:p w14:paraId="54E41D82" w14:textId="0337A853" w:rsidR="00D0621D" w:rsidRPr="002D5D55" w:rsidRDefault="00E2480A" w:rsidP="002D5D55">
            <w:pPr>
              <w:jc w:val="right"/>
              <w:rPr>
                <w:rFonts w:cs="Arial"/>
                <w:color w:val="000000" w:themeColor="text1"/>
                <w:szCs w:val="24"/>
              </w:rPr>
            </w:pPr>
            <w:r>
              <w:rPr>
                <w:rFonts w:cs="Arial"/>
                <w:color w:val="000000" w:themeColor="text1"/>
                <w:szCs w:val="24"/>
              </w:rPr>
              <w:t>-</w:t>
            </w:r>
          </w:p>
        </w:tc>
      </w:tr>
      <w:tr w:rsidR="00D0621D" w:rsidRPr="00927796" w14:paraId="477C7B8F" w14:textId="77777777" w:rsidTr="002D5D55">
        <w:trPr>
          <w:trHeight w:val="300"/>
        </w:trPr>
        <w:tc>
          <w:tcPr>
            <w:tcW w:w="4082" w:type="dxa"/>
            <w:vAlign w:val="center"/>
          </w:tcPr>
          <w:p w14:paraId="78F2612F" w14:textId="6FED8E36" w:rsidR="00D0621D" w:rsidRPr="002D5D55" w:rsidRDefault="00D0621D" w:rsidP="00D0621D">
            <w:pPr>
              <w:rPr>
                <w:rFonts w:cs="Arial"/>
                <w:color w:val="000000" w:themeColor="text1"/>
                <w:szCs w:val="24"/>
              </w:rPr>
            </w:pPr>
            <w:r w:rsidRPr="00927796">
              <w:rPr>
                <w:rFonts w:cs="Arial"/>
                <w:szCs w:val="24"/>
                <w:lang w:eastAsia="en-GB"/>
              </w:rPr>
              <w:t>Business rates</w:t>
            </w:r>
          </w:p>
        </w:tc>
        <w:tc>
          <w:tcPr>
            <w:tcW w:w="1497" w:type="dxa"/>
            <w:vAlign w:val="center"/>
          </w:tcPr>
          <w:p w14:paraId="05874FEC" w14:textId="4C565ECE" w:rsidR="00D0621D" w:rsidRPr="002D5D55" w:rsidRDefault="00E2480A" w:rsidP="002D5D55">
            <w:pPr>
              <w:jc w:val="right"/>
              <w:rPr>
                <w:rFonts w:cs="Arial"/>
                <w:color w:val="000000" w:themeColor="text1"/>
                <w:szCs w:val="24"/>
              </w:rPr>
            </w:pPr>
            <w:r>
              <w:rPr>
                <w:rFonts w:cs="Arial"/>
                <w:color w:val="000000" w:themeColor="text1"/>
                <w:szCs w:val="24"/>
              </w:rPr>
              <w:t>(21,663)</w:t>
            </w:r>
          </w:p>
        </w:tc>
        <w:tc>
          <w:tcPr>
            <w:tcW w:w="1497" w:type="dxa"/>
            <w:vAlign w:val="center"/>
          </w:tcPr>
          <w:p w14:paraId="3311D05A" w14:textId="6CD3F499" w:rsidR="00D0621D" w:rsidRPr="002D5D55" w:rsidRDefault="00E2480A" w:rsidP="002D5D55">
            <w:pPr>
              <w:jc w:val="right"/>
              <w:rPr>
                <w:rFonts w:cs="Arial"/>
                <w:color w:val="000000" w:themeColor="text1"/>
                <w:szCs w:val="24"/>
              </w:rPr>
            </w:pPr>
            <w:r>
              <w:rPr>
                <w:rFonts w:cs="Arial"/>
                <w:color w:val="000000" w:themeColor="text1"/>
                <w:szCs w:val="24"/>
              </w:rPr>
              <w:t>(21,676)</w:t>
            </w:r>
          </w:p>
        </w:tc>
        <w:tc>
          <w:tcPr>
            <w:tcW w:w="1497" w:type="dxa"/>
            <w:vAlign w:val="center"/>
          </w:tcPr>
          <w:p w14:paraId="4D72C856" w14:textId="6723F7BE" w:rsidR="00D0621D" w:rsidRPr="002D5D55" w:rsidRDefault="00E2480A" w:rsidP="002D5D55">
            <w:pPr>
              <w:jc w:val="right"/>
              <w:rPr>
                <w:rFonts w:cs="Arial"/>
                <w:color w:val="000000" w:themeColor="text1"/>
                <w:szCs w:val="24"/>
              </w:rPr>
            </w:pPr>
            <w:r>
              <w:rPr>
                <w:rFonts w:cs="Arial"/>
                <w:color w:val="000000" w:themeColor="text1"/>
                <w:szCs w:val="24"/>
              </w:rPr>
              <w:t>(13)</w:t>
            </w:r>
          </w:p>
        </w:tc>
      </w:tr>
      <w:tr w:rsidR="00D0621D" w:rsidRPr="00927796" w14:paraId="46DD5D61" w14:textId="77777777" w:rsidTr="002D5D55">
        <w:trPr>
          <w:trHeight w:val="300"/>
        </w:trPr>
        <w:tc>
          <w:tcPr>
            <w:tcW w:w="4082" w:type="dxa"/>
            <w:vAlign w:val="center"/>
          </w:tcPr>
          <w:p w14:paraId="0D9D0182" w14:textId="0775AC8D" w:rsidR="00D0621D" w:rsidRPr="002D5D55" w:rsidRDefault="00D0621D" w:rsidP="00D0621D">
            <w:pPr>
              <w:rPr>
                <w:rFonts w:cs="Arial"/>
                <w:color w:val="000000" w:themeColor="text1"/>
                <w:szCs w:val="24"/>
              </w:rPr>
            </w:pPr>
            <w:r w:rsidRPr="00927796">
              <w:rPr>
                <w:rFonts w:cs="Arial"/>
                <w:szCs w:val="24"/>
                <w:lang w:eastAsia="en-GB"/>
              </w:rPr>
              <w:t>Government grant</w:t>
            </w:r>
          </w:p>
        </w:tc>
        <w:tc>
          <w:tcPr>
            <w:tcW w:w="1497" w:type="dxa"/>
            <w:vAlign w:val="center"/>
          </w:tcPr>
          <w:p w14:paraId="5B4F828F" w14:textId="49D3090C" w:rsidR="00D0621D" w:rsidRPr="002D5D55" w:rsidRDefault="00E2480A" w:rsidP="002D5D55">
            <w:pPr>
              <w:jc w:val="right"/>
              <w:rPr>
                <w:rFonts w:cs="Arial"/>
                <w:color w:val="000000" w:themeColor="text1"/>
                <w:szCs w:val="24"/>
              </w:rPr>
            </w:pPr>
            <w:r>
              <w:rPr>
                <w:rFonts w:cs="Arial"/>
                <w:color w:val="000000" w:themeColor="text1"/>
                <w:szCs w:val="24"/>
              </w:rPr>
              <w:t>(12,855)</w:t>
            </w:r>
          </w:p>
        </w:tc>
        <w:tc>
          <w:tcPr>
            <w:tcW w:w="1497" w:type="dxa"/>
            <w:vAlign w:val="center"/>
          </w:tcPr>
          <w:p w14:paraId="145099D8" w14:textId="59605A19" w:rsidR="00D0621D" w:rsidRPr="002D5D55" w:rsidRDefault="00490225" w:rsidP="002D5D55">
            <w:pPr>
              <w:jc w:val="right"/>
              <w:rPr>
                <w:rFonts w:cs="Arial"/>
                <w:color w:val="000000" w:themeColor="text1"/>
                <w:szCs w:val="24"/>
              </w:rPr>
            </w:pPr>
            <w:r>
              <w:rPr>
                <w:rFonts w:cs="Arial"/>
                <w:color w:val="000000" w:themeColor="text1"/>
                <w:szCs w:val="24"/>
              </w:rPr>
              <w:t>(1</w:t>
            </w:r>
            <w:r w:rsidR="00A05FB7">
              <w:rPr>
                <w:rFonts w:cs="Arial"/>
                <w:color w:val="000000" w:themeColor="text1"/>
                <w:szCs w:val="24"/>
              </w:rPr>
              <w:t>2</w:t>
            </w:r>
            <w:r>
              <w:rPr>
                <w:rFonts w:cs="Arial"/>
                <w:color w:val="000000" w:themeColor="text1"/>
                <w:szCs w:val="24"/>
              </w:rPr>
              <w:t>,</w:t>
            </w:r>
            <w:r w:rsidR="00A05FB7">
              <w:rPr>
                <w:rFonts w:cs="Arial"/>
                <w:color w:val="000000" w:themeColor="text1"/>
                <w:szCs w:val="24"/>
              </w:rPr>
              <w:t>913</w:t>
            </w:r>
            <w:r>
              <w:rPr>
                <w:rFonts w:cs="Arial"/>
                <w:color w:val="000000" w:themeColor="text1"/>
                <w:szCs w:val="24"/>
              </w:rPr>
              <w:t>)</w:t>
            </w:r>
          </w:p>
        </w:tc>
        <w:tc>
          <w:tcPr>
            <w:tcW w:w="1497" w:type="dxa"/>
            <w:vAlign w:val="center"/>
          </w:tcPr>
          <w:p w14:paraId="732AAA8A" w14:textId="10AF2C30" w:rsidR="00D0621D" w:rsidRPr="002D5D55" w:rsidRDefault="00490225" w:rsidP="002D5D55">
            <w:pPr>
              <w:jc w:val="right"/>
              <w:rPr>
                <w:rFonts w:cs="Arial"/>
                <w:color w:val="000000" w:themeColor="text1"/>
                <w:szCs w:val="24"/>
              </w:rPr>
            </w:pPr>
            <w:r>
              <w:rPr>
                <w:rFonts w:cs="Arial"/>
                <w:color w:val="000000" w:themeColor="text1"/>
                <w:szCs w:val="24"/>
              </w:rPr>
              <w:t>(</w:t>
            </w:r>
            <w:r w:rsidR="00A05FB7">
              <w:rPr>
                <w:rFonts w:cs="Arial"/>
                <w:color w:val="000000" w:themeColor="text1"/>
                <w:szCs w:val="24"/>
              </w:rPr>
              <w:t>58</w:t>
            </w:r>
            <w:r>
              <w:rPr>
                <w:rFonts w:cs="Arial"/>
                <w:color w:val="000000" w:themeColor="text1"/>
                <w:szCs w:val="24"/>
              </w:rPr>
              <w:t>)</w:t>
            </w:r>
          </w:p>
        </w:tc>
      </w:tr>
      <w:tr w:rsidR="00D0621D" w:rsidRPr="00927796" w14:paraId="47848BFA" w14:textId="77777777" w:rsidTr="002D5D55">
        <w:trPr>
          <w:trHeight w:val="300"/>
        </w:trPr>
        <w:tc>
          <w:tcPr>
            <w:tcW w:w="4082" w:type="dxa"/>
            <w:vAlign w:val="center"/>
          </w:tcPr>
          <w:p w14:paraId="355425C9" w14:textId="48695C3D" w:rsidR="00D0621D" w:rsidRPr="002D5D55" w:rsidRDefault="00D0621D" w:rsidP="00D0621D">
            <w:pPr>
              <w:rPr>
                <w:rFonts w:cs="Arial"/>
                <w:color w:val="000000" w:themeColor="text1"/>
                <w:szCs w:val="24"/>
              </w:rPr>
            </w:pPr>
            <w:r w:rsidRPr="00927796">
              <w:rPr>
                <w:rFonts w:cs="Arial"/>
                <w:b/>
                <w:bCs/>
                <w:szCs w:val="24"/>
                <w:lang w:eastAsia="en-GB"/>
              </w:rPr>
              <w:t>Sub-total</w:t>
            </w:r>
          </w:p>
        </w:tc>
        <w:tc>
          <w:tcPr>
            <w:tcW w:w="1497" w:type="dxa"/>
            <w:vAlign w:val="center"/>
          </w:tcPr>
          <w:p w14:paraId="783A57CC" w14:textId="0088335E" w:rsidR="00D0621D" w:rsidRPr="002D5D55" w:rsidRDefault="00490225" w:rsidP="002D5D55">
            <w:pPr>
              <w:jc w:val="right"/>
              <w:rPr>
                <w:rFonts w:cs="Arial"/>
                <w:b/>
                <w:color w:val="000000" w:themeColor="text1"/>
                <w:szCs w:val="24"/>
              </w:rPr>
            </w:pPr>
            <w:r>
              <w:rPr>
                <w:rFonts w:cs="Arial"/>
                <w:b/>
                <w:color w:val="000000" w:themeColor="text1"/>
                <w:szCs w:val="24"/>
              </w:rPr>
              <w:t>(77,511)</w:t>
            </w:r>
          </w:p>
        </w:tc>
        <w:tc>
          <w:tcPr>
            <w:tcW w:w="1497" w:type="dxa"/>
            <w:vAlign w:val="center"/>
          </w:tcPr>
          <w:p w14:paraId="71472DC2" w14:textId="6FF4D647" w:rsidR="00D0621D" w:rsidRPr="002D5D55" w:rsidRDefault="00490225" w:rsidP="002D5D55">
            <w:pPr>
              <w:jc w:val="right"/>
              <w:rPr>
                <w:rFonts w:cs="Arial"/>
                <w:b/>
                <w:color w:val="000000" w:themeColor="text1"/>
                <w:szCs w:val="24"/>
              </w:rPr>
            </w:pPr>
            <w:r>
              <w:rPr>
                <w:rFonts w:cs="Arial"/>
                <w:b/>
                <w:color w:val="000000" w:themeColor="text1"/>
                <w:szCs w:val="24"/>
              </w:rPr>
              <w:t>(7</w:t>
            </w:r>
            <w:r w:rsidR="00A05FB7">
              <w:rPr>
                <w:rFonts w:cs="Arial"/>
                <w:b/>
                <w:color w:val="000000" w:themeColor="text1"/>
                <w:szCs w:val="24"/>
              </w:rPr>
              <w:t>7</w:t>
            </w:r>
            <w:r>
              <w:rPr>
                <w:rFonts w:cs="Arial"/>
                <w:b/>
                <w:color w:val="000000" w:themeColor="text1"/>
                <w:szCs w:val="24"/>
              </w:rPr>
              <w:t>,</w:t>
            </w:r>
            <w:r w:rsidR="00A05FB7">
              <w:rPr>
                <w:rFonts w:cs="Arial"/>
                <w:b/>
                <w:color w:val="000000" w:themeColor="text1"/>
                <w:szCs w:val="24"/>
              </w:rPr>
              <w:t>581</w:t>
            </w:r>
            <w:r>
              <w:rPr>
                <w:rFonts w:cs="Arial"/>
                <w:b/>
                <w:color w:val="000000" w:themeColor="text1"/>
                <w:szCs w:val="24"/>
              </w:rPr>
              <w:t>)</w:t>
            </w:r>
          </w:p>
        </w:tc>
        <w:tc>
          <w:tcPr>
            <w:tcW w:w="1497" w:type="dxa"/>
            <w:vAlign w:val="center"/>
          </w:tcPr>
          <w:p w14:paraId="52B36708" w14:textId="26471C75" w:rsidR="00D0621D" w:rsidRPr="002D5D55" w:rsidRDefault="00490225" w:rsidP="002D5D55">
            <w:pPr>
              <w:jc w:val="right"/>
              <w:rPr>
                <w:rFonts w:cs="Arial"/>
                <w:b/>
                <w:color w:val="000000" w:themeColor="text1"/>
                <w:szCs w:val="24"/>
              </w:rPr>
            </w:pPr>
            <w:r>
              <w:rPr>
                <w:rFonts w:cs="Arial"/>
                <w:b/>
                <w:color w:val="000000" w:themeColor="text1"/>
                <w:szCs w:val="24"/>
              </w:rPr>
              <w:t>(</w:t>
            </w:r>
            <w:r w:rsidR="00A05FB7">
              <w:rPr>
                <w:rFonts w:cs="Arial"/>
                <w:b/>
                <w:color w:val="000000" w:themeColor="text1"/>
                <w:szCs w:val="24"/>
              </w:rPr>
              <w:t>71</w:t>
            </w:r>
            <w:r>
              <w:rPr>
                <w:rFonts w:cs="Arial"/>
                <w:b/>
                <w:color w:val="000000" w:themeColor="text1"/>
                <w:szCs w:val="24"/>
              </w:rPr>
              <w:t>)</w:t>
            </w:r>
          </w:p>
        </w:tc>
      </w:tr>
      <w:tr w:rsidR="00D0621D" w:rsidRPr="00927796" w14:paraId="199BA592" w14:textId="77777777" w:rsidTr="002D5D55">
        <w:trPr>
          <w:trHeight w:val="300"/>
        </w:trPr>
        <w:tc>
          <w:tcPr>
            <w:tcW w:w="4082" w:type="dxa"/>
            <w:vAlign w:val="center"/>
          </w:tcPr>
          <w:p w14:paraId="42FAC924" w14:textId="309EBB00" w:rsidR="00D0621D" w:rsidRPr="002D5D55" w:rsidRDefault="00D0621D" w:rsidP="00D0621D">
            <w:pPr>
              <w:rPr>
                <w:rFonts w:cs="Arial"/>
                <w:color w:val="000000" w:themeColor="text1"/>
                <w:szCs w:val="24"/>
              </w:rPr>
            </w:pPr>
            <w:r w:rsidRPr="00927796">
              <w:rPr>
                <w:rFonts w:cs="Arial"/>
                <w:b/>
                <w:bCs/>
                <w:szCs w:val="24"/>
                <w:lang w:eastAsia="en-GB"/>
              </w:rPr>
              <w:t>Net (Under)</w:t>
            </w:r>
            <w:r w:rsidR="006E1935">
              <w:rPr>
                <w:rFonts w:cs="Arial"/>
                <w:b/>
                <w:bCs/>
                <w:szCs w:val="24"/>
                <w:lang w:eastAsia="en-GB"/>
              </w:rPr>
              <w:t xml:space="preserve"> or o</w:t>
            </w:r>
            <w:r w:rsidRPr="00927796">
              <w:rPr>
                <w:rFonts w:cs="Arial"/>
                <w:b/>
                <w:bCs/>
                <w:szCs w:val="24"/>
                <w:lang w:eastAsia="en-GB"/>
              </w:rPr>
              <w:t>verspend</w:t>
            </w:r>
          </w:p>
        </w:tc>
        <w:tc>
          <w:tcPr>
            <w:tcW w:w="1497" w:type="dxa"/>
            <w:vAlign w:val="center"/>
          </w:tcPr>
          <w:p w14:paraId="2A034352" w14:textId="11E3A5E5" w:rsidR="00D0621D" w:rsidRPr="002D5D55" w:rsidRDefault="009911FF" w:rsidP="002D5D55">
            <w:pPr>
              <w:jc w:val="right"/>
              <w:rPr>
                <w:rFonts w:cs="Arial"/>
                <w:b/>
                <w:color w:val="000000" w:themeColor="text1"/>
                <w:szCs w:val="24"/>
              </w:rPr>
            </w:pPr>
            <w:r>
              <w:rPr>
                <w:rFonts w:cs="Arial"/>
                <w:b/>
                <w:color w:val="000000" w:themeColor="text1"/>
                <w:szCs w:val="24"/>
              </w:rPr>
              <w:t>-</w:t>
            </w:r>
          </w:p>
        </w:tc>
        <w:tc>
          <w:tcPr>
            <w:tcW w:w="1497" w:type="dxa"/>
            <w:vAlign w:val="center"/>
          </w:tcPr>
          <w:p w14:paraId="5A3A6114" w14:textId="5DF95116" w:rsidR="00D0621D" w:rsidRPr="002D5D55" w:rsidRDefault="009911FF" w:rsidP="002D5D55">
            <w:pPr>
              <w:jc w:val="right"/>
              <w:rPr>
                <w:rFonts w:cs="Arial"/>
                <w:b/>
                <w:color w:val="000000" w:themeColor="text1"/>
                <w:szCs w:val="24"/>
              </w:rPr>
            </w:pPr>
            <w:r>
              <w:rPr>
                <w:rFonts w:cs="Arial"/>
                <w:b/>
                <w:color w:val="000000" w:themeColor="text1"/>
                <w:szCs w:val="24"/>
              </w:rPr>
              <w:t>(</w:t>
            </w:r>
            <w:r w:rsidR="00A05FB7">
              <w:rPr>
                <w:rFonts w:cs="Arial"/>
                <w:b/>
                <w:color w:val="000000" w:themeColor="text1"/>
                <w:szCs w:val="24"/>
              </w:rPr>
              <w:t>335</w:t>
            </w:r>
            <w:r>
              <w:rPr>
                <w:rFonts w:cs="Arial"/>
                <w:b/>
                <w:color w:val="000000" w:themeColor="text1"/>
                <w:szCs w:val="24"/>
              </w:rPr>
              <w:t>)</w:t>
            </w:r>
          </w:p>
        </w:tc>
        <w:tc>
          <w:tcPr>
            <w:tcW w:w="1497" w:type="dxa"/>
            <w:vAlign w:val="center"/>
          </w:tcPr>
          <w:p w14:paraId="0CAB1044" w14:textId="7BFE3B5B" w:rsidR="00D0621D" w:rsidRPr="002D5D55" w:rsidRDefault="009911FF" w:rsidP="002D5D55">
            <w:pPr>
              <w:jc w:val="right"/>
              <w:rPr>
                <w:rFonts w:cs="Arial"/>
                <w:b/>
                <w:color w:val="000000" w:themeColor="text1"/>
                <w:szCs w:val="24"/>
              </w:rPr>
            </w:pPr>
            <w:r>
              <w:rPr>
                <w:rFonts w:cs="Arial"/>
                <w:b/>
                <w:color w:val="000000" w:themeColor="text1"/>
                <w:szCs w:val="24"/>
              </w:rPr>
              <w:t>(</w:t>
            </w:r>
            <w:r w:rsidR="00A05FB7">
              <w:rPr>
                <w:rFonts w:cs="Arial"/>
                <w:b/>
                <w:color w:val="000000" w:themeColor="text1"/>
                <w:szCs w:val="24"/>
              </w:rPr>
              <w:t>335</w:t>
            </w:r>
            <w:r>
              <w:rPr>
                <w:rFonts w:cs="Arial"/>
                <w:b/>
                <w:color w:val="000000" w:themeColor="text1"/>
                <w:szCs w:val="24"/>
              </w:rPr>
              <w:t>)</w:t>
            </w:r>
          </w:p>
        </w:tc>
      </w:tr>
    </w:tbl>
    <w:p w14:paraId="13FF4A82" w14:textId="77777777" w:rsidR="00D0621D" w:rsidRPr="00927796" w:rsidRDefault="00D0621D" w:rsidP="095637AE">
      <w:pPr>
        <w:rPr>
          <w:rFonts w:cs="Arial"/>
          <w:color w:val="000000" w:themeColor="text1"/>
          <w:szCs w:val="24"/>
          <w:highlight w:val="red"/>
        </w:rPr>
      </w:pPr>
    </w:p>
    <w:p w14:paraId="7B09AC7D" w14:textId="77777777" w:rsidR="006E6CFF" w:rsidRPr="002D5D55" w:rsidRDefault="006E6CFF" w:rsidP="095637AE">
      <w:pPr>
        <w:rPr>
          <w:rFonts w:cs="Arial"/>
          <w:color w:val="000000" w:themeColor="text1"/>
          <w:szCs w:val="24"/>
        </w:rPr>
      </w:pPr>
      <w:r w:rsidRPr="008A7395">
        <w:rPr>
          <w:rFonts w:cs="Arial"/>
          <w:color w:val="000000" w:themeColor="text1"/>
          <w:szCs w:val="24"/>
        </w:rPr>
        <w:t>The following reconciliation shows the comparison between the revenue budget position, as set out above, and the Total Comprehensive Income and Expenditure figure reported in the accounts.</w:t>
      </w:r>
    </w:p>
    <w:p w14:paraId="3D2B2063" w14:textId="77777777" w:rsidR="006E6CFF" w:rsidRPr="00D948C1" w:rsidRDefault="006E6CFF" w:rsidP="095637AE">
      <w:pPr>
        <w:jc w:val="both"/>
        <w:rPr>
          <w:rFonts w:cs="Arial"/>
          <w:color w:val="000000" w:themeColor="text1"/>
          <w:highlight w:val="red"/>
        </w:rPr>
      </w:pP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7"/>
        <w:gridCol w:w="1645"/>
      </w:tblGrid>
      <w:tr w:rsidR="006E6CFF" w:rsidRPr="00D948C1" w14:paraId="6DBC44B2" w14:textId="77777777" w:rsidTr="0022314C">
        <w:trPr>
          <w:tblHeader/>
        </w:trPr>
        <w:tc>
          <w:tcPr>
            <w:tcW w:w="6917" w:type="dxa"/>
            <w:shd w:val="clear" w:color="auto" w:fill="BD2716"/>
            <w:vAlign w:val="center"/>
          </w:tcPr>
          <w:p w14:paraId="3A863BE0" w14:textId="5F058BD2" w:rsidR="006E6CFF" w:rsidRPr="002D5D55" w:rsidRDefault="00B10A2A" w:rsidP="095637AE">
            <w:pPr>
              <w:rPr>
                <w:rFonts w:cs="Arial"/>
                <w:color w:val="FFFFFF" w:themeColor="background1"/>
              </w:rPr>
            </w:pPr>
            <w:r w:rsidRPr="002D5D55">
              <w:rPr>
                <w:rFonts w:cs="Arial"/>
                <w:color w:val="FFFFFF" w:themeColor="background1"/>
              </w:rPr>
              <w:t>Reconciliation</w:t>
            </w:r>
          </w:p>
        </w:tc>
        <w:tc>
          <w:tcPr>
            <w:tcW w:w="1645" w:type="dxa"/>
            <w:shd w:val="clear" w:color="auto" w:fill="BD2716"/>
            <w:vAlign w:val="center"/>
          </w:tcPr>
          <w:p w14:paraId="4AB3C5E8" w14:textId="722B8BF1" w:rsidR="006E6CFF" w:rsidRPr="00D948C1" w:rsidRDefault="5E14CFF5" w:rsidP="095637AE">
            <w:pPr>
              <w:jc w:val="right"/>
              <w:rPr>
                <w:rFonts w:cs="Arial"/>
                <w:highlight w:val="red"/>
                <w:lang w:eastAsia="en-GB"/>
              </w:rPr>
            </w:pPr>
            <w:r w:rsidRPr="002D5D55">
              <w:rPr>
                <w:rFonts w:cs="Arial"/>
                <w:color w:val="FFFFFF" w:themeColor="background1"/>
                <w:lang w:eastAsia="en-GB"/>
              </w:rPr>
              <w:t>£000</w:t>
            </w:r>
          </w:p>
        </w:tc>
      </w:tr>
      <w:tr w:rsidR="006E6CFF" w:rsidRPr="00D948C1" w14:paraId="00175959" w14:textId="77777777" w:rsidTr="0022314C">
        <w:tc>
          <w:tcPr>
            <w:tcW w:w="6917" w:type="dxa"/>
            <w:vAlign w:val="center"/>
          </w:tcPr>
          <w:p w14:paraId="6AA464AF" w14:textId="77777777" w:rsidR="006E6CFF" w:rsidRPr="002D5D55" w:rsidRDefault="006E6CFF" w:rsidP="095637AE">
            <w:pPr>
              <w:rPr>
                <w:rFonts w:cs="Arial"/>
                <w:color w:val="000000" w:themeColor="text1"/>
              </w:rPr>
            </w:pPr>
            <w:r w:rsidRPr="002D5D55">
              <w:rPr>
                <w:rFonts w:cs="Arial"/>
                <w:b/>
                <w:color w:val="000000" w:themeColor="text1"/>
              </w:rPr>
              <w:t>Revenue Outturn</w:t>
            </w:r>
            <w:r w:rsidRPr="00082289">
              <w:rPr>
                <w:rFonts w:cs="Arial"/>
                <w:b/>
                <w:bCs/>
                <w:color w:val="000000" w:themeColor="text1"/>
              </w:rPr>
              <w:t xml:space="preserve"> </w:t>
            </w:r>
          </w:p>
        </w:tc>
        <w:tc>
          <w:tcPr>
            <w:tcW w:w="1645" w:type="dxa"/>
            <w:vAlign w:val="center"/>
          </w:tcPr>
          <w:p w14:paraId="3FB78FE0" w14:textId="0975EBB9" w:rsidR="006E6CFF" w:rsidRPr="002D5D55" w:rsidRDefault="009911FF" w:rsidP="095637AE">
            <w:pPr>
              <w:jc w:val="right"/>
              <w:rPr>
                <w:rFonts w:cs="Arial"/>
                <w:b/>
                <w:lang w:eastAsia="en-GB"/>
              </w:rPr>
            </w:pPr>
            <w:r>
              <w:rPr>
                <w:rFonts w:cs="Arial"/>
                <w:b/>
                <w:lang w:eastAsia="en-GB"/>
              </w:rPr>
              <w:t>(</w:t>
            </w:r>
            <w:r w:rsidR="00A05FB7">
              <w:rPr>
                <w:rFonts w:cs="Arial"/>
                <w:b/>
                <w:lang w:eastAsia="en-GB"/>
              </w:rPr>
              <w:t>335</w:t>
            </w:r>
            <w:r>
              <w:rPr>
                <w:rFonts w:cs="Arial"/>
                <w:b/>
                <w:lang w:eastAsia="en-GB"/>
              </w:rPr>
              <w:t>)</w:t>
            </w:r>
          </w:p>
        </w:tc>
      </w:tr>
      <w:tr w:rsidR="006E6CFF" w:rsidRPr="00D948C1" w14:paraId="7D31BB21" w14:textId="77777777" w:rsidTr="0022314C">
        <w:tc>
          <w:tcPr>
            <w:tcW w:w="6917" w:type="dxa"/>
            <w:vAlign w:val="center"/>
          </w:tcPr>
          <w:p w14:paraId="1ACB5E10" w14:textId="0D3282CB" w:rsidR="006E6CFF" w:rsidRPr="002D5D55" w:rsidRDefault="006E6CFF" w:rsidP="095637AE">
            <w:pPr>
              <w:rPr>
                <w:rFonts w:cs="Arial"/>
              </w:rPr>
            </w:pPr>
            <w:r w:rsidRPr="002D5D55">
              <w:rPr>
                <w:rFonts w:cs="Arial"/>
                <w:color w:val="000000" w:themeColor="text1"/>
              </w:rPr>
              <w:t xml:space="preserve">Remove </w:t>
            </w:r>
            <w:r w:rsidR="005950FD">
              <w:rPr>
                <w:rFonts w:cs="Arial"/>
                <w:color w:val="000000" w:themeColor="text1"/>
              </w:rPr>
              <w:t>c</w:t>
            </w:r>
            <w:r w:rsidRPr="002D5D55">
              <w:rPr>
                <w:rFonts w:cs="Arial"/>
                <w:color w:val="000000" w:themeColor="text1"/>
              </w:rPr>
              <w:t xml:space="preserve">apital </w:t>
            </w:r>
            <w:r w:rsidR="005950FD">
              <w:rPr>
                <w:rFonts w:cs="Arial"/>
                <w:color w:val="000000" w:themeColor="text1"/>
              </w:rPr>
              <w:t>c</w:t>
            </w:r>
            <w:r w:rsidRPr="002D5D55">
              <w:rPr>
                <w:rFonts w:cs="Arial"/>
                <w:color w:val="000000" w:themeColor="text1"/>
              </w:rPr>
              <w:t xml:space="preserve">ontributions and transfers to </w:t>
            </w:r>
            <w:r w:rsidR="005950FD">
              <w:rPr>
                <w:rFonts w:cs="Arial"/>
                <w:color w:val="000000" w:themeColor="text1"/>
              </w:rPr>
              <w:t>or</w:t>
            </w:r>
            <w:r w:rsidRPr="002D5D55">
              <w:rPr>
                <w:rFonts w:cs="Arial"/>
                <w:color w:val="000000" w:themeColor="text1"/>
              </w:rPr>
              <w:t xml:space="preserve"> from </w:t>
            </w:r>
            <w:r w:rsidR="005950FD">
              <w:rPr>
                <w:rFonts w:cs="Arial"/>
                <w:color w:val="000000" w:themeColor="text1"/>
              </w:rPr>
              <w:t>r</w:t>
            </w:r>
            <w:r w:rsidRPr="002D5D55">
              <w:rPr>
                <w:rFonts w:cs="Arial"/>
                <w:color w:val="000000" w:themeColor="text1"/>
              </w:rPr>
              <w:t>eserves</w:t>
            </w:r>
            <w:r w:rsidRPr="00082289">
              <w:rPr>
                <w:rFonts w:cs="Arial"/>
                <w:color w:val="000000" w:themeColor="text1"/>
              </w:rPr>
              <w:t xml:space="preserve"> </w:t>
            </w:r>
          </w:p>
        </w:tc>
        <w:tc>
          <w:tcPr>
            <w:tcW w:w="1645" w:type="dxa"/>
            <w:vAlign w:val="center"/>
          </w:tcPr>
          <w:p w14:paraId="06E43E2B" w14:textId="1F5F88E9" w:rsidR="006E6CFF" w:rsidRPr="002D5D55" w:rsidRDefault="00D60E12" w:rsidP="095637AE">
            <w:pPr>
              <w:jc w:val="right"/>
              <w:rPr>
                <w:rFonts w:cs="Arial"/>
                <w:lang w:eastAsia="en-GB"/>
              </w:rPr>
            </w:pPr>
            <w:r>
              <w:rPr>
                <w:rFonts w:cs="Arial"/>
                <w:lang w:eastAsia="en-GB"/>
              </w:rPr>
              <w:t>6</w:t>
            </w:r>
            <w:r w:rsidR="00645B58">
              <w:rPr>
                <w:rFonts w:cs="Arial"/>
                <w:lang w:eastAsia="en-GB"/>
              </w:rPr>
              <w:t>37</w:t>
            </w:r>
          </w:p>
        </w:tc>
      </w:tr>
      <w:tr w:rsidR="006E6CFF" w:rsidRPr="00D948C1" w14:paraId="0937268F" w14:textId="77777777" w:rsidTr="0022314C">
        <w:tc>
          <w:tcPr>
            <w:tcW w:w="6917" w:type="dxa"/>
            <w:vAlign w:val="center"/>
          </w:tcPr>
          <w:p w14:paraId="77E4D413" w14:textId="77777777" w:rsidR="006E6CFF" w:rsidRPr="002D5D55" w:rsidRDefault="006E6CFF" w:rsidP="095637AE">
            <w:pPr>
              <w:rPr>
                <w:rFonts w:cs="Arial"/>
              </w:rPr>
            </w:pPr>
            <w:r w:rsidRPr="002D5D55">
              <w:rPr>
                <w:rFonts w:cs="Arial"/>
                <w:color w:val="000000" w:themeColor="text1"/>
              </w:rPr>
              <w:t>Adjustments for Capital Purposes</w:t>
            </w:r>
          </w:p>
        </w:tc>
        <w:tc>
          <w:tcPr>
            <w:tcW w:w="1645" w:type="dxa"/>
            <w:vAlign w:val="center"/>
          </w:tcPr>
          <w:p w14:paraId="20A8DD1B" w14:textId="27125ABE" w:rsidR="006E6CFF" w:rsidRPr="002D5D55" w:rsidRDefault="00D60E12" w:rsidP="095637AE">
            <w:pPr>
              <w:jc w:val="right"/>
              <w:rPr>
                <w:rFonts w:cs="Arial"/>
                <w:lang w:eastAsia="en-GB"/>
              </w:rPr>
            </w:pPr>
            <w:r>
              <w:rPr>
                <w:rFonts w:cs="Arial"/>
                <w:lang w:eastAsia="en-GB"/>
              </w:rPr>
              <w:t>(</w:t>
            </w:r>
            <w:r w:rsidR="00645B58">
              <w:rPr>
                <w:rFonts w:cs="Arial"/>
                <w:lang w:eastAsia="en-GB"/>
              </w:rPr>
              <w:t>57</w:t>
            </w:r>
            <w:r>
              <w:rPr>
                <w:rFonts w:cs="Arial"/>
                <w:lang w:eastAsia="en-GB"/>
              </w:rPr>
              <w:t>)</w:t>
            </w:r>
          </w:p>
        </w:tc>
      </w:tr>
      <w:tr w:rsidR="006E6CFF" w:rsidRPr="00D948C1" w14:paraId="7752FEF1" w14:textId="77777777" w:rsidTr="0022314C">
        <w:tc>
          <w:tcPr>
            <w:tcW w:w="6917" w:type="dxa"/>
            <w:vAlign w:val="center"/>
          </w:tcPr>
          <w:p w14:paraId="23CEF5F2" w14:textId="77777777" w:rsidR="006E6CFF" w:rsidRPr="002D5D55" w:rsidRDefault="006E6CFF" w:rsidP="095637AE">
            <w:pPr>
              <w:rPr>
                <w:rFonts w:cs="Arial"/>
              </w:rPr>
            </w:pPr>
            <w:r w:rsidRPr="002D5D55">
              <w:rPr>
                <w:rFonts w:cs="Arial"/>
                <w:color w:val="000000" w:themeColor="text1"/>
              </w:rPr>
              <w:t>Net change for Pensions Adjustments</w:t>
            </w:r>
          </w:p>
        </w:tc>
        <w:tc>
          <w:tcPr>
            <w:tcW w:w="1645" w:type="dxa"/>
            <w:vAlign w:val="center"/>
          </w:tcPr>
          <w:p w14:paraId="55BE0F04" w14:textId="0F96668A" w:rsidR="006E6CFF" w:rsidRPr="002D5D55" w:rsidRDefault="00D60E12" w:rsidP="095637AE">
            <w:pPr>
              <w:jc w:val="right"/>
              <w:rPr>
                <w:rFonts w:cs="Arial"/>
                <w:lang w:eastAsia="en-GB"/>
              </w:rPr>
            </w:pPr>
            <w:r>
              <w:rPr>
                <w:rFonts w:cs="Arial"/>
                <w:lang w:eastAsia="en-GB"/>
              </w:rPr>
              <w:t>2,589</w:t>
            </w:r>
          </w:p>
        </w:tc>
      </w:tr>
      <w:tr w:rsidR="006E6CFF" w:rsidRPr="00D948C1" w14:paraId="7F9D45A4" w14:textId="77777777" w:rsidTr="0022314C">
        <w:tc>
          <w:tcPr>
            <w:tcW w:w="6917" w:type="dxa"/>
            <w:vAlign w:val="center"/>
          </w:tcPr>
          <w:p w14:paraId="460B525F" w14:textId="77777777" w:rsidR="006E6CFF" w:rsidRPr="002D5D55" w:rsidRDefault="006E6CFF" w:rsidP="095637AE">
            <w:pPr>
              <w:rPr>
                <w:rFonts w:cs="Arial"/>
              </w:rPr>
            </w:pPr>
            <w:r w:rsidRPr="002D5D55">
              <w:rPr>
                <w:rFonts w:cs="Arial"/>
                <w:color w:val="000000" w:themeColor="text1"/>
              </w:rPr>
              <w:t>Other Differences</w:t>
            </w:r>
          </w:p>
        </w:tc>
        <w:tc>
          <w:tcPr>
            <w:tcW w:w="1645" w:type="dxa"/>
            <w:vAlign w:val="center"/>
          </w:tcPr>
          <w:p w14:paraId="3B63D2DD" w14:textId="5C0F9DE2" w:rsidR="006E6CFF" w:rsidRPr="002D5D55" w:rsidRDefault="00D60E12" w:rsidP="095637AE">
            <w:pPr>
              <w:jc w:val="right"/>
              <w:rPr>
                <w:rFonts w:cs="Arial"/>
                <w:lang w:eastAsia="en-GB"/>
              </w:rPr>
            </w:pPr>
            <w:r>
              <w:rPr>
                <w:rFonts w:cs="Arial"/>
                <w:lang w:eastAsia="en-GB"/>
              </w:rPr>
              <w:t>(1)</w:t>
            </w:r>
          </w:p>
        </w:tc>
      </w:tr>
      <w:tr w:rsidR="006E6CFF" w:rsidRPr="00D948C1" w14:paraId="4B4E1FA0" w14:textId="77777777" w:rsidTr="0022314C">
        <w:tc>
          <w:tcPr>
            <w:tcW w:w="6917" w:type="dxa"/>
            <w:tcBorders>
              <w:top w:val="single" w:sz="4" w:space="0" w:color="auto"/>
              <w:left w:val="single" w:sz="4" w:space="0" w:color="auto"/>
              <w:bottom w:val="single" w:sz="4" w:space="0" w:color="auto"/>
              <w:right w:val="single" w:sz="4" w:space="0" w:color="auto"/>
            </w:tcBorders>
            <w:vAlign w:val="center"/>
          </w:tcPr>
          <w:p w14:paraId="4F85B138" w14:textId="77777777" w:rsidR="006E6CFF" w:rsidRPr="002D5D55" w:rsidRDefault="006E6CFF" w:rsidP="095637AE">
            <w:pPr>
              <w:rPr>
                <w:rFonts w:cs="Arial"/>
              </w:rPr>
            </w:pPr>
            <w:r w:rsidRPr="002D5D55">
              <w:rPr>
                <w:rFonts w:cs="Arial"/>
                <w:b/>
                <w:color w:val="000000" w:themeColor="text1"/>
              </w:rPr>
              <w:t>Deficit on provision of services</w:t>
            </w:r>
          </w:p>
        </w:tc>
        <w:tc>
          <w:tcPr>
            <w:tcW w:w="1645" w:type="dxa"/>
            <w:tcBorders>
              <w:top w:val="single" w:sz="4" w:space="0" w:color="auto"/>
              <w:left w:val="single" w:sz="4" w:space="0" w:color="auto"/>
              <w:bottom w:val="single" w:sz="4" w:space="0" w:color="auto"/>
              <w:right w:val="single" w:sz="4" w:space="0" w:color="auto"/>
            </w:tcBorders>
            <w:vAlign w:val="center"/>
          </w:tcPr>
          <w:p w14:paraId="56EC88EF" w14:textId="7863048B" w:rsidR="006E6CFF" w:rsidRPr="00DC19CA" w:rsidRDefault="00D60E12" w:rsidP="095637AE">
            <w:pPr>
              <w:jc w:val="right"/>
              <w:rPr>
                <w:rFonts w:cs="Arial"/>
                <w:b/>
                <w:lang w:eastAsia="en-GB"/>
              </w:rPr>
            </w:pPr>
            <w:r>
              <w:rPr>
                <w:rFonts w:cs="Arial"/>
                <w:b/>
                <w:lang w:eastAsia="en-GB"/>
              </w:rPr>
              <w:t>2,8</w:t>
            </w:r>
            <w:r w:rsidR="00645B58">
              <w:rPr>
                <w:rFonts w:cs="Arial"/>
                <w:b/>
                <w:lang w:eastAsia="en-GB"/>
              </w:rPr>
              <w:t>3</w:t>
            </w:r>
            <w:r>
              <w:rPr>
                <w:rFonts w:cs="Arial"/>
                <w:b/>
                <w:lang w:eastAsia="en-GB"/>
              </w:rPr>
              <w:t>4</w:t>
            </w:r>
          </w:p>
        </w:tc>
      </w:tr>
      <w:tr w:rsidR="006E6CFF" w:rsidRPr="00D948C1" w14:paraId="61F89BFF" w14:textId="77777777" w:rsidTr="0022314C">
        <w:tc>
          <w:tcPr>
            <w:tcW w:w="6917" w:type="dxa"/>
            <w:vAlign w:val="center"/>
          </w:tcPr>
          <w:p w14:paraId="0F201F0F" w14:textId="1DB89F5A" w:rsidR="006E6CFF" w:rsidRPr="00DC19CA" w:rsidRDefault="006E6CFF" w:rsidP="095637AE">
            <w:pPr>
              <w:rPr>
                <w:rFonts w:cs="Arial"/>
              </w:rPr>
            </w:pPr>
            <w:r w:rsidRPr="00DC19CA">
              <w:rPr>
                <w:rFonts w:cs="Arial"/>
                <w:color w:val="000000" w:themeColor="text1"/>
              </w:rPr>
              <w:t>(Surplus)</w:t>
            </w:r>
            <w:r w:rsidR="005950FD">
              <w:rPr>
                <w:rFonts w:cs="Arial"/>
                <w:color w:val="000000" w:themeColor="text1"/>
              </w:rPr>
              <w:t xml:space="preserve"> or d</w:t>
            </w:r>
            <w:r w:rsidRPr="00DC19CA">
              <w:rPr>
                <w:rFonts w:cs="Arial"/>
                <w:color w:val="000000" w:themeColor="text1"/>
              </w:rPr>
              <w:t>eficit on revaluation of fixed assets</w:t>
            </w:r>
          </w:p>
        </w:tc>
        <w:tc>
          <w:tcPr>
            <w:tcW w:w="1645" w:type="dxa"/>
            <w:vAlign w:val="center"/>
          </w:tcPr>
          <w:p w14:paraId="5E54456F" w14:textId="3E535966" w:rsidR="006E6CFF" w:rsidRPr="00DC19CA" w:rsidRDefault="00D60E12" w:rsidP="095637AE">
            <w:pPr>
              <w:jc w:val="right"/>
              <w:rPr>
                <w:rFonts w:cs="Arial"/>
                <w:lang w:eastAsia="en-GB"/>
              </w:rPr>
            </w:pPr>
            <w:r>
              <w:rPr>
                <w:rFonts w:cs="Arial"/>
                <w:lang w:eastAsia="en-GB"/>
              </w:rPr>
              <w:t>1,458</w:t>
            </w:r>
          </w:p>
        </w:tc>
      </w:tr>
      <w:tr w:rsidR="006E6CFF" w:rsidRPr="00D948C1" w14:paraId="4CF4D591" w14:textId="77777777" w:rsidTr="0022314C">
        <w:tc>
          <w:tcPr>
            <w:tcW w:w="6917" w:type="dxa"/>
            <w:vAlign w:val="center"/>
          </w:tcPr>
          <w:p w14:paraId="19857C53" w14:textId="1284BAF9" w:rsidR="006E6CFF" w:rsidRPr="00DC19CA" w:rsidRDefault="006E6CFF" w:rsidP="095637AE">
            <w:pPr>
              <w:rPr>
                <w:rFonts w:cs="Arial"/>
              </w:rPr>
            </w:pPr>
            <w:r w:rsidRPr="00DC19CA">
              <w:rPr>
                <w:rFonts w:cs="Arial"/>
                <w:color w:val="000000" w:themeColor="text1"/>
              </w:rPr>
              <w:t>Actuarial (gains)</w:t>
            </w:r>
            <w:r w:rsidR="005950FD">
              <w:rPr>
                <w:rFonts w:cs="Arial"/>
                <w:color w:val="000000" w:themeColor="text1"/>
              </w:rPr>
              <w:t xml:space="preserve"> or </w:t>
            </w:r>
            <w:r w:rsidRPr="00DC19CA">
              <w:rPr>
                <w:rFonts w:cs="Arial"/>
                <w:color w:val="000000" w:themeColor="text1"/>
              </w:rPr>
              <w:t>losses on pension fund assets</w:t>
            </w:r>
          </w:p>
        </w:tc>
        <w:tc>
          <w:tcPr>
            <w:tcW w:w="1645" w:type="dxa"/>
            <w:vAlign w:val="center"/>
          </w:tcPr>
          <w:p w14:paraId="30FF4B34" w14:textId="477447A1" w:rsidR="006E6CFF" w:rsidRPr="00DC19CA" w:rsidRDefault="00D60E12" w:rsidP="095637AE">
            <w:pPr>
              <w:jc w:val="right"/>
              <w:rPr>
                <w:rFonts w:cs="Arial"/>
                <w:lang w:eastAsia="en-GB"/>
              </w:rPr>
            </w:pPr>
            <w:r>
              <w:rPr>
                <w:rFonts w:cs="Arial"/>
                <w:lang w:eastAsia="en-GB"/>
              </w:rPr>
              <w:t>(14,448)</w:t>
            </w:r>
          </w:p>
        </w:tc>
      </w:tr>
      <w:tr w:rsidR="006E6CFF" w:rsidRPr="00D948C1" w14:paraId="30A98FEE" w14:textId="77777777" w:rsidTr="0022314C">
        <w:tc>
          <w:tcPr>
            <w:tcW w:w="6917" w:type="dxa"/>
            <w:vAlign w:val="center"/>
          </w:tcPr>
          <w:p w14:paraId="67B2070C" w14:textId="77777777" w:rsidR="006E6CFF" w:rsidRPr="00DC19CA" w:rsidRDefault="006E6CFF" w:rsidP="095637AE">
            <w:pPr>
              <w:rPr>
                <w:rFonts w:cs="Arial"/>
              </w:rPr>
            </w:pPr>
            <w:r w:rsidRPr="00DC19CA">
              <w:rPr>
                <w:rFonts w:cs="Arial"/>
                <w:b/>
                <w:color w:val="000000" w:themeColor="text1"/>
              </w:rPr>
              <w:t>Total Comprehensive Income and Expenditure</w:t>
            </w:r>
          </w:p>
        </w:tc>
        <w:tc>
          <w:tcPr>
            <w:tcW w:w="1645" w:type="dxa"/>
            <w:vAlign w:val="center"/>
          </w:tcPr>
          <w:p w14:paraId="33C53C5D" w14:textId="70354F11" w:rsidR="006E6CFF" w:rsidRPr="00DC19CA" w:rsidRDefault="00D60E12" w:rsidP="095637AE">
            <w:pPr>
              <w:jc w:val="right"/>
              <w:rPr>
                <w:rFonts w:cs="Arial"/>
                <w:b/>
                <w:lang w:eastAsia="en-GB"/>
              </w:rPr>
            </w:pPr>
            <w:r>
              <w:rPr>
                <w:rFonts w:cs="Arial"/>
                <w:b/>
                <w:lang w:eastAsia="en-GB"/>
              </w:rPr>
              <w:t>(10,1</w:t>
            </w:r>
            <w:r w:rsidR="00645B58">
              <w:rPr>
                <w:rFonts w:cs="Arial"/>
                <w:b/>
                <w:lang w:eastAsia="en-GB"/>
              </w:rPr>
              <w:t>57</w:t>
            </w:r>
            <w:r>
              <w:rPr>
                <w:rFonts w:cs="Arial"/>
                <w:b/>
                <w:lang w:eastAsia="en-GB"/>
              </w:rPr>
              <w:t>)</w:t>
            </w:r>
          </w:p>
        </w:tc>
      </w:tr>
    </w:tbl>
    <w:p w14:paraId="7403769F" w14:textId="77777777" w:rsidR="006E6CFF" w:rsidRPr="00D948C1" w:rsidRDefault="006E6CFF" w:rsidP="095637AE">
      <w:pPr>
        <w:jc w:val="both"/>
        <w:rPr>
          <w:rFonts w:cs="Arial"/>
          <w:color w:val="000000" w:themeColor="text1"/>
          <w:highlight w:val="red"/>
        </w:rPr>
      </w:pPr>
    </w:p>
    <w:p w14:paraId="2E86B9C3" w14:textId="2F14977B" w:rsidR="00207C95" w:rsidRPr="008A7395" w:rsidRDefault="00207C95">
      <w:pPr>
        <w:rPr>
          <w:kern w:val="2"/>
          <w:szCs w:val="24"/>
          <w14:ligatures w14:val="standardContextual"/>
        </w:rPr>
      </w:pPr>
      <w:r w:rsidRPr="008A7395">
        <w:rPr>
          <w:color w:val="000000"/>
        </w:rPr>
        <w:t xml:space="preserve">The Authority’s General Fund balance, including its share of </w:t>
      </w:r>
      <w:proofErr w:type="gramStart"/>
      <w:r w:rsidRPr="008A7395">
        <w:rPr>
          <w:color w:val="000000"/>
        </w:rPr>
        <w:t>North West</w:t>
      </w:r>
      <w:proofErr w:type="gramEnd"/>
      <w:r w:rsidRPr="008A7395">
        <w:rPr>
          <w:color w:val="000000"/>
        </w:rPr>
        <w:t xml:space="preserve"> Fire</w:t>
      </w:r>
      <w:r w:rsidR="002A699E" w:rsidRPr="008A7395">
        <w:rPr>
          <w:color w:val="000000"/>
        </w:rPr>
        <w:t xml:space="preserve"> </w:t>
      </w:r>
      <w:r w:rsidRPr="008A7395">
        <w:rPr>
          <w:color w:val="000000"/>
        </w:rPr>
        <w:t>Control, was £6.56</w:t>
      </w:r>
      <w:r w:rsidR="008A0CDD">
        <w:rPr>
          <w:color w:val="000000"/>
        </w:rPr>
        <w:t xml:space="preserve"> </w:t>
      </w:r>
      <w:r w:rsidRPr="008A7395">
        <w:rPr>
          <w:color w:val="000000"/>
        </w:rPr>
        <w:t>m</w:t>
      </w:r>
      <w:r w:rsidR="008A0CDD">
        <w:rPr>
          <w:color w:val="000000"/>
        </w:rPr>
        <w:t>illion</w:t>
      </w:r>
      <w:r w:rsidRPr="008A7395">
        <w:rPr>
          <w:color w:val="000000"/>
        </w:rPr>
        <w:t xml:space="preserve"> at the start of the year. Following the transfer of the year-end underspend and other reserve movements, the balance </w:t>
      </w:r>
      <w:proofErr w:type="gramStart"/>
      <w:r w:rsidRPr="008A7395">
        <w:rPr>
          <w:color w:val="000000"/>
        </w:rPr>
        <w:t>at</w:t>
      </w:r>
      <w:proofErr w:type="gramEnd"/>
      <w:r w:rsidRPr="008A7395">
        <w:rPr>
          <w:color w:val="000000"/>
        </w:rPr>
        <w:t xml:space="preserve"> 31 March 2026 was £6.92</w:t>
      </w:r>
      <w:r w:rsidR="00D600B4">
        <w:rPr>
          <w:color w:val="000000"/>
        </w:rPr>
        <w:t xml:space="preserve"> </w:t>
      </w:r>
      <w:r w:rsidRPr="008A7395">
        <w:rPr>
          <w:color w:val="000000"/>
        </w:rPr>
        <w:t>m</w:t>
      </w:r>
      <w:r w:rsidR="00D600B4">
        <w:rPr>
          <w:color w:val="000000"/>
        </w:rPr>
        <w:t>illion</w:t>
      </w:r>
      <w:r w:rsidRPr="008A7395">
        <w:rPr>
          <w:color w:val="000000"/>
        </w:rPr>
        <w:t xml:space="preserve">. The Authority’s year-end balance excluding its share of </w:t>
      </w:r>
      <w:proofErr w:type="gramStart"/>
      <w:r w:rsidRPr="008A7395">
        <w:rPr>
          <w:color w:val="000000"/>
        </w:rPr>
        <w:t>North West</w:t>
      </w:r>
      <w:proofErr w:type="gramEnd"/>
      <w:r w:rsidRPr="008A7395">
        <w:rPr>
          <w:color w:val="000000"/>
        </w:rPr>
        <w:t xml:space="preserve"> Fire</w:t>
      </w:r>
      <w:r w:rsidR="002A699E" w:rsidRPr="008A7395">
        <w:rPr>
          <w:color w:val="000000"/>
        </w:rPr>
        <w:t xml:space="preserve"> </w:t>
      </w:r>
      <w:r w:rsidRPr="008A7395">
        <w:rPr>
          <w:color w:val="000000"/>
        </w:rPr>
        <w:t>Control was £6.06</w:t>
      </w:r>
      <w:r w:rsidR="00D600B4">
        <w:rPr>
          <w:color w:val="000000"/>
        </w:rPr>
        <w:t xml:space="preserve"> </w:t>
      </w:r>
      <w:r w:rsidRPr="008A7395">
        <w:rPr>
          <w:color w:val="000000"/>
        </w:rPr>
        <w:t>m</w:t>
      </w:r>
      <w:r w:rsidR="00D600B4">
        <w:rPr>
          <w:color w:val="000000"/>
        </w:rPr>
        <w:t>illion</w:t>
      </w:r>
      <w:r w:rsidRPr="008A7395">
        <w:rPr>
          <w:color w:val="000000"/>
        </w:rPr>
        <w:t>, which remains above the minimum level of reserves approved by the Authority.</w:t>
      </w:r>
    </w:p>
    <w:p w14:paraId="7EF0DC93" w14:textId="77777777" w:rsidR="00634FF1" w:rsidRPr="002A699E" w:rsidRDefault="00634FF1" w:rsidP="095637AE">
      <w:pPr>
        <w:rPr>
          <w:rFonts w:cs="Arial"/>
          <w:color w:val="000000" w:themeColor="text1"/>
          <w:highlight w:val="green"/>
        </w:rPr>
      </w:pPr>
    </w:p>
    <w:p w14:paraId="13B29078" w14:textId="3D3C5786" w:rsidR="00207C95" w:rsidRPr="008A7395" w:rsidRDefault="00207C95">
      <w:pPr>
        <w:rPr>
          <w:kern w:val="2"/>
          <w:szCs w:val="24"/>
          <w14:ligatures w14:val="standardContextual"/>
        </w:rPr>
      </w:pPr>
      <w:r w:rsidRPr="008A7395">
        <w:rPr>
          <w:color w:val="000000"/>
        </w:rPr>
        <w:t>The Authority also held £28.35</w:t>
      </w:r>
      <w:r w:rsidR="00D600B4">
        <w:rPr>
          <w:color w:val="000000"/>
        </w:rPr>
        <w:t xml:space="preserve"> </w:t>
      </w:r>
      <w:r w:rsidRPr="008A7395">
        <w:rPr>
          <w:color w:val="000000"/>
        </w:rPr>
        <w:t>m</w:t>
      </w:r>
      <w:r w:rsidR="00D600B4">
        <w:rPr>
          <w:color w:val="000000"/>
        </w:rPr>
        <w:t>illion</w:t>
      </w:r>
      <w:r w:rsidRPr="008A7395">
        <w:rPr>
          <w:color w:val="000000"/>
        </w:rPr>
        <w:t xml:space="preserve"> of earmarked reserves and £0.272</w:t>
      </w:r>
      <w:r w:rsidR="00D600B4">
        <w:rPr>
          <w:color w:val="000000"/>
        </w:rPr>
        <w:t xml:space="preserve"> </w:t>
      </w:r>
      <w:r w:rsidRPr="008A7395">
        <w:rPr>
          <w:color w:val="000000"/>
        </w:rPr>
        <w:t>m</w:t>
      </w:r>
      <w:r w:rsidR="00D600B4">
        <w:rPr>
          <w:color w:val="000000"/>
        </w:rPr>
        <w:t>illion</w:t>
      </w:r>
      <w:r w:rsidRPr="008A7395">
        <w:rPr>
          <w:color w:val="000000"/>
        </w:rPr>
        <w:t xml:space="preserve"> of capital receipts </w:t>
      </w:r>
      <w:proofErr w:type="gramStart"/>
      <w:r w:rsidRPr="008A7395">
        <w:rPr>
          <w:color w:val="000000"/>
        </w:rPr>
        <w:t>at</w:t>
      </w:r>
      <w:proofErr w:type="gramEnd"/>
      <w:r w:rsidRPr="008A7395">
        <w:rPr>
          <w:color w:val="000000"/>
        </w:rPr>
        <w:t xml:space="preserve"> 31 March 2026. These reserves are held for specific purposes, including the funding of the capital programme, budget holder carry forwards, insurance risk, innovation, and future PFI costs. The capital reserve and capital receipts are fully committed within the medium-term financial strategy.</w:t>
      </w:r>
    </w:p>
    <w:p w14:paraId="4D298F3E" w14:textId="77777777" w:rsidR="00634FF1" w:rsidRPr="007E7E3A" w:rsidRDefault="00634FF1" w:rsidP="095637AE">
      <w:pPr>
        <w:rPr>
          <w:rFonts w:cs="Arial"/>
          <w:color w:val="000000" w:themeColor="text1"/>
        </w:rPr>
      </w:pPr>
    </w:p>
    <w:p w14:paraId="4BF495A8" w14:textId="0C194B21" w:rsidR="00207C95" w:rsidRDefault="00207C95">
      <w:pPr>
        <w:rPr>
          <w:kern w:val="2"/>
          <w:szCs w:val="24"/>
          <w14:ligatures w14:val="standardContextual"/>
        </w:rPr>
      </w:pPr>
      <w:r w:rsidRPr="007E7E3A">
        <w:rPr>
          <w:color w:val="000000"/>
        </w:rPr>
        <w:t xml:space="preserve">Capital expenditure excluding </w:t>
      </w:r>
      <w:proofErr w:type="gramStart"/>
      <w:r w:rsidRPr="007E7E3A">
        <w:rPr>
          <w:color w:val="000000"/>
        </w:rPr>
        <w:t>North West</w:t>
      </w:r>
      <w:proofErr w:type="gramEnd"/>
      <w:r w:rsidRPr="007E7E3A">
        <w:rPr>
          <w:color w:val="000000"/>
        </w:rPr>
        <w:t xml:space="preserve"> Fire</w:t>
      </w:r>
      <w:r w:rsidR="007E7E3A">
        <w:rPr>
          <w:color w:val="000000"/>
        </w:rPr>
        <w:t xml:space="preserve"> </w:t>
      </w:r>
      <w:r w:rsidRPr="007E7E3A">
        <w:rPr>
          <w:color w:val="000000"/>
        </w:rPr>
        <w:t>Control Limited totalled £6.2</w:t>
      </w:r>
      <w:r w:rsidR="00D600B4">
        <w:rPr>
          <w:color w:val="000000"/>
        </w:rPr>
        <w:t xml:space="preserve"> </w:t>
      </w:r>
      <w:r w:rsidRPr="007E7E3A">
        <w:rPr>
          <w:color w:val="000000"/>
        </w:rPr>
        <w:t>m</w:t>
      </w:r>
      <w:r w:rsidR="00D600B4">
        <w:rPr>
          <w:color w:val="000000"/>
        </w:rPr>
        <w:t>illion</w:t>
      </w:r>
      <w:r w:rsidRPr="007E7E3A">
        <w:rPr>
          <w:color w:val="000000"/>
        </w:rPr>
        <w:t xml:space="preserve"> in 2025</w:t>
      </w:r>
      <w:r w:rsidR="0050758B">
        <w:rPr>
          <w:color w:val="000000"/>
        </w:rPr>
        <w:t>-</w:t>
      </w:r>
      <w:r w:rsidRPr="007E7E3A">
        <w:rPr>
          <w:color w:val="000000"/>
        </w:rPr>
        <w:t>26. The main areas of spend were vehicles (£2.2</w:t>
      </w:r>
      <w:r w:rsidR="00D600B4">
        <w:rPr>
          <w:color w:val="000000"/>
        </w:rPr>
        <w:t xml:space="preserve"> </w:t>
      </w:r>
      <w:r w:rsidRPr="007E7E3A">
        <w:rPr>
          <w:color w:val="000000"/>
        </w:rPr>
        <w:t>m</w:t>
      </w:r>
      <w:r w:rsidR="00D600B4">
        <w:rPr>
          <w:color w:val="000000"/>
        </w:rPr>
        <w:t>illion</w:t>
      </w:r>
      <w:r w:rsidRPr="007E7E3A">
        <w:rPr>
          <w:color w:val="000000"/>
        </w:rPr>
        <w:t>), buildings (£2.8</w:t>
      </w:r>
      <w:r w:rsidR="00D600B4">
        <w:rPr>
          <w:color w:val="000000"/>
        </w:rPr>
        <w:t xml:space="preserve"> </w:t>
      </w:r>
      <w:r w:rsidRPr="007E7E3A">
        <w:rPr>
          <w:color w:val="000000"/>
        </w:rPr>
        <w:t>m</w:t>
      </w:r>
      <w:r w:rsidR="00D600B4">
        <w:rPr>
          <w:color w:val="000000"/>
        </w:rPr>
        <w:t>illion</w:t>
      </w:r>
      <w:r w:rsidRPr="007E7E3A">
        <w:rPr>
          <w:color w:val="000000"/>
        </w:rPr>
        <w:t>), operational equipment (£0.6</w:t>
      </w:r>
      <w:r w:rsidR="00D600B4">
        <w:rPr>
          <w:color w:val="000000"/>
        </w:rPr>
        <w:t xml:space="preserve"> </w:t>
      </w:r>
      <w:r w:rsidRPr="007E7E3A">
        <w:rPr>
          <w:color w:val="000000"/>
        </w:rPr>
        <w:t>m</w:t>
      </w:r>
      <w:r w:rsidR="00D600B4">
        <w:rPr>
          <w:color w:val="000000"/>
        </w:rPr>
        <w:t>illion</w:t>
      </w:r>
      <w:r w:rsidRPr="007E7E3A">
        <w:rPr>
          <w:color w:val="000000"/>
        </w:rPr>
        <w:t>) and ICT equipment (£0.5</w:t>
      </w:r>
      <w:r w:rsidR="00D600B4">
        <w:rPr>
          <w:color w:val="000000"/>
        </w:rPr>
        <w:t xml:space="preserve"> </w:t>
      </w:r>
      <w:r w:rsidRPr="007E7E3A">
        <w:rPr>
          <w:color w:val="000000"/>
        </w:rPr>
        <w:t>m</w:t>
      </w:r>
      <w:r w:rsidR="00D600B4">
        <w:rPr>
          <w:color w:val="000000"/>
        </w:rPr>
        <w:t>illion</w:t>
      </w:r>
      <w:r w:rsidRPr="007E7E3A">
        <w:rPr>
          <w:color w:val="000000"/>
        </w:rPr>
        <w:t>). This investment supports operational resilience, staff safety, digital capability and the maintenance of the Authority’s estate.</w:t>
      </w:r>
    </w:p>
    <w:p w14:paraId="2F64AB76" w14:textId="77777777" w:rsidR="00634FF1" w:rsidRPr="00927796" w:rsidRDefault="00634FF1" w:rsidP="095637AE">
      <w:pPr>
        <w:jc w:val="both"/>
        <w:rPr>
          <w:rFonts w:cs="Arial"/>
          <w:color w:val="000000" w:themeColor="text1"/>
          <w:szCs w:val="24"/>
          <w:highlight w:val="red"/>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1105"/>
      </w:tblGrid>
      <w:tr w:rsidR="00634FF1" w:rsidRPr="00927796" w14:paraId="3DC535D2" w14:textId="77777777" w:rsidTr="00A97682">
        <w:trPr>
          <w:tblHeader/>
        </w:trPr>
        <w:tc>
          <w:tcPr>
            <w:tcW w:w="8818" w:type="dxa"/>
            <w:shd w:val="clear" w:color="auto" w:fill="BD2716"/>
            <w:vAlign w:val="center"/>
          </w:tcPr>
          <w:p w14:paraId="44129294" w14:textId="77777777" w:rsidR="00634FF1" w:rsidRPr="001425BA" w:rsidRDefault="00634FF1" w:rsidP="095637AE">
            <w:pPr>
              <w:rPr>
                <w:rFonts w:cs="Arial"/>
                <w:color w:val="FFFFFF" w:themeColor="background1"/>
                <w:szCs w:val="24"/>
              </w:rPr>
            </w:pPr>
            <w:r w:rsidRPr="001425BA">
              <w:rPr>
                <w:rFonts w:cs="Arial"/>
                <w:color w:val="FFFFFF" w:themeColor="background1"/>
                <w:szCs w:val="24"/>
              </w:rPr>
              <w:t>Capital Expenditure</w:t>
            </w:r>
          </w:p>
        </w:tc>
        <w:tc>
          <w:tcPr>
            <w:tcW w:w="1105" w:type="dxa"/>
            <w:shd w:val="clear" w:color="auto" w:fill="BD2716"/>
            <w:vAlign w:val="center"/>
          </w:tcPr>
          <w:p w14:paraId="178E00E6" w14:textId="523BA0A0" w:rsidR="00634FF1" w:rsidRPr="00927796" w:rsidRDefault="00634FF1" w:rsidP="095637AE">
            <w:pPr>
              <w:jc w:val="right"/>
              <w:rPr>
                <w:rFonts w:cs="Arial"/>
                <w:color w:val="FFFFFF" w:themeColor="background1"/>
                <w:szCs w:val="24"/>
                <w:highlight w:val="red"/>
              </w:rPr>
            </w:pPr>
            <w:r w:rsidRPr="001425BA">
              <w:rPr>
                <w:rFonts w:cs="Arial"/>
                <w:color w:val="FFFFFF" w:themeColor="background1"/>
                <w:szCs w:val="24"/>
              </w:rPr>
              <w:t>£m</w:t>
            </w:r>
            <w:r w:rsidR="00A97682">
              <w:rPr>
                <w:rFonts w:cs="Arial"/>
                <w:color w:val="FFFFFF" w:themeColor="background1"/>
                <w:szCs w:val="24"/>
              </w:rPr>
              <w:t>illion</w:t>
            </w:r>
          </w:p>
        </w:tc>
      </w:tr>
      <w:tr w:rsidR="00634FF1" w:rsidRPr="00927796" w14:paraId="59744DF0" w14:textId="77777777" w:rsidTr="00A97682">
        <w:tc>
          <w:tcPr>
            <w:tcW w:w="8818" w:type="dxa"/>
          </w:tcPr>
          <w:p w14:paraId="51AE90F4" w14:textId="77777777" w:rsidR="00634FF1" w:rsidRPr="001425BA" w:rsidRDefault="00634FF1" w:rsidP="095637AE">
            <w:pPr>
              <w:rPr>
                <w:rFonts w:cs="Arial"/>
                <w:color w:val="000000" w:themeColor="text1"/>
                <w:szCs w:val="24"/>
              </w:rPr>
            </w:pPr>
            <w:r w:rsidRPr="001425BA">
              <w:rPr>
                <w:rFonts w:cs="Arial"/>
                <w:color w:val="000000" w:themeColor="text1"/>
                <w:szCs w:val="24"/>
              </w:rPr>
              <w:t>Vehicles</w:t>
            </w:r>
          </w:p>
          <w:p w14:paraId="30FBCE69" w14:textId="77777777" w:rsidR="00634FF1" w:rsidRPr="001425BA" w:rsidRDefault="00634FF1" w:rsidP="095637AE">
            <w:pPr>
              <w:numPr>
                <w:ilvl w:val="0"/>
                <w:numId w:val="35"/>
              </w:numPr>
              <w:contextualSpacing/>
              <w:rPr>
                <w:rFonts w:eastAsia="Calibri" w:cs="Arial"/>
                <w:color w:val="000000" w:themeColor="text1"/>
                <w:szCs w:val="24"/>
              </w:rPr>
            </w:pPr>
            <w:r w:rsidRPr="001425BA">
              <w:rPr>
                <w:rFonts w:eastAsia="Calibri" w:cs="Arial"/>
                <w:color w:val="000000" w:themeColor="text1"/>
                <w:szCs w:val="24"/>
              </w:rPr>
              <w:t>Fire Appliances, Command Units, Aerial Appliance and various Support Vehicles including vans and cars.</w:t>
            </w:r>
          </w:p>
        </w:tc>
        <w:tc>
          <w:tcPr>
            <w:tcW w:w="1105" w:type="dxa"/>
            <w:vAlign w:val="center"/>
          </w:tcPr>
          <w:p w14:paraId="4215CD5D" w14:textId="65D6B726" w:rsidR="00634FF1" w:rsidRPr="001425BA" w:rsidRDefault="00856EAC" w:rsidP="00426B04">
            <w:pPr>
              <w:jc w:val="right"/>
              <w:rPr>
                <w:rFonts w:cs="Arial"/>
                <w:color w:val="000000" w:themeColor="text1"/>
                <w:szCs w:val="24"/>
              </w:rPr>
            </w:pPr>
            <w:r>
              <w:rPr>
                <w:rFonts w:cs="Arial"/>
                <w:color w:val="000000" w:themeColor="text1"/>
                <w:szCs w:val="24"/>
              </w:rPr>
              <w:t>2.2</w:t>
            </w:r>
          </w:p>
        </w:tc>
      </w:tr>
      <w:tr w:rsidR="00634FF1" w:rsidRPr="00927796" w14:paraId="2BFC9A01" w14:textId="77777777" w:rsidTr="00A97682">
        <w:tc>
          <w:tcPr>
            <w:tcW w:w="8818" w:type="dxa"/>
          </w:tcPr>
          <w:p w14:paraId="5DDED244" w14:textId="77777777" w:rsidR="00634FF1" w:rsidRPr="001425BA" w:rsidRDefault="00634FF1" w:rsidP="095637AE">
            <w:pPr>
              <w:rPr>
                <w:rFonts w:cs="Arial"/>
                <w:color w:val="000000" w:themeColor="text1"/>
                <w:szCs w:val="24"/>
              </w:rPr>
            </w:pPr>
            <w:r w:rsidRPr="001425BA">
              <w:rPr>
                <w:rFonts w:cs="Arial"/>
                <w:color w:val="000000" w:themeColor="text1"/>
                <w:szCs w:val="24"/>
              </w:rPr>
              <w:t>Operational Equipment</w:t>
            </w:r>
          </w:p>
          <w:p w14:paraId="483571FD" w14:textId="77777777" w:rsidR="00634FF1" w:rsidRPr="001425BA" w:rsidRDefault="00634FF1" w:rsidP="095637AE">
            <w:pPr>
              <w:numPr>
                <w:ilvl w:val="0"/>
                <w:numId w:val="35"/>
              </w:numPr>
              <w:contextualSpacing/>
              <w:rPr>
                <w:rFonts w:eastAsia="Calibri" w:cs="Arial"/>
                <w:color w:val="000000" w:themeColor="text1"/>
                <w:szCs w:val="24"/>
              </w:rPr>
            </w:pPr>
            <w:r w:rsidRPr="001425BA">
              <w:rPr>
                <w:rFonts w:eastAsia="Calibri" w:cs="Arial"/>
                <w:color w:val="000000" w:themeColor="text1"/>
                <w:szCs w:val="24"/>
              </w:rPr>
              <w:t>RTC Rescue Equipment, Drone, Thermal Imagining Cameras, Appliance CCTV</w:t>
            </w:r>
          </w:p>
        </w:tc>
        <w:tc>
          <w:tcPr>
            <w:tcW w:w="1105" w:type="dxa"/>
            <w:vAlign w:val="center"/>
          </w:tcPr>
          <w:p w14:paraId="7BEC1C0A" w14:textId="3600D06F" w:rsidR="00634FF1" w:rsidRPr="001425BA" w:rsidRDefault="008C39F3" w:rsidP="095637AE">
            <w:pPr>
              <w:jc w:val="right"/>
              <w:rPr>
                <w:rFonts w:cs="Arial"/>
                <w:color w:val="000000" w:themeColor="text1"/>
                <w:szCs w:val="24"/>
              </w:rPr>
            </w:pPr>
            <w:r>
              <w:rPr>
                <w:rFonts w:cs="Arial"/>
                <w:color w:val="000000" w:themeColor="text1"/>
                <w:szCs w:val="24"/>
              </w:rPr>
              <w:t>0.6</w:t>
            </w:r>
          </w:p>
        </w:tc>
      </w:tr>
      <w:tr w:rsidR="00634FF1" w:rsidRPr="00927796" w14:paraId="7D7AD5C1" w14:textId="77777777" w:rsidTr="00A97682">
        <w:tc>
          <w:tcPr>
            <w:tcW w:w="8818" w:type="dxa"/>
          </w:tcPr>
          <w:p w14:paraId="14ACE145" w14:textId="77777777" w:rsidR="00634FF1" w:rsidRPr="001425BA" w:rsidRDefault="00634FF1" w:rsidP="095637AE">
            <w:pPr>
              <w:rPr>
                <w:rFonts w:cs="Arial"/>
                <w:color w:val="000000" w:themeColor="text1"/>
                <w:szCs w:val="24"/>
              </w:rPr>
            </w:pPr>
            <w:r w:rsidRPr="001425BA">
              <w:rPr>
                <w:rFonts w:cs="Arial"/>
                <w:color w:val="000000" w:themeColor="text1"/>
                <w:szCs w:val="24"/>
              </w:rPr>
              <w:t>ICT Equipment</w:t>
            </w:r>
          </w:p>
          <w:p w14:paraId="474AE3CA" w14:textId="77777777" w:rsidR="00634FF1" w:rsidRPr="001425BA" w:rsidRDefault="00634FF1" w:rsidP="095637AE">
            <w:pPr>
              <w:numPr>
                <w:ilvl w:val="0"/>
                <w:numId w:val="35"/>
              </w:numPr>
              <w:contextualSpacing/>
              <w:rPr>
                <w:rFonts w:cs="Arial"/>
                <w:color w:val="000000" w:themeColor="text1"/>
                <w:szCs w:val="24"/>
              </w:rPr>
            </w:pPr>
            <w:r w:rsidRPr="001425BA">
              <w:rPr>
                <w:rFonts w:eastAsia="Calibri" w:cs="Arial"/>
                <w:color w:val="000000" w:themeColor="text1"/>
                <w:szCs w:val="24"/>
              </w:rPr>
              <w:t>Command Support software, Firewall, Website, Station uninterruptable power supply</w:t>
            </w:r>
          </w:p>
        </w:tc>
        <w:tc>
          <w:tcPr>
            <w:tcW w:w="1105" w:type="dxa"/>
            <w:vAlign w:val="center"/>
          </w:tcPr>
          <w:p w14:paraId="0243C8CB" w14:textId="3305FE38" w:rsidR="00634FF1" w:rsidRPr="001425BA" w:rsidRDefault="008C39F3" w:rsidP="095637AE">
            <w:pPr>
              <w:jc w:val="right"/>
              <w:rPr>
                <w:rFonts w:cs="Arial"/>
                <w:color w:val="000000" w:themeColor="text1"/>
                <w:szCs w:val="24"/>
              </w:rPr>
            </w:pPr>
            <w:r>
              <w:rPr>
                <w:rFonts w:cs="Arial"/>
                <w:color w:val="000000" w:themeColor="text1"/>
                <w:szCs w:val="24"/>
              </w:rPr>
              <w:t>0.5</w:t>
            </w:r>
          </w:p>
        </w:tc>
      </w:tr>
      <w:tr w:rsidR="00634FF1" w:rsidRPr="00927796" w14:paraId="57A7DCF7" w14:textId="77777777" w:rsidTr="00A97682">
        <w:tc>
          <w:tcPr>
            <w:tcW w:w="8818" w:type="dxa"/>
          </w:tcPr>
          <w:p w14:paraId="6C674E4A" w14:textId="77777777" w:rsidR="00634FF1" w:rsidRPr="001425BA" w:rsidRDefault="00634FF1" w:rsidP="095637AE">
            <w:pPr>
              <w:rPr>
                <w:rFonts w:cs="Arial"/>
                <w:color w:val="000000" w:themeColor="text1"/>
                <w:szCs w:val="24"/>
              </w:rPr>
            </w:pPr>
            <w:r w:rsidRPr="001425BA">
              <w:rPr>
                <w:rFonts w:cs="Arial"/>
                <w:color w:val="000000" w:themeColor="text1"/>
                <w:szCs w:val="24"/>
              </w:rPr>
              <w:t>Buildings</w:t>
            </w:r>
          </w:p>
          <w:p w14:paraId="5233637E" w14:textId="77777777" w:rsidR="00634FF1" w:rsidRPr="001425BA" w:rsidRDefault="00634FF1" w:rsidP="095637AE">
            <w:pPr>
              <w:numPr>
                <w:ilvl w:val="0"/>
                <w:numId w:val="36"/>
              </w:numPr>
              <w:contextualSpacing/>
              <w:rPr>
                <w:rFonts w:eastAsia="Calibri" w:cs="Arial"/>
                <w:color w:val="000000" w:themeColor="text1"/>
                <w:szCs w:val="24"/>
              </w:rPr>
            </w:pPr>
            <w:r w:rsidRPr="001425BA">
              <w:rPr>
                <w:rFonts w:eastAsia="Calibri" w:cs="Arial"/>
                <w:color w:val="000000" w:themeColor="text1"/>
                <w:szCs w:val="24"/>
              </w:rPr>
              <w:t>Dormitory facilities, Drill tower replacements &amp; work at the fleet workshop</w:t>
            </w:r>
          </w:p>
        </w:tc>
        <w:tc>
          <w:tcPr>
            <w:tcW w:w="1105" w:type="dxa"/>
            <w:vAlign w:val="center"/>
          </w:tcPr>
          <w:p w14:paraId="05F65F04" w14:textId="1CD7D22F" w:rsidR="00634FF1" w:rsidRPr="001425BA" w:rsidRDefault="008C39F3" w:rsidP="095637AE">
            <w:pPr>
              <w:jc w:val="right"/>
              <w:rPr>
                <w:rFonts w:cs="Arial"/>
                <w:color w:val="000000" w:themeColor="text1"/>
                <w:szCs w:val="24"/>
              </w:rPr>
            </w:pPr>
            <w:r>
              <w:rPr>
                <w:rFonts w:cs="Arial"/>
                <w:color w:val="000000" w:themeColor="text1"/>
                <w:szCs w:val="24"/>
              </w:rPr>
              <w:t>2.8</w:t>
            </w:r>
          </w:p>
        </w:tc>
      </w:tr>
      <w:tr w:rsidR="00634FF1" w:rsidRPr="00927796" w14:paraId="6DEEBE87" w14:textId="77777777" w:rsidTr="00A97682">
        <w:tc>
          <w:tcPr>
            <w:tcW w:w="8818" w:type="dxa"/>
          </w:tcPr>
          <w:p w14:paraId="5DD4D8A1" w14:textId="77777777" w:rsidR="00634FF1" w:rsidRPr="001425BA" w:rsidRDefault="00634FF1" w:rsidP="095637AE">
            <w:pPr>
              <w:rPr>
                <w:rFonts w:cs="Arial"/>
                <w:b/>
                <w:color w:val="000000" w:themeColor="text1"/>
                <w:szCs w:val="24"/>
              </w:rPr>
            </w:pPr>
            <w:r w:rsidRPr="001425BA">
              <w:rPr>
                <w:rFonts w:cs="Arial"/>
                <w:b/>
                <w:color w:val="000000" w:themeColor="text1"/>
                <w:szCs w:val="24"/>
              </w:rPr>
              <w:t>Total</w:t>
            </w:r>
          </w:p>
        </w:tc>
        <w:tc>
          <w:tcPr>
            <w:tcW w:w="1105" w:type="dxa"/>
            <w:vAlign w:val="center"/>
          </w:tcPr>
          <w:p w14:paraId="49877DB7" w14:textId="13651855" w:rsidR="00634FF1" w:rsidRPr="001425BA" w:rsidRDefault="00365C92" w:rsidP="095637AE">
            <w:pPr>
              <w:jc w:val="right"/>
              <w:rPr>
                <w:rFonts w:cs="Arial"/>
                <w:b/>
                <w:color w:val="000000" w:themeColor="text1"/>
                <w:szCs w:val="24"/>
              </w:rPr>
            </w:pPr>
            <w:r>
              <w:rPr>
                <w:rFonts w:cs="Arial"/>
                <w:b/>
                <w:color w:val="000000" w:themeColor="text1"/>
                <w:szCs w:val="24"/>
              </w:rPr>
              <w:t>6.2</w:t>
            </w:r>
          </w:p>
        </w:tc>
      </w:tr>
    </w:tbl>
    <w:p w14:paraId="7B103434" w14:textId="77777777" w:rsidR="00634FF1" w:rsidRPr="006D70D3" w:rsidRDefault="00634FF1" w:rsidP="095637AE">
      <w:pPr>
        <w:jc w:val="both"/>
        <w:rPr>
          <w:rFonts w:cs="Arial"/>
          <w:color w:val="000000" w:themeColor="text1"/>
          <w:szCs w:val="24"/>
        </w:rPr>
      </w:pPr>
    </w:p>
    <w:p w14:paraId="78982F57" w14:textId="4CC57A8B" w:rsidR="00207C95" w:rsidRPr="00B901BE" w:rsidRDefault="00207C95">
      <w:pPr>
        <w:rPr>
          <w:kern w:val="2"/>
          <w:szCs w:val="24"/>
          <w14:ligatures w14:val="standardContextual"/>
        </w:rPr>
      </w:pPr>
      <w:r w:rsidRPr="00B901BE">
        <w:rPr>
          <w:color w:val="000000"/>
        </w:rPr>
        <w:t>The Balance Sheet shows that the Authority’s total net liabilities reduced from £435.2</w:t>
      </w:r>
      <w:r w:rsidR="00A97682">
        <w:rPr>
          <w:color w:val="000000"/>
        </w:rPr>
        <w:t xml:space="preserve"> </w:t>
      </w:r>
      <w:r w:rsidRPr="00B901BE">
        <w:rPr>
          <w:color w:val="000000"/>
        </w:rPr>
        <w:t>m</w:t>
      </w:r>
      <w:r w:rsidR="00A97682">
        <w:rPr>
          <w:color w:val="000000"/>
        </w:rPr>
        <w:t>illion</w:t>
      </w:r>
      <w:r w:rsidRPr="00B901BE">
        <w:rPr>
          <w:color w:val="000000"/>
        </w:rPr>
        <w:t xml:space="preserve"> to £425.0</w:t>
      </w:r>
      <w:r w:rsidR="00A97682">
        <w:rPr>
          <w:color w:val="000000"/>
        </w:rPr>
        <w:t xml:space="preserve"> </w:t>
      </w:r>
      <w:r w:rsidRPr="00B901BE">
        <w:rPr>
          <w:color w:val="000000"/>
        </w:rPr>
        <w:t>m</w:t>
      </w:r>
      <w:r w:rsidR="00A97682">
        <w:rPr>
          <w:color w:val="000000"/>
        </w:rPr>
        <w:t>illion</w:t>
      </w:r>
      <w:r w:rsidRPr="00B901BE">
        <w:rPr>
          <w:color w:val="000000"/>
        </w:rPr>
        <w:t>. This was mainly due to changes in actuarial assumptions for the firefighters’ pension scheme. The firefighters’ pension liability is shown in the accounts to comply with accounting standards and remains the largest factor in the Authority’s reported net liabilities. If this liability was excluded, the Authority would show total net assets of £152</w:t>
      </w:r>
      <w:r w:rsidR="00A97682">
        <w:rPr>
          <w:color w:val="000000"/>
        </w:rPr>
        <w:t xml:space="preserve"> </w:t>
      </w:r>
      <w:r w:rsidRPr="00B901BE">
        <w:rPr>
          <w:color w:val="000000"/>
        </w:rPr>
        <w:t>m</w:t>
      </w:r>
      <w:r w:rsidR="00A97682">
        <w:rPr>
          <w:color w:val="000000"/>
        </w:rPr>
        <w:t>illion</w:t>
      </w:r>
      <w:r w:rsidRPr="00B901BE">
        <w:rPr>
          <w:color w:val="000000"/>
        </w:rPr>
        <w:t>.</w:t>
      </w:r>
    </w:p>
    <w:p w14:paraId="6AEB314E" w14:textId="77777777" w:rsidR="00634FF1" w:rsidRPr="006D70D3" w:rsidRDefault="00634FF1" w:rsidP="095637AE">
      <w:pPr>
        <w:rPr>
          <w:rFonts w:cs="Arial"/>
          <w:color w:val="000000" w:themeColor="text1"/>
          <w:szCs w:val="24"/>
        </w:rPr>
      </w:pPr>
    </w:p>
    <w:p w14:paraId="356DFC4D" w14:textId="59DCA94E" w:rsidR="00207C95" w:rsidRDefault="00207C95">
      <w:pPr>
        <w:rPr>
          <w:kern w:val="2"/>
          <w:szCs w:val="24"/>
          <w14:ligatures w14:val="standardContextual"/>
        </w:rPr>
      </w:pPr>
      <w:r w:rsidRPr="00B901BE">
        <w:rPr>
          <w:color w:val="000000"/>
        </w:rPr>
        <w:t>Long-term assets decreased slightly in value from £130</w:t>
      </w:r>
      <w:r w:rsidR="00610981">
        <w:rPr>
          <w:color w:val="000000"/>
        </w:rPr>
        <w:t xml:space="preserve"> </w:t>
      </w:r>
      <w:r w:rsidRPr="00B901BE">
        <w:rPr>
          <w:color w:val="000000"/>
        </w:rPr>
        <w:t>m</w:t>
      </w:r>
      <w:r w:rsidR="00610981">
        <w:rPr>
          <w:color w:val="000000"/>
        </w:rPr>
        <w:t>illion</w:t>
      </w:r>
      <w:r w:rsidRPr="00B901BE">
        <w:rPr>
          <w:color w:val="000000"/>
        </w:rPr>
        <w:t xml:space="preserve"> to £128</w:t>
      </w:r>
      <w:r w:rsidR="00610981">
        <w:rPr>
          <w:color w:val="000000"/>
        </w:rPr>
        <w:t xml:space="preserve"> </w:t>
      </w:r>
      <w:r w:rsidRPr="00B901BE">
        <w:rPr>
          <w:color w:val="000000"/>
        </w:rPr>
        <w:t>m</w:t>
      </w:r>
      <w:r w:rsidR="00610981">
        <w:rPr>
          <w:color w:val="000000"/>
        </w:rPr>
        <w:t>illion</w:t>
      </w:r>
      <w:r w:rsidRPr="00B901BE">
        <w:rPr>
          <w:color w:val="000000"/>
        </w:rPr>
        <w:t>, reflecting the impact of capital expenditure, depreciation and revaluations during the year.</w:t>
      </w:r>
    </w:p>
    <w:p w14:paraId="427A4405" w14:textId="77777777" w:rsidR="00634FF1" w:rsidRPr="006D70D3" w:rsidRDefault="00634FF1" w:rsidP="095637AE">
      <w:pPr>
        <w:rPr>
          <w:rFonts w:cs="Arial"/>
          <w:b/>
          <w:color w:val="000000" w:themeColor="text1"/>
          <w:szCs w:val="24"/>
        </w:rPr>
      </w:pPr>
    </w:p>
    <w:p w14:paraId="67904E2E" w14:textId="77777777" w:rsidR="00634FF1" w:rsidRPr="00B901BE" w:rsidRDefault="00634FF1" w:rsidP="095637AE">
      <w:pPr>
        <w:rPr>
          <w:rFonts w:cs="Arial"/>
          <w:b/>
          <w:szCs w:val="24"/>
        </w:rPr>
      </w:pPr>
      <w:r w:rsidRPr="00B901BE">
        <w:rPr>
          <w:rFonts w:cs="Arial"/>
          <w:b/>
          <w:szCs w:val="24"/>
        </w:rPr>
        <w:t>Future Financial Plans</w:t>
      </w:r>
    </w:p>
    <w:p w14:paraId="261416CD" w14:textId="77777777" w:rsidR="00634FF1" w:rsidRPr="00B901BE" w:rsidRDefault="00634FF1" w:rsidP="095637AE">
      <w:pPr>
        <w:rPr>
          <w:rFonts w:cs="Arial"/>
          <w:color w:val="000000" w:themeColor="text1"/>
          <w:szCs w:val="24"/>
        </w:rPr>
      </w:pPr>
    </w:p>
    <w:p w14:paraId="60B1B130" w14:textId="15034304" w:rsidR="00207C95" w:rsidRPr="00B901BE" w:rsidRDefault="00207C95">
      <w:pPr>
        <w:rPr>
          <w:kern w:val="2"/>
          <w:szCs w:val="24"/>
          <w14:ligatures w14:val="standardContextual"/>
        </w:rPr>
      </w:pPr>
      <w:r w:rsidRPr="00B901BE">
        <w:t>The Authority approved a balanced revenue budget for 2026</w:t>
      </w:r>
      <w:r w:rsidR="0050758B">
        <w:t>-</w:t>
      </w:r>
      <w:r w:rsidRPr="00B901BE">
        <w:t xml:space="preserve">27 and updated its </w:t>
      </w:r>
      <w:r w:rsidR="001B4C5F" w:rsidRPr="00B901BE">
        <w:t>Medium-Term</w:t>
      </w:r>
      <w:r w:rsidRPr="00B901BE">
        <w:t xml:space="preserve"> Financial Strategy. The 2026</w:t>
      </w:r>
      <w:r w:rsidR="0050758B">
        <w:t>-</w:t>
      </w:r>
      <w:r w:rsidRPr="00B901BE">
        <w:t>27 budget provides for the continued delivery of fire and rescue services, while recognising the financial pressures facing the Authority, including pay, inflation, pension costs and the cost of funding future capital investment.</w:t>
      </w:r>
    </w:p>
    <w:p w14:paraId="1138314E" w14:textId="77777777" w:rsidR="00634FF1" w:rsidRPr="00B901BE" w:rsidRDefault="00634FF1" w:rsidP="095637AE">
      <w:pPr>
        <w:rPr>
          <w:rFonts w:cs="Arial"/>
          <w:color w:val="000000" w:themeColor="text1"/>
          <w:szCs w:val="24"/>
        </w:rPr>
      </w:pPr>
    </w:p>
    <w:p w14:paraId="5B34D84A" w14:textId="40E3490F" w:rsidR="00207C95" w:rsidRPr="00B901BE" w:rsidRDefault="00207C95">
      <w:pPr>
        <w:rPr>
          <w:kern w:val="2"/>
          <w:szCs w:val="24"/>
          <w14:ligatures w14:val="standardContextual"/>
        </w:rPr>
      </w:pPr>
      <w:r w:rsidRPr="00B901BE">
        <w:rPr>
          <w:color w:val="000000"/>
        </w:rPr>
        <w:t>The 2026</w:t>
      </w:r>
      <w:r w:rsidR="0050758B">
        <w:rPr>
          <w:color w:val="000000"/>
        </w:rPr>
        <w:t>-</w:t>
      </w:r>
      <w:r w:rsidRPr="00B901BE">
        <w:rPr>
          <w:color w:val="000000"/>
        </w:rPr>
        <w:t>27 net revenue budget is £8</w:t>
      </w:r>
      <w:r w:rsidR="00EE15F7" w:rsidRPr="00B901BE">
        <w:rPr>
          <w:color w:val="000000"/>
        </w:rPr>
        <w:t>0</w:t>
      </w:r>
      <w:r w:rsidRPr="00B901BE">
        <w:rPr>
          <w:color w:val="000000"/>
        </w:rPr>
        <w:t>.</w:t>
      </w:r>
      <w:r w:rsidR="00EE15F7" w:rsidRPr="00B901BE">
        <w:rPr>
          <w:color w:val="000000"/>
        </w:rPr>
        <w:t>5</w:t>
      </w:r>
      <w:r w:rsidR="00610981">
        <w:rPr>
          <w:color w:val="000000"/>
        </w:rPr>
        <w:t xml:space="preserve"> </w:t>
      </w:r>
      <w:r w:rsidRPr="00B901BE">
        <w:rPr>
          <w:color w:val="000000"/>
        </w:rPr>
        <w:t>m</w:t>
      </w:r>
      <w:r w:rsidR="00610981">
        <w:rPr>
          <w:color w:val="000000"/>
        </w:rPr>
        <w:t>illion</w:t>
      </w:r>
      <w:r w:rsidRPr="00B901BE">
        <w:rPr>
          <w:color w:val="000000"/>
        </w:rPr>
        <w:t>. This is funded from council tax, business rates and government grants. The Authority agreed a Band D council tax of £94.</w:t>
      </w:r>
      <w:r w:rsidR="005868AF" w:rsidRPr="00B901BE">
        <w:rPr>
          <w:color w:val="000000"/>
        </w:rPr>
        <w:t>73</w:t>
      </w:r>
      <w:r w:rsidRPr="00B901BE">
        <w:rPr>
          <w:color w:val="000000"/>
        </w:rPr>
        <w:t xml:space="preserve"> for 2026</w:t>
      </w:r>
      <w:r w:rsidR="0050758B">
        <w:rPr>
          <w:color w:val="000000"/>
        </w:rPr>
        <w:t>-2</w:t>
      </w:r>
      <w:r w:rsidRPr="00B901BE">
        <w:rPr>
          <w:color w:val="000000"/>
        </w:rPr>
        <w:t>7, an increase of £</w:t>
      </w:r>
      <w:r w:rsidR="00EB5102" w:rsidRPr="00B901BE">
        <w:rPr>
          <w:color w:val="000000"/>
        </w:rPr>
        <w:t>5</w:t>
      </w:r>
      <w:r w:rsidRPr="00B901BE">
        <w:rPr>
          <w:color w:val="000000"/>
        </w:rPr>
        <w:t>. The budget is considered affordable, prudent and sustainable, while allowing the Authority to continue to deliver its corporate priorities.</w:t>
      </w:r>
    </w:p>
    <w:p w14:paraId="21F9EDC1" w14:textId="77777777" w:rsidR="00634FF1" w:rsidRPr="00B901BE" w:rsidRDefault="00634FF1" w:rsidP="095637AE">
      <w:pPr>
        <w:rPr>
          <w:rFonts w:cs="Arial"/>
          <w:color w:val="000000" w:themeColor="text1"/>
          <w:szCs w:val="24"/>
        </w:rPr>
      </w:pPr>
    </w:p>
    <w:p w14:paraId="3DDAF202" w14:textId="0FA8768A" w:rsidR="00207C95" w:rsidRPr="00B901BE" w:rsidRDefault="00207C95">
      <w:pPr>
        <w:rPr>
          <w:kern w:val="2"/>
          <w:szCs w:val="24"/>
          <w14:ligatures w14:val="standardContextual"/>
        </w:rPr>
      </w:pPr>
      <w:r w:rsidRPr="00B901BE">
        <w:rPr>
          <w:color w:val="000000"/>
        </w:rPr>
        <w:t xml:space="preserve">The </w:t>
      </w:r>
      <w:r w:rsidR="001B4C5F" w:rsidRPr="00B901BE">
        <w:rPr>
          <w:color w:val="000000"/>
        </w:rPr>
        <w:t>Medium-Term</w:t>
      </w:r>
      <w:r w:rsidRPr="00B901BE">
        <w:rPr>
          <w:color w:val="000000"/>
        </w:rPr>
        <w:t xml:space="preserve"> Financial Strategy assumes that funding will broadly increase in line with inflation, but there remains uncertainty over future funding arrangements, including the impact of the funding formula review and changes to business rates retention. In real terms, the Authority continues to face pressure where cost increases, particularly pay, inflation and capital financing costs, exceed growth in funding.</w:t>
      </w:r>
    </w:p>
    <w:p w14:paraId="2D776EDA" w14:textId="77777777" w:rsidR="00634FF1" w:rsidRPr="00B901BE" w:rsidRDefault="00634FF1" w:rsidP="095637AE">
      <w:pPr>
        <w:rPr>
          <w:rFonts w:cs="Arial"/>
          <w:szCs w:val="24"/>
        </w:rPr>
      </w:pPr>
    </w:p>
    <w:p w14:paraId="78A2F0DF" w14:textId="77777777" w:rsidR="00207C95" w:rsidRPr="009A76EB" w:rsidRDefault="00207C95">
      <w:pPr>
        <w:rPr>
          <w:kern w:val="2"/>
          <w:szCs w:val="24"/>
          <w14:ligatures w14:val="standardContextual"/>
        </w:rPr>
      </w:pPr>
      <w:r w:rsidRPr="00B901BE">
        <w:rPr>
          <w:color w:val="000000"/>
        </w:rPr>
        <w:t xml:space="preserve">The Authority has identified the need to deliver savings and efficiencies over the medium term to support financial sustainability. These savings are linked to service review work, </w:t>
      </w:r>
      <w:r w:rsidRPr="00B901BE">
        <w:rPr>
          <w:color w:val="000000"/>
        </w:rPr>
        <w:lastRenderedPageBreak/>
        <w:t xml:space="preserve">productivity and efficiency activity, and careful management of the revenue budget. The </w:t>
      </w:r>
      <w:r w:rsidRPr="009A76EB">
        <w:rPr>
          <w:color w:val="000000"/>
        </w:rPr>
        <w:t>Authority will continue to monitor delivery through its established financial and governance arrangements.</w:t>
      </w:r>
    </w:p>
    <w:p w14:paraId="2D50D9F1" w14:textId="77777777" w:rsidR="00634FF1" w:rsidRPr="009A76EB" w:rsidRDefault="00634FF1" w:rsidP="095637AE">
      <w:pPr>
        <w:rPr>
          <w:rFonts w:cs="Arial"/>
          <w:szCs w:val="24"/>
        </w:rPr>
      </w:pPr>
    </w:p>
    <w:p w14:paraId="660A1C02" w14:textId="11C1D3D7" w:rsidR="00207C95" w:rsidRPr="009A76EB" w:rsidRDefault="00207C95">
      <w:pPr>
        <w:rPr>
          <w:kern w:val="2"/>
          <w:szCs w:val="24"/>
          <w14:ligatures w14:val="standardContextual"/>
        </w:rPr>
      </w:pPr>
      <w:r w:rsidRPr="009A76EB">
        <w:rPr>
          <w:color w:val="000000"/>
        </w:rPr>
        <w:t xml:space="preserve">The capital programme remains a key part of the Authority’s </w:t>
      </w:r>
      <w:proofErr w:type="gramStart"/>
      <w:r w:rsidRPr="009A76EB">
        <w:rPr>
          <w:color w:val="000000"/>
        </w:rPr>
        <w:t>future plans</w:t>
      </w:r>
      <w:proofErr w:type="gramEnd"/>
      <w:r w:rsidRPr="009A76EB">
        <w:rPr>
          <w:color w:val="000000"/>
        </w:rPr>
        <w:t>. The approved programme includes investment in vehicles, operational equipment, buildings and ICT, with a total capital requirement of £113.990</w:t>
      </w:r>
      <w:r w:rsidR="007437E6">
        <w:rPr>
          <w:color w:val="000000"/>
        </w:rPr>
        <w:t xml:space="preserve"> </w:t>
      </w:r>
      <w:r w:rsidRPr="009A76EB">
        <w:rPr>
          <w:color w:val="000000"/>
        </w:rPr>
        <w:t>m</w:t>
      </w:r>
      <w:r w:rsidR="007437E6">
        <w:rPr>
          <w:color w:val="000000"/>
        </w:rPr>
        <w:t>illion</w:t>
      </w:r>
      <w:r w:rsidRPr="009A76EB">
        <w:rPr>
          <w:color w:val="000000"/>
        </w:rPr>
        <w:t xml:space="preserve"> over the ten years from 2026</w:t>
      </w:r>
      <w:r w:rsidR="00ED74C0">
        <w:rPr>
          <w:color w:val="000000"/>
        </w:rPr>
        <w:t>-</w:t>
      </w:r>
      <w:r w:rsidRPr="009A76EB">
        <w:rPr>
          <w:color w:val="000000"/>
        </w:rPr>
        <w:t>27 to 2035</w:t>
      </w:r>
      <w:r w:rsidR="00ED74C0">
        <w:rPr>
          <w:color w:val="000000"/>
        </w:rPr>
        <w:t>-</w:t>
      </w:r>
      <w:r w:rsidRPr="009A76EB">
        <w:rPr>
          <w:color w:val="000000"/>
        </w:rPr>
        <w:t>36. The first five years of the programme total £83.912</w:t>
      </w:r>
      <w:r w:rsidR="007437E6">
        <w:rPr>
          <w:color w:val="000000"/>
        </w:rPr>
        <w:t xml:space="preserve"> </w:t>
      </w:r>
      <w:r w:rsidRPr="009A76EB">
        <w:rPr>
          <w:color w:val="000000"/>
        </w:rPr>
        <w:t>m</w:t>
      </w:r>
      <w:r w:rsidR="007437E6">
        <w:rPr>
          <w:color w:val="000000"/>
        </w:rPr>
        <w:t>illion</w:t>
      </w:r>
      <w:r w:rsidRPr="009A76EB">
        <w:rPr>
          <w:color w:val="000000"/>
        </w:rPr>
        <w:t>, including £9.241</w:t>
      </w:r>
      <w:r w:rsidR="007437E6">
        <w:rPr>
          <w:color w:val="000000"/>
        </w:rPr>
        <w:t xml:space="preserve"> </w:t>
      </w:r>
      <w:r w:rsidRPr="009A76EB">
        <w:rPr>
          <w:color w:val="000000"/>
        </w:rPr>
        <w:t>m</w:t>
      </w:r>
      <w:r w:rsidR="007437E6">
        <w:rPr>
          <w:color w:val="000000"/>
        </w:rPr>
        <w:t>illion</w:t>
      </w:r>
      <w:r w:rsidRPr="009A76EB">
        <w:rPr>
          <w:color w:val="000000"/>
        </w:rPr>
        <w:t xml:space="preserve"> in 2026</w:t>
      </w:r>
      <w:r w:rsidR="00ED74C0">
        <w:rPr>
          <w:color w:val="000000"/>
        </w:rPr>
        <w:t>-</w:t>
      </w:r>
      <w:r w:rsidRPr="009A76EB">
        <w:rPr>
          <w:color w:val="000000"/>
        </w:rPr>
        <w:t>27.</w:t>
      </w:r>
    </w:p>
    <w:p w14:paraId="6C2DAAC6" w14:textId="77777777" w:rsidR="00634FF1" w:rsidRPr="002A699E" w:rsidRDefault="00634FF1" w:rsidP="095637AE">
      <w:pPr>
        <w:rPr>
          <w:rFonts w:cs="Arial"/>
          <w:color w:val="000000" w:themeColor="text1"/>
          <w:szCs w:val="24"/>
          <w:highlight w:val="green"/>
        </w:rPr>
      </w:pPr>
    </w:p>
    <w:p w14:paraId="690C59B9" w14:textId="46B7B96E" w:rsidR="00207C95" w:rsidRPr="009A76EB" w:rsidRDefault="00207C95">
      <w:r w:rsidRPr="009A76EB">
        <w:t>Major planned investment includes the Leadership and Development Centre training facilities, Preston replacement station, Headquarters and Stores relocation, Fulwood replacement station, replacement vehicles and ICT infrastructure. The timing and scope of some major projects will be considered through the Service Review to ensure that investment remains affordable, deliverable and aligned to operational priorities.</w:t>
      </w:r>
    </w:p>
    <w:p w14:paraId="7E9A5F69" w14:textId="77777777" w:rsidR="009A2D64" w:rsidRPr="009A76EB" w:rsidRDefault="009A2D64">
      <w:pPr>
        <w:rPr>
          <w:kern w:val="2"/>
          <w:szCs w:val="24"/>
          <w14:ligatures w14:val="standardContextual"/>
        </w:rPr>
      </w:pPr>
    </w:p>
    <w:p w14:paraId="3869BD23" w14:textId="2652923B" w:rsidR="00207C95" w:rsidRPr="009A76EB" w:rsidRDefault="00207C95">
      <w:r w:rsidRPr="009A76EB">
        <w:t>The capital programme will be funded from revenue contributions, capital reserves, capital receipts and borrowing. The updated programme includes £51.2</w:t>
      </w:r>
      <w:r w:rsidR="007437E6">
        <w:t xml:space="preserve"> </w:t>
      </w:r>
      <w:r w:rsidRPr="009A76EB">
        <w:t>m</w:t>
      </w:r>
      <w:r w:rsidR="007437E6">
        <w:t>illion</w:t>
      </w:r>
      <w:r w:rsidRPr="009A76EB">
        <w:t xml:space="preserve"> of planned borrowing to support major schemes, with long-term revenue costs estimated at £4.1</w:t>
      </w:r>
      <w:r w:rsidR="007437E6">
        <w:t xml:space="preserve"> </w:t>
      </w:r>
      <w:r w:rsidRPr="009A76EB">
        <w:t>m</w:t>
      </w:r>
      <w:r w:rsidR="007437E6">
        <w:t>illion</w:t>
      </w:r>
      <w:r w:rsidRPr="009A76EB">
        <w:t xml:space="preserve"> per year. These costs have been built into the medium-term financial planning assumptions and will continue to be closely monitored.</w:t>
      </w:r>
    </w:p>
    <w:p w14:paraId="60B4D74D" w14:textId="77777777" w:rsidR="002A699E" w:rsidRPr="002A699E" w:rsidRDefault="002A699E">
      <w:pPr>
        <w:rPr>
          <w:kern w:val="2"/>
          <w:szCs w:val="24"/>
          <w:highlight w:val="green"/>
          <w14:ligatures w14:val="standardContextual"/>
        </w:rPr>
      </w:pPr>
    </w:p>
    <w:p w14:paraId="5CF23448" w14:textId="5195586B" w:rsidR="00207C95" w:rsidRPr="009A76EB" w:rsidRDefault="00207C95">
      <w:pPr>
        <w:rPr>
          <w:kern w:val="2"/>
          <w:szCs w:val="24"/>
          <w14:ligatures w14:val="standardContextual"/>
        </w:rPr>
      </w:pPr>
      <w:r w:rsidRPr="009A76EB">
        <w:t>Reserves continue to provide an important safeguard against financial risk. The General Reserve is forecast to remain above the minimum level of £4</w:t>
      </w:r>
      <w:r w:rsidR="007437E6">
        <w:t xml:space="preserve"> </w:t>
      </w:r>
      <w:r w:rsidRPr="009A76EB">
        <w:t>m</w:t>
      </w:r>
      <w:r w:rsidR="007437E6">
        <w:t>illion</w:t>
      </w:r>
      <w:r w:rsidRPr="009A76EB">
        <w:t xml:space="preserve"> across the medium term, although usable reserves are expected to reduce as capital reserves are used to support planned investment. The Authority will continue to review reserves annually to ensure they remain prudent and adequate, but not excessive.</w:t>
      </w:r>
    </w:p>
    <w:p w14:paraId="1F6C7609" w14:textId="77777777" w:rsidR="00634FF1" w:rsidRPr="009A76EB" w:rsidRDefault="00634FF1" w:rsidP="095637AE">
      <w:pPr>
        <w:rPr>
          <w:rFonts w:cs="Arial"/>
          <w:color w:val="000000" w:themeColor="text1"/>
          <w:szCs w:val="24"/>
        </w:rPr>
      </w:pPr>
    </w:p>
    <w:p w14:paraId="63BEBC26" w14:textId="42CF0ED4" w:rsidR="00207C95" w:rsidRPr="009A76EB" w:rsidRDefault="00207C95">
      <w:pPr>
        <w:rPr>
          <w:kern w:val="2"/>
          <w:szCs w:val="24"/>
          <w14:ligatures w14:val="standardContextual"/>
        </w:rPr>
      </w:pPr>
      <w:r w:rsidRPr="009A76EB">
        <w:t xml:space="preserve">The main financial risks facing the Authority include inflation, pay negotiations, pension costs, interest rates, delivery of planned savings, future funding changes, business rates volatility and wider economic and geopolitical uncertainty. These risks are reflected in the budget, the </w:t>
      </w:r>
      <w:r w:rsidR="002759DE" w:rsidRPr="009A76EB">
        <w:t>Medium-Term</w:t>
      </w:r>
      <w:r w:rsidRPr="009A76EB">
        <w:t xml:space="preserve"> Financial Strategy and the reserves strategy, and will be kept under review through regular financial monitoring.</w:t>
      </w:r>
    </w:p>
    <w:p w14:paraId="537F9770" w14:textId="77777777" w:rsidR="00634FF1" w:rsidRPr="009A76EB" w:rsidRDefault="00634FF1" w:rsidP="095637AE">
      <w:pPr>
        <w:rPr>
          <w:rFonts w:cs="Arial"/>
          <w:szCs w:val="24"/>
        </w:rPr>
      </w:pPr>
    </w:p>
    <w:p w14:paraId="432A07B3" w14:textId="0C0DB45E" w:rsidR="00634FF1" w:rsidRPr="002A699E" w:rsidRDefault="00207C95" w:rsidP="095637AE">
      <w:pPr>
        <w:rPr>
          <w:kern w:val="2"/>
          <w:szCs w:val="24"/>
          <w14:ligatures w14:val="standardContextual"/>
        </w:rPr>
      </w:pPr>
      <w:r w:rsidRPr="009A76EB">
        <w:t>The Authority’s approach is to maintain financial sustainability by setting balanced budgets, holding appropriate reserves, delivering efficiencies, reviewing services and investing in assets that support effective service delivery. This provides a sound basis for managing future uncertainty while continuing to deliver value for money and protect the people of Lancashire.</w:t>
      </w:r>
    </w:p>
    <w:p w14:paraId="2A814AC2" w14:textId="77777777" w:rsidR="009828AD" w:rsidRDefault="009828AD" w:rsidP="00381C1B">
      <w:pPr>
        <w:rPr>
          <w:rFonts w:cs="Arial"/>
          <w:b/>
        </w:rPr>
      </w:pPr>
    </w:p>
    <w:p w14:paraId="057A58EE" w14:textId="68980193" w:rsidR="00634FF1" w:rsidRPr="00A7711F" w:rsidRDefault="00634FF1" w:rsidP="00381C1B">
      <w:pPr>
        <w:rPr>
          <w:rFonts w:cs="Arial"/>
          <w:b/>
        </w:rPr>
      </w:pPr>
      <w:r w:rsidRPr="510AD179">
        <w:rPr>
          <w:rFonts w:cs="Arial"/>
          <w:b/>
        </w:rPr>
        <w:t>Accounting Changes</w:t>
      </w:r>
    </w:p>
    <w:p w14:paraId="41B261A0" w14:textId="77777777" w:rsidR="00634FF1" w:rsidRDefault="00634FF1" w:rsidP="00381C1B">
      <w:pPr>
        <w:rPr>
          <w:rFonts w:cs="Arial"/>
        </w:rPr>
      </w:pPr>
    </w:p>
    <w:p w14:paraId="3BC12DAC" w14:textId="77777777" w:rsidR="0072125C" w:rsidRDefault="0072125C" w:rsidP="0072125C">
      <w:pPr>
        <w:rPr>
          <w:rFonts w:cs="Arial"/>
        </w:rPr>
      </w:pPr>
      <w:r w:rsidRPr="00D531F7">
        <w:rPr>
          <w:rFonts w:cs="Arial"/>
        </w:rPr>
        <w:t>From 1st April 2025, the Code of Practice on Local Authority Accounting in the United Kingdom (the Code) requirements changed in respect of revaluations of property, plant and equipment. Where authorities do not have a rolling programme of revaluations in place and</w:t>
      </w:r>
      <w:r>
        <w:rPr>
          <w:rFonts w:cs="Arial"/>
        </w:rPr>
        <w:t xml:space="preserve"> </w:t>
      </w:r>
      <w:r w:rsidRPr="00D531F7">
        <w:rPr>
          <w:rFonts w:cs="Arial"/>
        </w:rPr>
        <w:t>or the assets are not non-property assets subject to indexation, authorities revalue their assets every five years, with annual indexation applied to assets during the four intervening years. Where authorities cannot obtain indices without undue cost of effort, authorities revalue those assets using a quinquennial revaluation, with a desktop revaluation in year three.</w:t>
      </w:r>
    </w:p>
    <w:p w14:paraId="3E61748D" w14:textId="77777777" w:rsidR="0072125C" w:rsidRPr="00A7711F" w:rsidRDefault="0072125C" w:rsidP="00381C1B">
      <w:pPr>
        <w:rPr>
          <w:rFonts w:cs="Arial"/>
        </w:rPr>
      </w:pPr>
    </w:p>
    <w:p w14:paraId="735815AF" w14:textId="1E153B3E" w:rsidR="00634FF1" w:rsidRPr="00146B02" w:rsidRDefault="00634FF1" w:rsidP="00381C1B">
      <w:pPr>
        <w:rPr>
          <w:rFonts w:cs="Arial"/>
          <w:b/>
        </w:rPr>
      </w:pPr>
      <w:r w:rsidRPr="510AD179">
        <w:rPr>
          <w:rFonts w:cs="Arial"/>
        </w:rPr>
        <w:t>The accounts have been prepared in accordance with the requirements of the Code of Practice on Local Authority Accounting in the United Kingdom 202</w:t>
      </w:r>
      <w:r w:rsidR="00A7711F" w:rsidRPr="510AD179">
        <w:rPr>
          <w:rFonts w:cs="Arial"/>
        </w:rPr>
        <w:t>5</w:t>
      </w:r>
      <w:r w:rsidR="00ED74C0">
        <w:rPr>
          <w:rFonts w:cs="Arial"/>
        </w:rPr>
        <w:t>-</w:t>
      </w:r>
      <w:r w:rsidRPr="510AD179">
        <w:rPr>
          <w:rFonts w:cs="Arial"/>
        </w:rPr>
        <w:t>2</w:t>
      </w:r>
      <w:r w:rsidR="00A7711F" w:rsidRPr="510AD179">
        <w:rPr>
          <w:rFonts w:cs="Arial"/>
        </w:rPr>
        <w:t>6</w:t>
      </w:r>
      <w:r w:rsidRPr="510AD179">
        <w:rPr>
          <w:rFonts w:cs="Arial"/>
        </w:rPr>
        <w:t xml:space="preserve"> (the Code).</w:t>
      </w:r>
      <w:bookmarkStart w:id="2" w:name="Governance"/>
      <w:bookmarkEnd w:id="2"/>
    </w:p>
    <w:p w14:paraId="0D297F84" w14:textId="57A5102E" w:rsidR="00905A68" w:rsidRPr="002D0A04" w:rsidRDefault="00F05180" w:rsidP="00295B29">
      <w:pPr>
        <w:pStyle w:val="Heading1"/>
      </w:pPr>
      <w:bookmarkStart w:id="3" w:name="Audit"/>
      <w:bookmarkStart w:id="4" w:name="_Toc233717510"/>
      <w:bookmarkEnd w:id="3"/>
      <w:r>
        <w:lastRenderedPageBreak/>
        <w:t xml:space="preserve">Statement </w:t>
      </w:r>
      <w:r w:rsidR="00691FA0">
        <w:t>o</w:t>
      </w:r>
      <w:r>
        <w:t xml:space="preserve">n Annual Governance Arrangements </w:t>
      </w:r>
      <w:r w:rsidR="00691FA0">
        <w:t>b</w:t>
      </w:r>
      <w:r>
        <w:t xml:space="preserve">y The Chairman </w:t>
      </w:r>
      <w:r w:rsidR="00691FA0">
        <w:t>o</w:t>
      </w:r>
      <w:r>
        <w:t xml:space="preserve">f The Combined Fire Authority, The Treasurer </w:t>
      </w:r>
      <w:r w:rsidR="00691FA0">
        <w:t>t</w:t>
      </w:r>
      <w:r>
        <w:t xml:space="preserve">o The Combined Fire Authority </w:t>
      </w:r>
      <w:r w:rsidR="00691FA0">
        <w:t>a</w:t>
      </w:r>
      <w:r>
        <w:t>nd The Chief Fire Officer</w:t>
      </w:r>
      <w:bookmarkEnd w:id="4"/>
    </w:p>
    <w:p w14:paraId="4FA59045" w14:textId="77777777" w:rsidR="00905A68" w:rsidRPr="002D0A04" w:rsidRDefault="00905A68" w:rsidP="00FE6E51">
      <w:pPr>
        <w:rPr>
          <w:rFonts w:cs="Arial"/>
        </w:rPr>
      </w:pPr>
    </w:p>
    <w:p w14:paraId="1D9C82DB" w14:textId="77777777" w:rsidR="00905A68" w:rsidRPr="007A68F9" w:rsidRDefault="00905A68" w:rsidP="007A68F9">
      <w:pPr>
        <w:rPr>
          <w:b/>
        </w:rPr>
      </w:pPr>
      <w:r w:rsidRPr="510AD179">
        <w:rPr>
          <w:b/>
        </w:rPr>
        <w:t>Scope of Responsibility</w:t>
      </w:r>
    </w:p>
    <w:p w14:paraId="1854D298" w14:textId="77777777" w:rsidR="00905A68" w:rsidRPr="002D0A04" w:rsidRDefault="00905A68" w:rsidP="00FE6E51">
      <w:pPr>
        <w:autoSpaceDE w:val="0"/>
        <w:autoSpaceDN w:val="0"/>
        <w:adjustRightInd w:val="0"/>
        <w:rPr>
          <w:rFonts w:cs="Arial"/>
          <w:b/>
        </w:rPr>
      </w:pPr>
    </w:p>
    <w:p w14:paraId="03FF0CAD" w14:textId="77777777" w:rsidR="00905A68" w:rsidRPr="002D0A04" w:rsidRDefault="00905A68" w:rsidP="00FE6E51">
      <w:pPr>
        <w:autoSpaceDE w:val="0"/>
        <w:autoSpaceDN w:val="0"/>
        <w:adjustRightInd w:val="0"/>
        <w:rPr>
          <w:rFonts w:cs="Arial"/>
        </w:rPr>
      </w:pPr>
      <w:r w:rsidRPr="510AD179">
        <w:rPr>
          <w:rFonts w:cs="Arial"/>
        </w:rPr>
        <w:t>The Authority is responsible for ensuring that its business is conducted in accordance with the law and proper standards, that public money is safeguarded and properly accounted for, and that resources are used economically, efficiently and effectively. In discharging this responsibility, the Authority has in place a framework of governance comprising the systems, processes, culture and values by which it is directed and controlled and through which it accounts to the public, service users, employees and other stakeholders. During the year, the Authority has continued to review and strengthen this framework, including through the ongoing refresh of its constitutional and policy framework, the continued development of member and officer governance arrangements, and the embedding of programme and performance governance to support service improvement, productivity and efficiency.</w:t>
      </w:r>
    </w:p>
    <w:p w14:paraId="6A9603BD" w14:textId="77777777" w:rsidR="00905A68" w:rsidRPr="002D0A04" w:rsidRDefault="00905A68" w:rsidP="00FE6E51">
      <w:pPr>
        <w:autoSpaceDE w:val="0"/>
        <w:autoSpaceDN w:val="0"/>
        <w:adjustRightInd w:val="0"/>
        <w:rPr>
          <w:rFonts w:cs="Arial"/>
        </w:rPr>
      </w:pPr>
    </w:p>
    <w:p w14:paraId="181A6106" w14:textId="77777777" w:rsidR="00905A68" w:rsidRPr="002D0A04" w:rsidRDefault="00905A68" w:rsidP="00FE6E51">
      <w:pPr>
        <w:autoSpaceDE w:val="0"/>
        <w:autoSpaceDN w:val="0"/>
        <w:adjustRightInd w:val="0"/>
        <w:rPr>
          <w:rFonts w:cs="Arial"/>
        </w:rPr>
      </w:pPr>
      <w:r w:rsidRPr="510AD179">
        <w:rPr>
          <w:rFonts w:cs="Arial"/>
        </w:rPr>
        <w:t>The Authority has continued to develop its arrangements for overseeing organisational performance, transformation and value for money. This includes the use of corporate programme governance, performance reporting, budget monitoring, workforce planning and service improvement arrangements to support delivery of priorities. The continued development of modern ways of working and productivity-focused improvement activity has strengthened the Authority’s ability to monitor delivery, manage change and track benefits in a more structured and transparent way.</w:t>
      </w:r>
    </w:p>
    <w:p w14:paraId="4708E438" w14:textId="77777777" w:rsidR="00905A68" w:rsidRPr="002D0A04" w:rsidRDefault="00905A68" w:rsidP="00FE6E51">
      <w:pPr>
        <w:autoSpaceDE w:val="0"/>
        <w:autoSpaceDN w:val="0"/>
        <w:adjustRightInd w:val="0"/>
        <w:rPr>
          <w:rFonts w:cs="Arial"/>
        </w:rPr>
      </w:pPr>
    </w:p>
    <w:p w14:paraId="3B28054C" w14:textId="77777777" w:rsidR="00905A68" w:rsidRPr="002D0A04" w:rsidRDefault="00905A68" w:rsidP="00FE6E51">
      <w:pPr>
        <w:rPr>
          <w:rFonts w:cs="Arial"/>
          <w:lang w:eastAsia="en-GB"/>
        </w:rPr>
      </w:pPr>
      <w:r w:rsidRPr="510AD179">
        <w:rPr>
          <w:rFonts w:cs="Arial"/>
        </w:rPr>
        <w:t>In discharging this overall responsibility, the Authority is responsible for putting in place proper arrangements for the governance of its affairs, facilitating the effective exercise of its functions, including arrangements for the management of risk.</w:t>
      </w:r>
    </w:p>
    <w:p w14:paraId="095FFCFE" w14:textId="77777777" w:rsidR="00905A68" w:rsidRPr="002D0A04" w:rsidRDefault="00905A68" w:rsidP="00FE6E51">
      <w:pPr>
        <w:autoSpaceDE w:val="0"/>
        <w:autoSpaceDN w:val="0"/>
        <w:adjustRightInd w:val="0"/>
        <w:rPr>
          <w:rFonts w:cs="Arial"/>
        </w:rPr>
      </w:pPr>
    </w:p>
    <w:p w14:paraId="42796195" w14:textId="2D88BF5A" w:rsidR="00905A68" w:rsidRPr="002D0A04" w:rsidRDefault="00905A68" w:rsidP="00FE6E51">
      <w:pPr>
        <w:rPr>
          <w:rFonts w:cs="Arial"/>
          <w:lang w:eastAsia="en-GB"/>
        </w:rPr>
      </w:pPr>
      <w:r w:rsidRPr="510AD179">
        <w:rPr>
          <w:rFonts w:cs="Arial"/>
        </w:rPr>
        <w:t>The Authority approved and adopted an updated Local Code of Corporate Governance in 2018, which was reviewed by the Audit Committee in June 2026. It aligns with the principles of the CIPFA</w:t>
      </w:r>
      <w:r w:rsidR="002E1618">
        <w:rPr>
          <w:rFonts w:cs="Arial"/>
        </w:rPr>
        <w:t xml:space="preserve"> and </w:t>
      </w:r>
      <w:r w:rsidR="00F419E7">
        <w:rPr>
          <w:rFonts w:cs="Arial"/>
        </w:rPr>
        <w:t xml:space="preserve">Society </w:t>
      </w:r>
      <w:r w:rsidR="00682656">
        <w:rPr>
          <w:rFonts w:cs="Arial"/>
        </w:rPr>
        <w:t>for</w:t>
      </w:r>
      <w:r w:rsidR="00F419E7">
        <w:rPr>
          <w:rFonts w:cs="Arial"/>
        </w:rPr>
        <w:t xml:space="preserve"> Local Authority Chief Exeutives (</w:t>
      </w:r>
      <w:r w:rsidRPr="510AD179">
        <w:rPr>
          <w:rFonts w:cs="Arial"/>
        </w:rPr>
        <w:t>SOLACE</w:t>
      </w:r>
      <w:r w:rsidR="00682656">
        <w:rPr>
          <w:rFonts w:cs="Arial"/>
        </w:rPr>
        <w:t>)</w:t>
      </w:r>
      <w:r w:rsidRPr="510AD179">
        <w:rPr>
          <w:rFonts w:cs="Arial"/>
        </w:rPr>
        <w:t xml:space="preserve"> </w:t>
      </w:r>
      <w:r w:rsidRPr="510AD179">
        <w:rPr>
          <w:rFonts w:cs="Arial"/>
          <w:i/>
        </w:rPr>
        <w:t>Delivering Good Governance in Local Government Framework 2016</w:t>
      </w:r>
      <w:r w:rsidRPr="510AD179">
        <w:rPr>
          <w:rFonts w:cs="Arial"/>
        </w:rPr>
        <w:t>. Included within the Code are the following core principles:</w:t>
      </w:r>
    </w:p>
    <w:p w14:paraId="4F25E870" w14:textId="77777777" w:rsidR="00905A68" w:rsidRPr="002D0A04" w:rsidRDefault="00905A68" w:rsidP="00FE6E51">
      <w:pPr>
        <w:rPr>
          <w:rFonts w:cs="Arial"/>
        </w:rPr>
      </w:pPr>
    </w:p>
    <w:p w14:paraId="7C52ED12"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Behaving with integrity, demonstrating strong commitment to ethical values, and respecting the rule of law </w:t>
      </w:r>
    </w:p>
    <w:p w14:paraId="145DCA52" w14:textId="77777777" w:rsidR="00905A68" w:rsidRPr="002D0A04" w:rsidRDefault="00905A68" w:rsidP="00FE6E51">
      <w:pPr>
        <w:numPr>
          <w:ilvl w:val="0"/>
          <w:numId w:val="32"/>
        </w:numPr>
        <w:tabs>
          <w:tab w:val="clear" w:pos="720"/>
          <w:tab w:val="num" w:pos="426"/>
        </w:tabs>
        <w:ind w:left="426" w:hanging="426"/>
        <w:rPr>
          <w:rFonts w:cs="Arial"/>
          <w:color w:val="000000"/>
        </w:rPr>
      </w:pPr>
      <w:r w:rsidRPr="510AD179">
        <w:rPr>
          <w:rFonts w:cs="Arial"/>
          <w:color w:val="000000" w:themeColor="text1"/>
        </w:rPr>
        <w:t xml:space="preserve">Ensuring openness and comprehensive stakeholder engagement </w:t>
      </w:r>
    </w:p>
    <w:p w14:paraId="6D276C26"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Defining outcomes in terms of sustainable economic, social, and environmental benefits </w:t>
      </w:r>
    </w:p>
    <w:p w14:paraId="1C6CEF22"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Determining the interventions necessary to optimise the achievement of the intended outcomes </w:t>
      </w:r>
    </w:p>
    <w:p w14:paraId="1A1EB29C"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Developing the entity’s capacity, including the capability of its leadership and the individuals within it </w:t>
      </w:r>
    </w:p>
    <w:p w14:paraId="26B6DA8C"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Managing risks and performance through robust internal control and strong public financial management </w:t>
      </w:r>
    </w:p>
    <w:p w14:paraId="4FEAF876" w14:textId="77777777" w:rsidR="00905A68" w:rsidRPr="002D0A04" w:rsidRDefault="00905A68" w:rsidP="00FE6E51">
      <w:pPr>
        <w:numPr>
          <w:ilvl w:val="0"/>
          <w:numId w:val="32"/>
        </w:numPr>
        <w:tabs>
          <w:tab w:val="clear" w:pos="720"/>
          <w:tab w:val="num" w:pos="426"/>
        </w:tabs>
        <w:ind w:left="426" w:hanging="426"/>
        <w:rPr>
          <w:rFonts w:cs="Arial"/>
        </w:rPr>
      </w:pPr>
      <w:r w:rsidRPr="510AD179">
        <w:rPr>
          <w:rFonts w:cs="Arial"/>
          <w:color w:val="000000" w:themeColor="text1"/>
        </w:rPr>
        <w:t xml:space="preserve">Implementing good practices in transparency, reporting, and audit to deliver effective accountability </w:t>
      </w:r>
    </w:p>
    <w:p w14:paraId="044AAB46" w14:textId="77777777" w:rsidR="00905A68" w:rsidRPr="002D0A04" w:rsidRDefault="00905A68" w:rsidP="00FE6E51">
      <w:pPr>
        <w:rPr>
          <w:rFonts w:cs="Arial"/>
          <w:b/>
        </w:rPr>
      </w:pPr>
    </w:p>
    <w:p w14:paraId="3F995F31" w14:textId="74A12EDD" w:rsidR="00905A68" w:rsidRPr="002D0A04" w:rsidRDefault="00905A68" w:rsidP="00FE6E51">
      <w:pPr>
        <w:rPr>
          <w:rFonts w:cs="Arial"/>
        </w:rPr>
      </w:pPr>
      <w:r w:rsidRPr="510AD179">
        <w:rPr>
          <w:rFonts w:cs="Arial"/>
        </w:rPr>
        <w:t xml:space="preserve">A copy of the code, setting out the core and supporting principles, what the Authority commits itself to do and how it will do this can be found on our website at </w:t>
      </w:r>
      <w:hyperlink r:id="rId18">
        <w:r w:rsidRPr="510AD179">
          <w:rPr>
            <w:rStyle w:val="Hyperlink"/>
            <w:rFonts w:cs="Arial"/>
          </w:rPr>
          <w:t>Code of Corporate Governance | Lancashire Fire and Rescue Service</w:t>
        </w:r>
      </w:hyperlink>
      <w:r w:rsidRPr="510AD179">
        <w:rPr>
          <w:rFonts w:cs="Arial"/>
        </w:rPr>
        <w:t>.</w:t>
      </w:r>
    </w:p>
    <w:p w14:paraId="79E5AE91" w14:textId="77777777" w:rsidR="00905A68" w:rsidRPr="002D0A04" w:rsidRDefault="00905A68" w:rsidP="00905A68">
      <w:pPr>
        <w:rPr>
          <w:rFonts w:cs="Arial"/>
          <w:lang w:eastAsia="en-GB"/>
        </w:rPr>
      </w:pPr>
    </w:p>
    <w:p w14:paraId="684D2CEB" w14:textId="357BC0E2" w:rsidR="00905A68" w:rsidRPr="002D0A04" w:rsidRDefault="00905A68" w:rsidP="00FE6E51">
      <w:pPr>
        <w:autoSpaceDE w:val="0"/>
        <w:autoSpaceDN w:val="0"/>
        <w:adjustRightInd w:val="0"/>
        <w:rPr>
          <w:rFonts w:cs="Arial"/>
        </w:rPr>
      </w:pPr>
      <w:r w:rsidRPr="510AD179">
        <w:rPr>
          <w:rFonts w:cs="Arial"/>
        </w:rPr>
        <w:lastRenderedPageBreak/>
        <w:t xml:space="preserve">This statement explains how the Authority has complied with the code </w:t>
      </w:r>
      <w:r w:rsidR="0012228B" w:rsidRPr="510AD179">
        <w:rPr>
          <w:rFonts w:cs="Arial"/>
        </w:rPr>
        <w:t>and</w:t>
      </w:r>
      <w:r w:rsidRPr="510AD179">
        <w:rPr>
          <w:rFonts w:cs="Arial"/>
        </w:rPr>
        <w:t xml:space="preserve"> meets the requirements of regulation 6(2) of the Accounts and Audit Regulations 2015 in relation to the publication of a statement on internal control.</w:t>
      </w:r>
    </w:p>
    <w:p w14:paraId="73C1263C" w14:textId="77777777" w:rsidR="00905A68" w:rsidRPr="002D0A04" w:rsidRDefault="00905A68" w:rsidP="00FE6E51">
      <w:pPr>
        <w:autoSpaceDE w:val="0"/>
        <w:autoSpaceDN w:val="0"/>
        <w:adjustRightInd w:val="0"/>
        <w:rPr>
          <w:rFonts w:cs="Arial"/>
        </w:rPr>
      </w:pPr>
    </w:p>
    <w:p w14:paraId="34D36253" w14:textId="77777777" w:rsidR="00905A68" w:rsidRPr="00A74B2A" w:rsidRDefault="00905A68" w:rsidP="00A74B2A">
      <w:pPr>
        <w:rPr>
          <w:rFonts w:cs="Arial"/>
          <w:b/>
        </w:rPr>
      </w:pPr>
      <w:r w:rsidRPr="510AD179">
        <w:rPr>
          <w:rFonts w:cs="Arial"/>
          <w:b/>
        </w:rPr>
        <w:t>The Purpose of the Governance Framework</w:t>
      </w:r>
    </w:p>
    <w:p w14:paraId="2C6FE976" w14:textId="77777777" w:rsidR="00905A68" w:rsidRPr="002D0A04" w:rsidRDefault="00905A68" w:rsidP="00FE6E51">
      <w:pPr>
        <w:autoSpaceDE w:val="0"/>
        <w:autoSpaceDN w:val="0"/>
        <w:adjustRightInd w:val="0"/>
        <w:rPr>
          <w:rFonts w:cs="Arial"/>
        </w:rPr>
      </w:pPr>
    </w:p>
    <w:p w14:paraId="5C5C2F81" w14:textId="02121F03" w:rsidR="00905A68" w:rsidRPr="002D0A04" w:rsidRDefault="00905A68" w:rsidP="00FE6E51">
      <w:pPr>
        <w:autoSpaceDE w:val="0"/>
        <w:autoSpaceDN w:val="0"/>
        <w:adjustRightInd w:val="0"/>
        <w:rPr>
          <w:rFonts w:cs="Arial"/>
        </w:rPr>
      </w:pPr>
      <w:r w:rsidRPr="510AD179">
        <w:rPr>
          <w:rFonts w:cs="Arial"/>
        </w:rPr>
        <w:t>The governance framework comprises the systems and processes, and culture and values, by which the Authority is directed and controlled and its activities through which it accounts to, engages with and leads the community. It enables the Authority to monitor the achievement of its strategic objectives and to consider whether those objectives have led to the delivery of appropriate, cost-effective services.</w:t>
      </w:r>
    </w:p>
    <w:p w14:paraId="57974752" w14:textId="77777777" w:rsidR="00905A68" w:rsidRPr="002D0A04" w:rsidRDefault="00905A68" w:rsidP="00FE6E51">
      <w:pPr>
        <w:autoSpaceDE w:val="0"/>
        <w:autoSpaceDN w:val="0"/>
        <w:adjustRightInd w:val="0"/>
        <w:rPr>
          <w:rFonts w:cs="Arial"/>
        </w:rPr>
      </w:pPr>
    </w:p>
    <w:p w14:paraId="6197FE5C" w14:textId="028B69CC" w:rsidR="00905A68" w:rsidRPr="002D0A04" w:rsidRDefault="00905A68" w:rsidP="00FE6E51">
      <w:pPr>
        <w:autoSpaceDE w:val="0"/>
        <w:autoSpaceDN w:val="0"/>
        <w:adjustRightInd w:val="0"/>
        <w:rPr>
          <w:rFonts w:cs="Arial"/>
        </w:rPr>
      </w:pPr>
      <w:r w:rsidRPr="510AD179">
        <w:rPr>
          <w:rFonts w:cs="Arial"/>
        </w:rPr>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The system of internal control is based on an on-going process designed to identify and prioritise the risks to the achievement of the Authority’s policies, aims and objectives, to evaluate the likelihood of those risks being realised and the impact should they be realised, and to manage them efficiently, effectively and economically.</w:t>
      </w:r>
    </w:p>
    <w:p w14:paraId="1F060D01" w14:textId="77777777" w:rsidR="00905A68" w:rsidRPr="002D0A04" w:rsidRDefault="00905A68" w:rsidP="00FE6E51">
      <w:pPr>
        <w:autoSpaceDE w:val="0"/>
        <w:autoSpaceDN w:val="0"/>
        <w:adjustRightInd w:val="0"/>
        <w:rPr>
          <w:rFonts w:cs="Arial"/>
        </w:rPr>
      </w:pPr>
    </w:p>
    <w:p w14:paraId="462DA353" w14:textId="057150C1" w:rsidR="00905A68" w:rsidRPr="002D0A04" w:rsidRDefault="00905A68" w:rsidP="00FE6E51">
      <w:pPr>
        <w:autoSpaceDE w:val="0"/>
        <w:autoSpaceDN w:val="0"/>
        <w:adjustRightInd w:val="0"/>
        <w:rPr>
          <w:rFonts w:cs="Arial"/>
        </w:rPr>
      </w:pPr>
      <w:r w:rsidRPr="50E87671">
        <w:rPr>
          <w:rFonts w:cs="Arial"/>
        </w:rPr>
        <w:t>The governance framework has been in place at the Authority for the year ended 31 March 2026 and up to the date of approval of the 2025</w:t>
      </w:r>
      <w:r w:rsidR="00ED74C0">
        <w:rPr>
          <w:rFonts w:cs="Arial"/>
        </w:rPr>
        <w:t>-</w:t>
      </w:r>
      <w:r w:rsidRPr="50E87671">
        <w:rPr>
          <w:rFonts w:cs="Arial"/>
        </w:rPr>
        <w:t>26 Statement of Accounts.</w:t>
      </w:r>
    </w:p>
    <w:p w14:paraId="5FDF7753" w14:textId="77777777" w:rsidR="00905A68" w:rsidRPr="002D0A04" w:rsidRDefault="00905A68" w:rsidP="00905A68">
      <w:pPr>
        <w:autoSpaceDE w:val="0"/>
        <w:autoSpaceDN w:val="0"/>
        <w:adjustRightInd w:val="0"/>
        <w:jc w:val="both"/>
        <w:rPr>
          <w:rFonts w:cs="Arial"/>
          <w:b/>
        </w:rPr>
      </w:pPr>
    </w:p>
    <w:p w14:paraId="1AF192A2" w14:textId="77777777" w:rsidR="00905A68" w:rsidRPr="00A74B2A" w:rsidRDefault="00905A68" w:rsidP="00A74B2A">
      <w:pPr>
        <w:rPr>
          <w:rFonts w:cs="Arial"/>
          <w:b/>
        </w:rPr>
      </w:pPr>
      <w:r w:rsidRPr="50E87671">
        <w:rPr>
          <w:rFonts w:cs="Arial"/>
          <w:b/>
        </w:rPr>
        <w:t>The Governance Framework</w:t>
      </w:r>
    </w:p>
    <w:p w14:paraId="4092FE69" w14:textId="77777777" w:rsidR="00905A68" w:rsidRPr="002D0A04" w:rsidRDefault="00905A68" w:rsidP="00FE6E51">
      <w:pPr>
        <w:autoSpaceDE w:val="0"/>
        <w:autoSpaceDN w:val="0"/>
        <w:adjustRightInd w:val="0"/>
        <w:rPr>
          <w:rFonts w:cs="Arial"/>
          <w:b/>
        </w:rPr>
      </w:pPr>
    </w:p>
    <w:p w14:paraId="6236C667" w14:textId="2B68868E" w:rsidR="00905A68" w:rsidRPr="002D0A04" w:rsidRDefault="00905A68" w:rsidP="00FE6E51">
      <w:pPr>
        <w:rPr>
          <w:rFonts w:cs="Arial"/>
          <w:lang w:eastAsia="en-GB"/>
        </w:rPr>
      </w:pPr>
      <w:r w:rsidRPr="50E87671">
        <w:rPr>
          <w:rFonts w:cs="Arial"/>
        </w:rPr>
        <w:t>The Authority’s Local Code of Corporate Governance sets out its framework for corporate governance. The key elements of the systems and processes that comprise the Authority’s governance arrangements, in accordance with the seven principles of the Local Code of Corporate Governance, include:</w:t>
      </w:r>
    </w:p>
    <w:p w14:paraId="38DD32BD" w14:textId="77777777" w:rsidR="00905A68" w:rsidRPr="002D0A04" w:rsidRDefault="00905A68" w:rsidP="00FE6E51">
      <w:pPr>
        <w:autoSpaceDE w:val="0"/>
        <w:autoSpaceDN w:val="0"/>
        <w:adjustRightInd w:val="0"/>
        <w:rPr>
          <w:rFonts w:cs="Arial"/>
        </w:rPr>
      </w:pPr>
    </w:p>
    <w:p w14:paraId="18F05FF1" w14:textId="7543C6B6" w:rsidR="00905A68" w:rsidRPr="002D0A04" w:rsidRDefault="00905A68" w:rsidP="00FE6E51">
      <w:pPr>
        <w:numPr>
          <w:ilvl w:val="0"/>
          <w:numId w:val="34"/>
        </w:numPr>
        <w:rPr>
          <w:rFonts w:cs="Arial"/>
        </w:rPr>
      </w:pPr>
      <w:r w:rsidRPr="50E87671">
        <w:rPr>
          <w:rFonts w:cs="Arial"/>
        </w:rPr>
        <w:t xml:space="preserve">The Community Risk Management Plan (CRMP) sets out the direction of the Service and how we will make Lancashire safer. It is informed by the greatest risks to the people and communities of Lancashire which are identified in our strategic assessment of risk (opens in a new tab). The plan describes our aim, priorities, equality objectives and values, alongside how we will prevent, protect and respond to the risks in Lancashire. The current plan covering 2022-2027 can be found on our website at </w:t>
      </w:r>
      <w:hyperlink r:id="rId19">
        <w:r w:rsidR="006D3B0D">
          <w:rPr>
            <w:rStyle w:val="Hyperlink"/>
            <w:rFonts w:cs="Arial"/>
          </w:rPr>
          <w:t>Community Risk Management Plan 2022-2027 | Lancashire Fire and Rescue Service</w:t>
        </w:r>
      </w:hyperlink>
      <w:r w:rsidRPr="50E87671">
        <w:rPr>
          <w:rFonts w:cs="Arial"/>
        </w:rPr>
        <w:t>.</w:t>
      </w:r>
    </w:p>
    <w:p w14:paraId="07F62D21" w14:textId="77777777" w:rsidR="00905A68" w:rsidRPr="002D0A04" w:rsidRDefault="00905A68" w:rsidP="00FE6E51">
      <w:pPr>
        <w:ind w:left="360"/>
        <w:rPr>
          <w:rFonts w:cs="Arial"/>
        </w:rPr>
      </w:pPr>
    </w:p>
    <w:p w14:paraId="0A2E012A" w14:textId="77777777" w:rsidR="00905A68" w:rsidRPr="002D0A04" w:rsidRDefault="00905A68" w:rsidP="00FE6E51">
      <w:pPr>
        <w:numPr>
          <w:ilvl w:val="0"/>
          <w:numId w:val="34"/>
        </w:numPr>
        <w:rPr>
          <w:rFonts w:cs="Arial"/>
        </w:rPr>
      </w:pPr>
      <w:r w:rsidRPr="50E87671">
        <w:rPr>
          <w:rFonts w:cs="Arial"/>
        </w:rPr>
        <w:t xml:space="preserve">Lancashire Fire and Rescue Service </w:t>
      </w:r>
      <w:proofErr w:type="gramStart"/>
      <w:r w:rsidRPr="50E87671">
        <w:rPr>
          <w:rFonts w:cs="Arial"/>
        </w:rPr>
        <w:t>has</w:t>
      </w:r>
      <w:proofErr w:type="gramEnd"/>
      <w:r w:rsidRPr="50E87671">
        <w:rPr>
          <w:rFonts w:cs="Arial"/>
        </w:rPr>
        <w:t xml:space="preserve"> six core strategies: our People, Prevention, Protection, Response, Financial and Digital Strategies. Our prevention, protection and response activities address the fire and rescue related risks that are identified in those strategies and outline the measures in place and actions we take to make Lancashire safer. Each strategy is periodically reviewed and evaluated to ensure we are delivering against our outlined objectives and are doing so in the most efficient and effective way. Wherever necessary, changes will be made within each strategy to ensure we operate in line with our aim, priorities and values.</w:t>
      </w:r>
    </w:p>
    <w:p w14:paraId="21EF6840" w14:textId="77777777" w:rsidR="00905A68" w:rsidRPr="002D0A04" w:rsidRDefault="00905A68" w:rsidP="00FE6E51">
      <w:pPr>
        <w:ind w:left="360"/>
        <w:rPr>
          <w:rFonts w:cs="Arial"/>
        </w:rPr>
      </w:pPr>
    </w:p>
    <w:p w14:paraId="02826DB2" w14:textId="77777777" w:rsidR="00905A68" w:rsidRPr="002D0A04" w:rsidRDefault="00905A68" w:rsidP="00905A68">
      <w:pPr>
        <w:pStyle w:val="ListParagraph"/>
        <w:numPr>
          <w:ilvl w:val="0"/>
          <w:numId w:val="34"/>
        </w:numPr>
        <w:rPr>
          <w:rFonts w:cs="Arial"/>
          <w:lang w:eastAsia="en-GB"/>
        </w:rPr>
      </w:pPr>
      <w:r w:rsidRPr="50E87671">
        <w:rPr>
          <w:rFonts w:cs="Arial"/>
        </w:rPr>
        <w:t xml:space="preserve">The Strategic Assessment of Risk (SAoR) underpins our Community Risk Management Plan (CRMP) by helping to ensure that risk management drives decision-making within Lancashire. This document can be found on our website at </w:t>
      </w:r>
      <w:hyperlink r:id="rId20">
        <w:r w:rsidRPr="50E87671">
          <w:rPr>
            <w:rStyle w:val="Hyperlink"/>
            <w:rFonts w:cs="Arial"/>
          </w:rPr>
          <w:t>Strategic assessment of risk 2025-2026 | Lancashire Fire and Rescue Service</w:t>
        </w:r>
      </w:hyperlink>
      <w:r w:rsidRPr="50E87671">
        <w:rPr>
          <w:rFonts w:cs="Arial"/>
        </w:rPr>
        <w:t>.</w:t>
      </w:r>
    </w:p>
    <w:p w14:paraId="60B6F7B7" w14:textId="77777777" w:rsidR="00905A68" w:rsidRPr="002D0A04" w:rsidRDefault="00905A68" w:rsidP="00905A68">
      <w:pPr>
        <w:pStyle w:val="ListParagraph"/>
        <w:rPr>
          <w:rFonts w:cs="Arial"/>
        </w:rPr>
      </w:pPr>
    </w:p>
    <w:p w14:paraId="664A19B4" w14:textId="77777777" w:rsidR="00905A68" w:rsidRPr="002D0A04" w:rsidRDefault="00905A68" w:rsidP="00FE6E51">
      <w:pPr>
        <w:numPr>
          <w:ilvl w:val="0"/>
          <w:numId w:val="34"/>
        </w:numPr>
        <w:rPr>
          <w:rFonts w:cs="Arial"/>
          <w:color w:val="0000FF"/>
          <w:u w:val="single"/>
        </w:rPr>
      </w:pPr>
      <w:r w:rsidRPr="50E87671">
        <w:rPr>
          <w:rFonts w:cs="Arial"/>
        </w:rPr>
        <w:t xml:space="preserve">The Annual Service Plan details the activities we will undertake to deliver the strategy set out in our CRMP. The current plan was approved this year and can be found on our website at </w:t>
      </w:r>
      <w:hyperlink r:id="rId21">
        <w:r w:rsidRPr="50E87671">
          <w:rPr>
            <w:rStyle w:val="Hyperlink"/>
            <w:rFonts w:cs="Arial"/>
          </w:rPr>
          <w:t>Annual Service Plan 2026 - 2027 | Lancashire Fire and Rescue Service</w:t>
        </w:r>
      </w:hyperlink>
      <w:r w:rsidRPr="50E87671">
        <w:rPr>
          <w:rFonts w:cs="Arial"/>
        </w:rPr>
        <w:t>;</w:t>
      </w:r>
    </w:p>
    <w:p w14:paraId="43C90766" w14:textId="77777777" w:rsidR="00905A68" w:rsidRPr="002D0A04" w:rsidRDefault="00905A68" w:rsidP="00905A68">
      <w:pPr>
        <w:pStyle w:val="ListParagraph"/>
        <w:rPr>
          <w:rFonts w:cs="Arial"/>
        </w:rPr>
      </w:pPr>
    </w:p>
    <w:p w14:paraId="122DBB4F" w14:textId="77777777" w:rsidR="00905A68" w:rsidRPr="002D0A04" w:rsidRDefault="00905A68" w:rsidP="00FE6E51">
      <w:pPr>
        <w:numPr>
          <w:ilvl w:val="0"/>
          <w:numId w:val="34"/>
        </w:numPr>
        <w:tabs>
          <w:tab w:val="clear" w:pos="360"/>
          <w:tab w:val="num" w:pos="284"/>
        </w:tabs>
        <w:ind w:left="284" w:hanging="284"/>
        <w:rPr>
          <w:rFonts w:cs="Arial"/>
        </w:rPr>
      </w:pPr>
      <w:r w:rsidRPr="50E87671">
        <w:rPr>
          <w:rFonts w:cs="Arial"/>
        </w:rPr>
        <w:t xml:space="preserve">The Lancashire Combined Fire Authority’s consultation strategy has been in place since the integrated risk management planning arrangements were introduced in 2003 </w:t>
      </w:r>
      <w:hyperlink r:id="rId22">
        <w:r w:rsidRPr="50E87671">
          <w:rPr>
            <w:rStyle w:val="Hyperlink"/>
            <w:rFonts w:cs="Arial"/>
          </w:rPr>
          <w:t>Consultation Strategy | Lancashire Fire and Rescue Service</w:t>
        </w:r>
      </w:hyperlink>
      <w:r w:rsidRPr="50E87671">
        <w:rPr>
          <w:rFonts w:cs="Arial"/>
        </w:rPr>
        <w:t xml:space="preserve">; </w:t>
      </w:r>
    </w:p>
    <w:p w14:paraId="7F7784B6" w14:textId="77777777" w:rsidR="00905A68" w:rsidRPr="002D0A04" w:rsidRDefault="00905A68" w:rsidP="00FE6E51">
      <w:pPr>
        <w:rPr>
          <w:rFonts w:cs="Arial"/>
        </w:rPr>
      </w:pPr>
    </w:p>
    <w:p w14:paraId="272B311B" w14:textId="77777777" w:rsidR="00905A68" w:rsidRPr="002D0A04" w:rsidRDefault="00905A68" w:rsidP="00FE6E51">
      <w:pPr>
        <w:numPr>
          <w:ilvl w:val="0"/>
          <w:numId w:val="34"/>
        </w:numPr>
        <w:tabs>
          <w:tab w:val="clear" w:pos="360"/>
          <w:tab w:val="num" w:pos="284"/>
        </w:tabs>
        <w:ind w:left="284" w:hanging="284"/>
        <w:rPr>
          <w:rFonts w:cs="Arial"/>
          <w:lang w:eastAsia="en-GB"/>
        </w:rPr>
      </w:pPr>
      <w:r w:rsidRPr="50E87671">
        <w:rPr>
          <w:rFonts w:cs="Arial"/>
        </w:rPr>
        <w:t>A comprehensive performance management framework is in place, with the Performance Committee and Service Management Team receiving regular reports on performance against targets and any corrective action taken to address variances. The Authority also publishes an Annual Service Report each year.</w:t>
      </w:r>
    </w:p>
    <w:p w14:paraId="3F079D5E" w14:textId="77777777" w:rsidR="00905A68" w:rsidRPr="002D0A04" w:rsidRDefault="00905A68" w:rsidP="00FE6E51">
      <w:pPr>
        <w:rPr>
          <w:rFonts w:cs="Arial"/>
          <w:szCs w:val="24"/>
          <w:highlight w:val="green"/>
        </w:rPr>
      </w:pPr>
    </w:p>
    <w:p w14:paraId="222D00B5"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 xml:space="preserve">The Authority maintains formal programme and </w:t>
      </w:r>
      <w:proofErr w:type="gramStart"/>
      <w:r w:rsidRPr="7BE5E958">
        <w:rPr>
          <w:rFonts w:cs="Arial"/>
        </w:rPr>
        <w:t>change</w:t>
      </w:r>
      <w:proofErr w:type="gramEnd"/>
      <w:r w:rsidRPr="7BE5E958">
        <w:rPr>
          <w:rFonts w:cs="Arial"/>
        </w:rPr>
        <w:t xml:space="preserve"> governance arrangements to oversee major projects, transformation activity and improvement work. These arrangements include the Corporate Programme Board, this oversees the Business Process Improvement Programme, Organisational Change and Improvement Programme Board, Capital Projects Programme, Fleet and Equipment Programme and Modern Ways of Working Programme, which together support oversight of delivery, management of interdependencies, review of risks, allocation of resources and monitoring of progress across key organisational priorities.</w:t>
      </w:r>
    </w:p>
    <w:p w14:paraId="3380E643" w14:textId="77777777" w:rsidR="00905A68" w:rsidRPr="002D0A04" w:rsidRDefault="00905A68" w:rsidP="00FE6E51">
      <w:pPr>
        <w:rPr>
          <w:rFonts w:cs="Arial"/>
        </w:rPr>
      </w:pPr>
    </w:p>
    <w:p w14:paraId="730E6F41"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The Authority has developed a Productivity and Efficiency Plan to provide a clearer and more structured framework for identifying, coordinating and monitoring activity intended to improve productivity, efficiency and value for money. The plan supports oversight of savings, service improvement, modern ways of working and related change activity, and is considered through the Authority’s existing governance arrangements for performance, finance, programme delivery and member reporting.</w:t>
      </w:r>
    </w:p>
    <w:p w14:paraId="13AC9373" w14:textId="77777777" w:rsidR="00905A68" w:rsidRPr="002D0A04" w:rsidRDefault="00905A68" w:rsidP="00FE6E51">
      <w:pPr>
        <w:rPr>
          <w:rFonts w:cs="Arial"/>
        </w:rPr>
      </w:pPr>
    </w:p>
    <w:p w14:paraId="5EA1683C" w14:textId="374D8010" w:rsidR="00905A68" w:rsidRPr="002D0A04" w:rsidRDefault="00905A68" w:rsidP="00FE6E51">
      <w:pPr>
        <w:numPr>
          <w:ilvl w:val="0"/>
          <w:numId w:val="34"/>
        </w:numPr>
        <w:tabs>
          <w:tab w:val="clear" w:pos="360"/>
          <w:tab w:val="num" w:pos="284"/>
        </w:tabs>
        <w:ind w:left="284" w:hanging="284"/>
        <w:rPr>
          <w:rFonts w:cs="Arial"/>
        </w:rPr>
      </w:pPr>
      <w:r w:rsidRPr="7BE5E958">
        <w:rPr>
          <w:rFonts w:cs="Arial"/>
        </w:rPr>
        <w:t>The Authority operates a Committee Structure aligned to strategic objectives, within agreed Terms of Reference, as follows:</w:t>
      </w:r>
    </w:p>
    <w:p w14:paraId="7128AE3F" w14:textId="77777777" w:rsidR="00905A68" w:rsidRPr="002D0A04" w:rsidRDefault="00905A68" w:rsidP="00FE6E51">
      <w:pPr>
        <w:ind w:left="284"/>
        <w:rPr>
          <w:rFonts w:cs="Arial"/>
        </w:rPr>
      </w:pPr>
    </w:p>
    <w:p w14:paraId="40B188AB" w14:textId="77777777" w:rsidR="00905A68" w:rsidRPr="002D0A04" w:rsidRDefault="00905A68" w:rsidP="00FE6E51">
      <w:pPr>
        <w:numPr>
          <w:ilvl w:val="1"/>
          <w:numId w:val="34"/>
        </w:numPr>
        <w:tabs>
          <w:tab w:val="num" w:pos="284"/>
        </w:tabs>
        <w:spacing w:after="240"/>
        <w:ind w:left="1077" w:hanging="357"/>
        <w:rPr>
          <w:rFonts w:cs="Arial"/>
        </w:rPr>
      </w:pPr>
      <w:r w:rsidRPr="7BE5E958">
        <w:rPr>
          <w:rFonts w:cs="Arial"/>
        </w:rPr>
        <w:t>The Audit Committee - To advise on the adequacy and effectiveness of the Authority's Internal and External Audit Service and risk management arrangements, which operates in line with the core functions identified in CIPFAs Audit Committees – Practical Guidance for Local Authorities.</w:t>
      </w:r>
    </w:p>
    <w:p w14:paraId="75D4E39B" w14:textId="77777777" w:rsidR="00905A68" w:rsidRPr="002D0A04" w:rsidRDefault="00905A68" w:rsidP="00FE6E51">
      <w:pPr>
        <w:numPr>
          <w:ilvl w:val="1"/>
          <w:numId w:val="34"/>
        </w:numPr>
        <w:tabs>
          <w:tab w:val="num" w:pos="284"/>
        </w:tabs>
        <w:spacing w:after="240"/>
        <w:ind w:left="1077" w:hanging="357"/>
        <w:rPr>
          <w:rFonts w:cs="Arial"/>
        </w:rPr>
      </w:pPr>
      <w:r w:rsidRPr="7BE5E958">
        <w:rPr>
          <w:rFonts w:cs="Arial"/>
        </w:rPr>
        <w:t>The Resources Committee - To consider reports and make decisions relating to financial, human resources and property related issues.</w:t>
      </w:r>
    </w:p>
    <w:p w14:paraId="032CA933" w14:textId="77777777" w:rsidR="00905A68" w:rsidRPr="002D0A04" w:rsidRDefault="00905A68" w:rsidP="00FE6E51">
      <w:pPr>
        <w:numPr>
          <w:ilvl w:val="1"/>
          <w:numId w:val="34"/>
        </w:numPr>
        <w:tabs>
          <w:tab w:val="num" w:pos="284"/>
        </w:tabs>
        <w:spacing w:after="240"/>
        <w:ind w:left="1077" w:hanging="357"/>
        <w:rPr>
          <w:rFonts w:cs="Arial"/>
        </w:rPr>
      </w:pPr>
      <w:r w:rsidRPr="7BE5E958">
        <w:rPr>
          <w:rFonts w:cs="Arial"/>
        </w:rPr>
        <w:t>The Planning Committee - To consider reports and make decisions relating to all aspect of planning arrangements, including consultation and communication arrangements.</w:t>
      </w:r>
    </w:p>
    <w:p w14:paraId="6363AE9D" w14:textId="77777777" w:rsidR="00905A68" w:rsidRPr="002D0A04" w:rsidRDefault="00905A68" w:rsidP="00FE6E51">
      <w:pPr>
        <w:numPr>
          <w:ilvl w:val="1"/>
          <w:numId w:val="34"/>
        </w:numPr>
        <w:tabs>
          <w:tab w:val="num" w:pos="284"/>
        </w:tabs>
        <w:spacing w:after="240"/>
        <w:ind w:left="1077" w:hanging="357"/>
        <w:rPr>
          <w:rFonts w:cs="Arial"/>
        </w:rPr>
      </w:pPr>
      <w:r w:rsidRPr="7BE5E958">
        <w:rPr>
          <w:rFonts w:cs="Arial"/>
        </w:rPr>
        <w:t>The Performance Committee - To consider reports and make recommendations on all aspects of performance management.</w:t>
      </w:r>
    </w:p>
    <w:p w14:paraId="022EB9DF" w14:textId="77777777" w:rsidR="00905A68" w:rsidRPr="002D0A04" w:rsidRDefault="00905A68" w:rsidP="00FE6E51">
      <w:pPr>
        <w:numPr>
          <w:ilvl w:val="1"/>
          <w:numId w:val="34"/>
        </w:numPr>
        <w:tabs>
          <w:tab w:val="num" w:pos="284"/>
        </w:tabs>
        <w:spacing w:after="240"/>
        <w:ind w:left="1077" w:hanging="357"/>
        <w:rPr>
          <w:rFonts w:cs="Arial"/>
        </w:rPr>
      </w:pPr>
      <w:r w:rsidRPr="7BE5E958">
        <w:rPr>
          <w:rFonts w:cs="Arial"/>
        </w:rPr>
        <w:t>The Appeals Committee -To hear relevant appeals, grievances and complaints.</w:t>
      </w:r>
    </w:p>
    <w:p w14:paraId="0D04EB86" w14:textId="6900BEFF" w:rsidR="00905A68" w:rsidRPr="002D0A04" w:rsidRDefault="00905A68" w:rsidP="00FE6E51">
      <w:pPr>
        <w:numPr>
          <w:ilvl w:val="0"/>
          <w:numId w:val="34"/>
        </w:numPr>
        <w:tabs>
          <w:tab w:val="clear" w:pos="360"/>
          <w:tab w:val="num" w:pos="284"/>
        </w:tabs>
        <w:ind w:left="284" w:hanging="284"/>
        <w:rPr>
          <w:rFonts w:cs="Arial"/>
        </w:rPr>
      </w:pPr>
      <w:r w:rsidRPr="7BE5E958">
        <w:rPr>
          <w:rFonts w:cs="Arial"/>
        </w:rPr>
        <w:t xml:space="preserve">The Authority recognises the importance of effective member oversight, informed scrutiny and independent assurance. The committee structure, together with member </w:t>
      </w:r>
      <w:r w:rsidRPr="7BE5E958">
        <w:rPr>
          <w:rFonts w:cs="Arial"/>
        </w:rPr>
        <w:lastRenderedPageBreak/>
        <w:t xml:space="preserve">development, officer support and the work of internal and external audit, supports transparent decision-making and constructive challenge. During the year, the Authority has been looking at how to improve the audit </w:t>
      </w:r>
      <w:r w:rsidR="00682656">
        <w:rPr>
          <w:rFonts w:cs="Arial"/>
        </w:rPr>
        <w:t>and</w:t>
      </w:r>
      <w:r w:rsidRPr="7BE5E958">
        <w:rPr>
          <w:rFonts w:cs="Arial"/>
        </w:rPr>
        <w:t xml:space="preserve"> governance side of the constitutional review, for example by updating the committee remit, considering an Independent Person, and strengthening how risk, assurance and scrutiny are handled.</w:t>
      </w:r>
    </w:p>
    <w:p w14:paraId="10CC2044" w14:textId="77777777" w:rsidR="00905A68" w:rsidRPr="002D0A04" w:rsidRDefault="00905A68" w:rsidP="00FE6E51">
      <w:pPr>
        <w:tabs>
          <w:tab w:val="num" w:pos="284"/>
        </w:tabs>
        <w:ind w:left="284"/>
        <w:rPr>
          <w:rFonts w:cs="Arial"/>
        </w:rPr>
      </w:pPr>
    </w:p>
    <w:p w14:paraId="01FE871B"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The Service has a clear management structure. The Executive Board, comprising the Chief Fire Officer (Head of Paid Service) and four Executive Directors, is responsible for strategic direction, monitoring performance and developing service plans in line with the Authority’s overall objectives, supported by the Service Management Team.</w:t>
      </w:r>
    </w:p>
    <w:p w14:paraId="1C91C557" w14:textId="77777777" w:rsidR="00905A68" w:rsidRPr="002D0A04" w:rsidRDefault="00905A68" w:rsidP="00FE6E51">
      <w:pPr>
        <w:rPr>
          <w:rFonts w:cs="Arial"/>
        </w:rPr>
      </w:pPr>
    </w:p>
    <w:p w14:paraId="1F4C6CBB"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The Authority’s governance arrangements are underpinned by its Constitution, Scheme of Delegation, Financial Regulations, Contract Standing Orders, Codes of Conduct, risk management arrangements, performance and financial management frameworks, and the work of its committees and statutory officers. The Chief Fire Officer, Treasurer and Monitoring Officer each play a distinct role in maintaining and reviewing the effectiveness of these arrangements, and governance continues to be strengthened through regular liaison between the statutory officers, review of key governance documents, and continued improvement of assurance, scrutiny and reporting arrangements. During the year, further work has been undertaken to refresh aspects of the constitutional framework and supporting policies to ensure they remain current, clear and aligned to good practice.</w:t>
      </w:r>
    </w:p>
    <w:p w14:paraId="02712372" w14:textId="77777777" w:rsidR="00905A68" w:rsidRPr="002D0A04" w:rsidRDefault="00905A68" w:rsidP="00FE6E51">
      <w:pPr>
        <w:rPr>
          <w:rFonts w:cs="Arial"/>
        </w:rPr>
      </w:pPr>
    </w:p>
    <w:p w14:paraId="49697267"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Comprehensive suite of strategies and policies in place and regularly reviewed.</w:t>
      </w:r>
    </w:p>
    <w:p w14:paraId="6D56B6C7" w14:textId="77777777" w:rsidR="00905A68" w:rsidRPr="002D0A04" w:rsidRDefault="00905A68" w:rsidP="00FE6E51">
      <w:pPr>
        <w:rPr>
          <w:rFonts w:cs="Arial"/>
        </w:rPr>
      </w:pPr>
    </w:p>
    <w:p w14:paraId="32AEED93" w14:textId="57E974A5" w:rsidR="00905A68" w:rsidRPr="002D0A04" w:rsidRDefault="00905A68" w:rsidP="00FE6E51">
      <w:pPr>
        <w:numPr>
          <w:ilvl w:val="0"/>
          <w:numId w:val="34"/>
        </w:numPr>
        <w:tabs>
          <w:tab w:val="clear" w:pos="360"/>
          <w:tab w:val="num" w:pos="284"/>
        </w:tabs>
        <w:ind w:left="284" w:hanging="284"/>
        <w:rPr>
          <w:rFonts w:cs="Arial"/>
        </w:rPr>
      </w:pPr>
      <w:r w:rsidRPr="7BE5E958">
        <w:rPr>
          <w:rFonts w:cs="Arial"/>
        </w:rPr>
        <w:t>Codes of Conduct for members and officers, and member</w:t>
      </w:r>
      <w:r w:rsidR="00800A57">
        <w:rPr>
          <w:rFonts w:cs="Arial"/>
        </w:rPr>
        <w:t xml:space="preserve"> and </w:t>
      </w:r>
      <w:r w:rsidRPr="7BE5E958">
        <w:rPr>
          <w:rFonts w:cs="Arial"/>
        </w:rPr>
        <w:t>officer protocol, which set out clear expectations for standards of behaviour.</w:t>
      </w:r>
    </w:p>
    <w:p w14:paraId="7BDCEED9" w14:textId="77777777" w:rsidR="00905A68" w:rsidRPr="002D0A04" w:rsidRDefault="00905A68" w:rsidP="00FE6E51">
      <w:pPr>
        <w:rPr>
          <w:rFonts w:cs="Arial"/>
        </w:rPr>
      </w:pPr>
    </w:p>
    <w:p w14:paraId="7D69F3BE"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Both the Monitoring Officer and the Treasurer are involved in the Authority’s decision-making process and help ensure compliance with established policies, procedures, laws and regulations. All Authority reports are considered for human resources, financial, business risk, environmental and equality implications to identify key issues.</w:t>
      </w:r>
    </w:p>
    <w:p w14:paraId="64B8C518" w14:textId="77777777" w:rsidR="00905A68" w:rsidRPr="002D0A04" w:rsidRDefault="00905A68" w:rsidP="00FE6E51">
      <w:pPr>
        <w:ind w:left="284"/>
        <w:rPr>
          <w:rFonts w:cs="Arial"/>
        </w:rPr>
      </w:pPr>
    </w:p>
    <w:p w14:paraId="1F6E1A57"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The Treasurer’s role and financial management arrangements align wit</w:t>
      </w:r>
      <w:r w:rsidRPr="002759DE">
        <w:rPr>
          <w:rFonts w:cs="Arial"/>
        </w:rPr>
        <w:t>h the requirements set out in CIPFA’s Statement on the Role of the Chief Financial Officer in Local Government and the Financial Management Code.</w:t>
      </w:r>
    </w:p>
    <w:p w14:paraId="4C388102" w14:textId="77777777" w:rsidR="00905A68" w:rsidRPr="002D0A04" w:rsidRDefault="00905A68" w:rsidP="00FE6E51">
      <w:pPr>
        <w:rPr>
          <w:rFonts w:cs="Arial"/>
        </w:rPr>
      </w:pPr>
    </w:p>
    <w:p w14:paraId="2EBA0F08"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 xml:space="preserve">Well publicised arrangements for dealing with complaints and whistleblowing, and for combating fraud and corruption. </w:t>
      </w:r>
    </w:p>
    <w:p w14:paraId="32DF6F90" w14:textId="77777777" w:rsidR="00905A68" w:rsidRPr="002D0A04" w:rsidRDefault="00905A68" w:rsidP="00FE6E51">
      <w:pPr>
        <w:rPr>
          <w:rFonts w:cs="Arial"/>
        </w:rPr>
      </w:pPr>
    </w:p>
    <w:p w14:paraId="40C7AFFE"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A Risk Management Strategy and framework which ensures that risks to the Service’s objectives are identified and appropriately managed.</w:t>
      </w:r>
    </w:p>
    <w:p w14:paraId="47B78475" w14:textId="77777777" w:rsidR="00905A68" w:rsidRPr="002D0A04" w:rsidRDefault="00905A68" w:rsidP="00FE6E51">
      <w:pPr>
        <w:rPr>
          <w:rFonts w:cs="Arial"/>
        </w:rPr>
      </w:pPr>
    </w:p>
    <w:p w14:paraId="66614688"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Comprehensive Business Continuity arrangements in place and tested on a regular basis.</w:t>
      </w:r>
    </w:p>
    <w:p w14:paraId="3CDBBAEE" w14:textId="77777777" w:rsidR="00905A68" w:rsidRPr="002D0A04" w:rsidRDefault="00905A68" w:rsidP="00FE6E51">
      <w:pPr>
        <w:rPr>
          <w:rFonts w:cs="Arial"/>
        </w:rPr>
      </w:pPr>
    </w:p>
    <w:p w14:paraId="549F0909"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A framework to review potential partnership arrangements utilising set criteria prior to entering such arrangements.</w:t>
      </w:r>
    </w:p>
    <w:p w14:paraId="742A9088" w14:textId="77777777" w:rsidR="00905A68" w:rsidRPr="002D0A04" w:rsidRDefault="00905A68" w:rsidP="00FE6E51">
      <w:pPr>
        <w:rPr>
          <w:rFonts w:cs="Arial"/>
        </w:rPr>
      </w:pPr>
    </w:p>
    <w:p w14:paraId="1FF7B1B0"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Compliance with data transparency requirements, including publication of all key documents, committee agenda and minutes, pay policy and publication scheme on the internet.</w:t>
      </w:r>
    </w:p>
    <w:p w14:paraId="7C685F36" w14:textId="77777777" w:rsidR="00905A68" w:rsidRPr="002D0A04" w:rsidRDefault="00905A68" w:rsidP="00FE6E51">
      <w:pPr>
        <w:rPr>
          <w:rFonts w:cs="Arial"/>
        </w:rPr>
      </w:pPr>
    </w:p>
    <w:p w14:paraId="4B199640"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lastRenderedPageBreak/>
        <w:t>Regular assessment of training &amp; development needs of both members and officers, including appropriate appraisal system. Sufficient budget to meet relevant training requirements; and</w:t>
      </w:r>
    </w:p>
    <w:p w14:paraId="2FA5E400" w14:textId="77777777" w:rsidR="00905A68" w:rsidRPr="002D0A04" w:rsidRDefault="00905A68" w:rsidP="00FE6E51">
      <w:pPr>
        <w:rPr>
          <w:rFonts w:cs="Arial"/>
        </w:rPr>
      </w:pPr>
    </w:p>
    <w:p w14:paraId="0A28AA2C" w14:textId="77777777" w:rsidR="00905A68" w:rsidRPr="002D0A04" w:rsidRDefault="00905A68" w:rsidP="00FE6E51">
      <w:pPr>
        <w:numPr>
          <w:ilvl w:val="0"/>
          <w:numId w:val="34"/>
        </w:numPr>
        <w:tabs>
          <w:tab w:val="clear" w:pos="360"/>
          <w:tab w:val="num" w:pos="284"/>
        </w:tabs>
        <w:ind w:left="284" w:hanging="284"/>
        <w:rPr>
          <w:rFonts w:cs="Arial"/>
        </w:rPr>
      </w:pPr>
      <w:r w:rsidRPr="7BE5E958">
        <w:rPr>
          <w:rFonts w:cs="Arial"/>
        </w:rPr>
        <w:t>Comprehensive service review process in place, comprising external views in the form of HMICFRS Inspection review, External Audit reviews, Internal Audit reviews and internal reviews undertaken by our own staff. Ultimately these culminate in the production, and publication, of an Annual Assurance Statement.</w:t>
      </w:r>
    </w:p>
    <w:p w14:paraId="5515091D" w14:textId="77777777" w:rsidR="00905A68" w:rsidRPr="002D0A04" w:rsidRDefault="00905A68" w:rsidP="00905A68">
      <w:pPr>
        <w:pStyle w:val="ListParagraph"/>
        <w:rPr>
          <w:rFonts w:cs="Arial"/>
        </w:rPr>
      </w:pPr>
    </w:p>
    <w:p w14:paraId="644AFCB5" w14:textId="77777777" w:rsidR="00905A68" w:rsidRPr="002D0A04" w:rsidRDefault="00905A68" w:rsidP="00FE6E51">
      <w:pPr>
        <w:tabs>
          <w:tab w:val="num" w:pos="284"/>
        </w:tabs>
        <w:rPr>
          <w:rFonts w:cs="Arial"/>
        </w:rPr>
      </w:pPr>
      <w:r w:rsidRPr="7BE5E958">
        <w:rPr>
          <w:rFonts w:cs="Arial"/>
        </w:rPr>
        <w:t xml:space="preserve">The Authority has also </w:t>
      </w:r>
      <w:proofErr w:type="gramStart"/>
      <w:r w:rsidRPr="7BE5E958">
        <w:rPr>
          <w:rFonts w:cs="Arial"/>
        </w:rPr>
        <w:t>taken into account</w:t>
      </w:r>
      <w:proofErr w:type="gramEnd"/>
      <w:r w:rsidRPr="7BE5E958">
        <w:rPr>
          <w:rFonts w:cs="Arial"/>
        </w:rPr>
        <w:t xml:space="preserve"> the outcomes of service inspection and internal service review activity. These sources provide further assurance regarding the overall strength of the Authority’s governance, leadership and performance arrangements, whilst also helping to identify specific areas where processes, documentation or oversight can be further improved. The Authority is committed to ensuring that learning from inspection, audit and self-assessment is reflected in its governance framework and improvement activity.</w:t>
      </w:r>
    </w:p>
    <w:p w14:paraId="2BCD9362" w14:textId="77777777" w:rsidR="00905A68" w:rsidRPr="002D0A04" w:rsidRDefault="00905A68" w:rsidP="00895DA1"/>
    <w:p w14:paraId="230B810B" w14:textId="77777777" w:rsidR="00905A68" w:rsidRPr="00895DA1" w:rsidRDefault="00905A68" w:rsidP="00895DA1">
      <w:pPr>
        <w:rPr>
          <w:rFonts w:cs="Arial"/>
          <w:b/>
        </w:rPr>
      </w:pPr>
      <w:r w:rsidRPr="7625F991">
        <w:rPr>
          <w:rFonts w:cs="Arial"/>
          <w:b/>
        </w:rPr>
        <w:t>Review of effectiveness</w:t>
      </w:r>
    </w:p>
    <w:p w14:paraId="0B623EDE" w14:textId="77777777" w:rsidR="00905A68" w:rsidRPr="002D0A04" w:rsidRDefault="00905A68" w:rsidP="00FE6E51">
      <w:pPr>
        <w:autoSpaceDE w:val="0"/>
        <w:autoSpaceDN w:val="0"/>
        <w:adjustRightInd w:val="0"/>
        <w:rPr>
          <w:rFonts w:cs="Arial"/>
        </w:rPr>
      </w:pPr>
    </w:p>
    <w:p w14:paraId="5CB13CE0" w14:textId="77777777" w:rsidR="00905A68" w:rsidRPr="002D0A04" w:rsidRDefault="00905A68" w:rsidP="00FE6E51">
      <w:pPr>
        <w:autoSpaceDE w:val="0"/>
        <w:autoSpaceDN w:val="0"/>
        <w:adjustRightInd w:val="0"/>
        <w:rPr>
          <w:rFonts w:cs="Arial"/>
        </w:rPr>
      </w:pPr>
      <w:r w:rsidRPr="7625F991">
        <w:rPr>
          <w:rFonts w:cs="Arial"/>
        </w:rPr>
        <w:t xml:space="preserve">In reviewing the effectiveness of its governance framework, the Authority has considered evidence from a range of assurance sources. These include the work of members and committees, the activities of the statutory officers, internal audit, external audit, inspection findings, performance and financial monitoring, risk management, and the views of senior officers responsible for governance and control. Taken together, these sources provide reasonable assurance that the Authority’s governance arrangements remain generally sound and continue to operate effectively, whilst also identifying areas where further improvement and modernisation are required. </w:t>
      </w:r>
    </w:p>
    <w:p w14:paraId="167953B1" w14:textId="77777777" w:rsidR="00905A68" w:rsidRPr="002D0A04" w:rsidRDefault="00905A68" w:rsidP="00FE6E51">
      <w:pPr>
        <w:autoSpaceDE w:val="0"/>
        <w:autoSpaceDN w:val="0"/>
        <w:adjustRightInd w:val="0"/>
        <w:rPr>
          <w:rFonts w:cs="Arial"/>
        </w:rPr>
      </w:pPr>
    </w:p>
    <w:p w14:paraId="478C5982" w14:textId="77777777" w:rsidR="00905A68" w:rsidRPr="002D0A04" w:rsidRDefault="00905A68" w:rsidP="00FE6E51">
      <w:pPr>
        <w:rPr>
          <w:rFonts w:cs="Arial"/>
          <w:lang w:eastAsia="en-GB"/>
        </w:rPr>
      </w:pPr>
      <w:r w:rsidRPr="7625F991">
        <w:rPr>
          <w:rFonts w:cs="Arial"/>
        </w:rPr>
        <w:t>A Statement of Assurance was approved by the Authority in February 2026. It sets out the effectiveness of the governance arrangements for which the Authority is responsible, including the system of internal control. The statement covers all the principles set out in the Authority’s Code of Corporate Governance. It identified no material weaknesses in the Authority’s corporate governance arrangements; overall, the arrangements were assessed as at least adequate and, in most areas, good.</w:t>
      </w:r>
    </w:p>
    <w:p w14:paraId="396BAFD0" w14:textId="77777777" w:rsidR="00905A68" w:rsidRPr="002D0A04" w:rsidRDefault="00905A68" w:rsidP="00FE6E51">
      <w:pPr>
        <w:autoSpaceDE w:val="0"/>
        <w:autoSpaceDN w:val="0"/>
        <w:adjustRightInd w:val="0"/>
        <w:rPr>
          <w:rFonts w:cs="Arial"/>
        </w:rPr>
      </w:pPr>
    </w:p>
    <w:p w14:paraId="7344848B" w14:textId="5C6EE5DA" w:rsidR="00905A68" w:rsidRPr="002D0A04" w:rsidRDefault="00905A68" w:rsidP="00FE6E51">
      <w:pPr>
        <w:rPr>
          <w:rFonts w:cs="Arial"/>
        </w:rPr>
      </w:pPr>
      <w:r w:rsidRPr="7625F991">
        <w:rPr>
          <w:rFonts w:cs="Arial"/>
        </w:rPr>
        <w:t>In maintaining and reviewing the effectiveness of the Authority’s governance arrangements the following have been considered:</w:t>
      </w:r>
    </w:p>
    <w:p w14:paraId="269DBB5D" w14:textId="77777777" w:rsidR="00905A68" w:rsidRPr="002D0A04" w:rsidRDefault="00905A68" w:rsidP="00FE6E51">
      <w:pPr>
        <w:rPr>
          <w:rFonts w:cs="Arial"/>
        </w:rPr>
      </w:pPr>
    </w:p>
    <w:p w14:paraId="0C29A3CC" w14:textId="77777777" w:rsidR="00905A68" w:rsidRPr="002D0A04" w:rsidRDefault="00905A68" w:rsidP="00FE6E51">
      <w:pPr>
        <w:numPr>
          <w:ilvl w:val="0"/>
          <w:numId w:val="34"/>
        </w:numPr>
        <w:rPr>
          <w:rFonts w:cs="Arial"/>
        </w:rPr>
      </w:pPr>
      <w:r w:rsidRPr="7625F991">
        <w:rPr>
          <w:rFonts w:cs="Arial"/>
        </w:rPr>
        <w:t>A review of minutes of the Executive Board, Audit Committee and Authority to ensure that periodic monitoring and reviews are being reported appropriately and governance issues are addressed.</w:t>
      </w:r>
    </w:p>
    <w:p w14:paraId="347D87C0" w14:textId="77777777" w:rsidR="00905A68" w:rsidRPr="002D0A04" w:rsidRDefault="00905A68" w:rsidP="00FE6E51">
      <w:pPr>
        <w:ind w:left="360"/>
        <w:rPr>
          <w:rFonts w:cs="Arial"/>
        </w:rPr>
      </w:pPr>
    </w:p>
    <w:p w14:paraId="4ECDA4E5" w14:textId="77777777" w:rsidR="00905A68" w:rsidRPr="002D0A04" w:rsidRDefault="00905A68" w:rsidP="00FE6E51">
      <w:pPr>
        <w:numPr>
          <w:ilvl w:val="0"/>
          <w:numId w:val="34"/>
        </w:numPr>
        <w:tabs>
          <w:tab w:val="clear" w:pos="360"/>
          <w:tab w:val="num" w:pos="284"/>
        </w:tabs>
        <w:ind w:left="284" w:hanging="284"/>
        <w:rPr>
          <w:rFonts w:cs="Arial"/>
        </w:rPr>
      </w:pPr>
      <w:r w:rsidRPr="7625F991">
        <w:rPr>
          <w:rFonts w:cs="Arial"/>
        </w:rPr>
        <w:t>We updated our Strategic Assessment of Risk that underpins our Community Risk Management Plan (CRMP) by ensuring that risk management drives decision-making within Lancashire. We undertook an emergency cover review (ECR) in 2022 to ensure that its emergency response remains effective and efficient, and that the Service is well equipped to respond to future challenges.</w:t>
      </w:r>
    </w:p>
    <w:p w14:paraId="423BBE5B" w14:textId="77777777" w:rsidR="00905A68" w:rsidRPr="002D0A04" w:rsidRDefault="00905A68" w:rsidP="00905A68">
      <w:pPr>
        <w:pStyle w:val="ListParagraph"/>
        <w:rPr>
          <w:rFonts w:cs="Arial"/>
        </w:rPr>
      </w:pPr>
    </w:p>
    <w:p w14:paraId="68984E8E" w14:textId="77777777" w:rsidR="00905A68" w:rsidRPr="002D0A04" w:rsidRDefault="00905A68" w:rsidP="00FE6E51">
      <w:pPr>
        <w:numPr>
          <w:ilvl w:val="0"/>
          <w:numId w:val="34"/>
        </w:numPr>
        <w:tabs>
          <w:tab w:val="clear" w:pos="360"/>
          <w:tab w:val="num" w:pos="284"/>
        </w:tabs>
        <w:ind w:left="284" w:hanging="284"/>
        <w:rPr>
          <w:rFonts w:cs="Arial"/>
        </w:rPr>
      </w:pPr>
      <w:r w:rsidRPr="7625F991">
        <w:rPr>
          <w:rFonts w:cs="Arial"/>
        </w:rPr>
        <w:t xml:space="preserve">His Majesty’s Inspectorate of Constabulary and Fire &amp; Rescue Services (HMICFRS) published the outcome of the Service’s latest full inspection on 14 August 2025. The inspection assessed Lancashire Fire and Rescue Service across 11 areas and concluded that the Service had achieved six ‘Outstanding’ and five ‘Good’ ratings. This included </w:t>
      </w:r>
      <w:r w:rsidRPr="7625F991">
        <w:rPr>
          <w:rFonts w:cs="Arial"/>
        </w:rPr>
        <w:lastRenderedPageBreak/>
        <w:t>being the only service in the country to receive a minimum rating of ‘Good’ in every inspection area. The report highlighted the Service’s strong performance in keeping people safe and secure from fire and other risks, and recognised strengths including its understanding of risk, protection activity, use of resources, culture and workforce. The report also included one Area for Improvement relating to Equality Impact Assessments, which the Service is taking forward through its established improvement and assurance arrangements.</w:t>
      </w:r>
    </w:p>
    <w:p w14:paraId="4144B924" w14:textId="77777777" w:rsidR="00905A68" w:rsidRPr="002D0A04" w:rsidRDefault="00905A68" w:rsidP="00FE6E51">
      <w:pPr>
        <w:ind w:left="284"/>
        <w:rPr>
          <w:rFonts w:cs="Arial"/>
        </w:rPr>
      </w:pPr>
    </w:p>
    <w:p w14:paraId="047F64EF" w14:textId="77777777" w:rsidR="00905A68" w:rsidRPr="002D0A04" w:rsidRDefault="00905A68" w:rsidP="00FE6E51">
      <w:pPr>
        <w:numPr>
          <w:ilvl w:val="0"/>
          <w:numId w:val="34"/>
        </w:numPr>
        <w:tabs>
          <w:tab w:val="clear" w:pos="360"/>
          <w:tab w:val="num" w:pos="284"/>
        </w:tabs>
        <w:ind w:left="284" w:hanging="284"/>
        <w:rPr>
          <w:rFonts w:cs="Arial"/>
        </w:rPr>
      </w:pPr>
      <w:r w:rsidRPr="7625F991">
        <w:rPr>
          <w:rFonts w:cs="Arial"/>
        </w:rPr>
        <w:t>A new Annual Service Plan has been published, providing clarity, both internally and externally, on our priorities set out in the CRMP and describes what our ambitions are for each priority, as well as setting out the projects and actions that will be delivered, developed or reviewed during the coming year against each of our priorities. This is supported by Local Delivery Plans.</w:t>
      </w:r>
    </w:p>
    <w:p w14:paraId="264FE9E9" w14:textId="77777777" w:rsidR="00905A68" w:rsidRPr="002D0A04" w:rsidRDefault="00905A68" w:rsidP="00905A68">
      <w:pPr>
        <w:pStyle w:val="ListParagraph"/>
        <w:rPr>
          <w:rFonts w:cs="Arial"/>
        </w:rPr>
      </w:pPr>
    </w:p>
    <w:p w14:paraId="62CD5540" w14:textId="77777777" w:rsidR="00905A68" w:rsidRPr="002D0A04" w:rsidRDefault="00905A68" w:rsidP="00FE6E51">
      <w:pPr>
        <w:numPr>
          <w:ilvl w:val="0"/>
          <w:numId w:val="34"/>
        </w:numPr>
        <w:tabs>
          <w:tab w:val="clear" w:pos="360"/>
          <w:tab w:val="num" w:pos="284"/>
        </w:tabs>
        <w:ind w:left="284" w:hanging="284"/>
        <w:rPr>
          <w:rFonts w:cs="Arial"/>
        </w:rPr>
      </w:pPr>
      <w:r w:rsidRPr="7625F991">
        <w:rPr>
          <w:rFonts w:cs="Arial"/>
        </w:rPr>
        <w:t>Statement of Intent: Enhanced Collaboration agreed between LFRS, Lancashire Constabulary and Northwest Ambulance Services. Collaboration group established with regular reports to Members.</w:t>
      </w:r>
    </w:p>
    <w:p w14:paraId="7A4C6EA2" w14:textId="77777777" w:rsidR="00905A68" w:rsidRPr="002D0A04" w:rsidRDefault="00905A68" w:rsidP="00FE6E51">
      <w:pPr>
        <w:rPr>
          <w:rFonts w:cs="Arial"/>
        </w:rPr>
      </w:pPr>
    </w:p>
    <w:p w14:paraId="56ED9EEC" w14:textId="77777777" w:rsidR="00905A68" w:rsidRPr="002D0A04" w:rsidRDefault="00905A68" w:rsidP="00FE6E51">
      <w:pPr>
        <w:numPr>
          <w:ilvl w:val="0"/>
          <w:numId w:val="34"/>
        </w:numPr>
        <w:tabs>
          <w:tab w:val="clear" w:pos="360"/>
          <w:tab w:val="num" w:pos="284"/>
        </w:tabs>
        <w:ind w:left="284" w:hanging="284"/>
        <w:rPr>
          <w:rFonts w:cs="Arial"/>
        </w:rPr>
      </w:pPr>
      <w:bookmarkStart w:id="5" w:name="_Hlk137559488"/>
      <w:r w:rsidRPr="7625F991">
        <w:rPr>
          <w:rFonts w:cs="Arial"/>
        </w:rPr>
        <w:t xml:space="preserve">The Organisational Assurance Team, within Planning, Performance and Assurance, is now an established part of the Service’s assurance framework and has a broader remit than operational assurance alone. The team is responsible for HMICFRS liaison, operational preparedness, and undertaking internal assurance activity across the organisation based on trends, themes and emerging needs. It identifies and shares good practice, supports improvement, and tracks actions through to completion. The team works closely with the Operational Assurance Team (under Training and Operational Review), which leads on operational learning and response, including the quarterly operational assurance performance summary. A programme of preparedness visits is managed through the Organisational Assurance Team, building on the operational audit activity previously in place. </w:t>
      </w:r>
      <w:bookmarkEnd w:id="5"/>
    </w:p>
    <w:p w14:paraId="74F6A13E" w14:textId="77777777" w:rsidR="00905A68" w:rsidRPr="002D0A04" w:rsidRDefault="00905A68" w:rsidP="00905A68">
      <w:pPr>
        <w:pStyle w:val="ListParagraph"/>
        <w:rPr>
          <w:rFonts w:cs="Arial"/>
        </w:rPr>
      </w:pPr>
    </w:p>
    <w:p w14:paraId="3494BBBD" w14:textId="77777777" w:rsidR="00905A68" w:rsidRPr="002D0A04" w:rsidRDefault="00905A68" w:rsidP="00FE6E51">
      <w:pPr>
        <w:numPr>
          <w:ilvl w:val="0"/>
          <w:numId w:val="34"/>
        </w:numPr>
        <w:tabs>
          <w:tab w:val="clear" w:pos="360"/>
          <w:tab w:val="num" w:pos="284"/>
        </w:tabs>
        <w:ind w:left="284" w:hanging="284"/>
        <w:rPr>
          <w:rFonts w:cs="Arial"/>
        </w:rPr>
      </w:pPr>
      <w:r w:rsidRPr="7625F991">
        <w:rPr>
          <w:rFonts w:cs="Arial"/>
        </w:rPr>
        <w:t xml:space="preserve">Performance appraisals incorporating values is undertaken throughout the Service. </w:t>
      </w:r>
    </w:p>
    <w:p w14:paraId="48F31102" w14:textId="77777777" w:rsidR="00905A68" w:rsidRPr="002D0A04" w:rsidRDefault="00905A68" w:rsidP="00905A68">
      <w:pPr>
        <w:pStyle w:val="ListParagraph"/>
        <w:rPr>
          <w:rFonts w:cs="Arial"/>
        </w:rPr>
      </w:pPr>
    </w:p>
    <w:p w14:paraId="2FE06147" w14:textId="48E66B52" w:rsidR="00905A68" w:rsidRPr="002D0A04" w:rsidRDefault="00905A68" w:rsidP="00FE6E51">
      <w:pPr>
        <w:numPr>
          <w:ilvl w:val="0"/>
          <w:numId w:val="34"/>
        </w:numPr>
        <w:tabs>
          <w:tab w:val="clear" w:pos="360"/>
          <w:tab w:val="num" w:pos="284"/>
        </w:tabs>
        <w:ind w:left="284" w:hanging="284"/>
        <w:rPr>
          <w:rFonts w:cs="Arial"/>
        </w:rPr>
      </w:pPr>
      <w:r w:rsidRPr="7625F991">
        <w:rPr>
          <w:rFonts w:cs="Arial"/>
        </w:rPr>
        <w:t>Internal audit services were provided by Lancashire County Council, which complies with the Public Sector Internal Audit Standards. The Head of Internal Audit is required by professional standards to provide an opinion on governance, risk management and control, thereby providing assurance that the risks to the Authority’s objectives are being adequately and effectively managed. As part of the 2024</w:t>
      </w:r>
      <w:r w:rsidR="001A42DD">
        <w:rPr>
          <w:rFonts w:cs="Arial"/>
        </w:rPr>
        <w:t>-</w:t>
      </w:r>
      <w:r w:rsidRPr="7625F991">
        <w:rPr>
          <w:rFonts w:cs="Arial"/>
        </w:rPr>
        <w:t>25 internal audit plan, auditors undertook a range of reviews and gave an overall opinion that they could “</w:t>
      </w:r>
      <w:r w:rsidRPr="7625F991">
        <w:rPr>
          <w:rFonts w:cs="Arial"/>
          <w:b/>
          <w:i/>
        </w:rPr>
        <w:t>provide substantial assurance</w:t>
      </w:r>
      <w:r w:rsidRPr="7625F991">
        <w:rPr>
          <w:rFonts w:cs="Arial"/>
        </w:rPr>
        <w:t xml:space="preserve"> regarding the adequacy of design and effectiveness in operation of the organisation's frameworks of governance, risk management and control.”</w:t>
      </w:r>
    </w:p>
    <w:p w14:paraId="4E00BBAE" w14:textId="77777777" w:rsidR="00905A68" w:rsidRPr="002D0A04" w:rsidRDefault="00905A68" w:rsidP="00905A68">
      <w:pPr>
        <w:pStyle w:val="ListParagraph"/>
        <w:rPr>
          <w:rFonts w:cs="Arial"/>
        </w:rPr>
      </w:pPr>
    </w:p>
    <w:p w14:paraId="170BEAAA" w14:textId="63FECBC0" w:rsidR="00905A68" w:rsidRPr="002D0A04" w:rsidRDefault="00905A68" w:rsidP="00FE6E51">
      <w:pPr>
        <w:numPr>
          <w:ilvl w:val="0"/>
          <w:numId w:val="34"/>
        </w:numPr>
        <w:tabs>
          <w:tab w:val="clear" w:pos="360"/>
          <w:tab w:val="num" w:pos="284"/>
        </w:tabs>
        <w:ind w:left="284" w:hanging="284"/>
        <w:rPr>
          <w:rFonts w:cs="Arial"/>
          <w:lang w:eastAsia="en-GB"/>
        </w:rPr>
      </w:pPr>
      <w:r w:rsidRPr="7625F991">
        <w:rPr>
          <w:rFonts w:cs="Arial"/>
        </w:rPr>
        <w:t>The Authority’s external auditors are Grant Thornton. Auditors of fire authorities in the UK have specific legal responsibilities under the Local Audit and Accountability Act 2014. Under section 20(1)(c) of that Act, auditors are required to assess whether fire authorities have made proper arrangements for securing economy, efficiency and effectiveness in their use of resources. The Code of Audit Practice, issued by the National Audit Office (NAO), requires auditors to provide a value for money commentary focusing on financial sustainability, governance, and the Authority’s arrangements to improve economy, efficiency and effectiveness. A summary of their key judgements is provided below:</w:t>
      </w:r>
    </w:p>
    <w:p w14:paraId="3F36481C" w14:textId="77777777" w:rsidR="00905A68" w:rsidRPr="002D0A04" w:rsidRDefault="00905A68" w:rsidP="00905A68">
      <w:pPr>
        <w:pStyle w:val="ListParagraph"/>
        <w:rPr>
          <w:rFonts w:cs="Arial"/>
        </w:rPr>
      </w:pPr>
    </w:p>
    <w:p w14:paraId="20793789" w14:textId="77777777" w:rsidR="00905A68" w:rsidRPr="002D0A04" w:rsidRDefault="00905A68" w:rsidP="00FE6E51">
      <w:pPr>
        <w:numPr>
          <w:ilvl w:val="1"/>
          <w:numId w:val="34"/>
        </w:numPr>
        <w:tabs>
          <w:tab w:val="num" w:pos="284"/>
        </w:tabs>
        <w:spacing w:after="240"/>
        <w:ind w:left="1077" w:hanging="357"/>
        <w:rPr>
          <w:rFonts w:cs="Arial"/>
        </w:rPr>
      </w:pPr>
      <w:r w:rsidRPr="2ED3EEB5">
        <w:rPr>
          <w:rFonts w:cs="Arial"/>
        </w:rPr>
        <w:t>Financial Sustainability – “No significant weaknesses in arrangements identified”.</w:t>
      </w:r>
      <w:r w:rsidRPr="2ED3EEB5" w:rsidDel="00DC7BF7">
        <w:rPr>
          <w:rFonts w:cs="Arial"/>
        </w:rPr>
        <w:t xml:space="preserve"> </w:t>
      </w:r>
    </w:p>
    <w:p w14:paraId="655442AE" w14:textId="77777777" w:rsidR="00905A68" w:rsidRPr="002D0A04" w:rsidRDefault="00905A68" w:rsidP="00FE6E51">
      <w:pPr>
        <w:numPr>
          <w:ilvl w:val="1"/>
          <w:numId w:val="34"/>
        </w:numPr>
        <w:tabs>
          <w:tab w:val="num" w:pos="284"/>
        </w:tabs>
        <w:spacing w:after="240"/>
        <w:ind w:left="1077" w:hanging="357"/>
        <w:rPr>
          <w:rFonts w:cs="Arial"/>
        </w:rPr>
      </w:pPr>
      <w:r w:rsidRPr="2ED3EEB5">
        <w:rPr>
          <w:rFonts w:cs="Arial"/>
        </w:rPr>
        <w:lastRenderedPageBreak/>
        <w:t>Governance – “No significant weaknesses in arrangements identified”.</w:t>
      </w:r>
    </w:p>
    <w:p w14:paraId="6C8F0B17" w14:textId="77777777" w:rsidR="00905A68" w:rsidRPr="002D0A04" w:rsidRDefault="00905A68" w:rsidP="00FE6E51">
      <w:pPr>
        <w:numPr>
          <w:ilvl w:val="1"/>
          <w:numId w:val="34"/>
        </w:numPr>
        <w:tabs>
          <w:tab w:val="num" w:pos="284"/>
        </w:tabs>
        <w:spacing w:after="240"/>
        <w:ind w:left="1077" w:hanging="357"/>
        <w:rPr>
          <w:rFonts w:cs="Arial"/>
        </w:rPr>
      </w:pPr>
      <w:r w:rsidRPr="2ED3EEB5">
        <w:rPr>
          <w:rFonts w:cs="Arial"/>
        </w:rPr>
        <w:t>Improving economy, efficiency and effectiveness - “No significant weaknesses in arrangements identified”.</w:t>
      </w:r>
    </w:p>
    <w:p w14:paraId="2AD5643B" w14:textId="77777777" w:rsidR="00905A68" w:rsidRPr="002D0A04" w:rsidRDefault="00905A68" w:rsidP="00FE6E51">
      <w:pPr>
        <w:rPr>
          <w:rFonts w:cs="Arial"/>
          <w:lang w:eastAsia="en-GB"/>
        </w:rPr>
      </w:pPr>
      <w:r w:rsidRPr="2ED3EEB5">
        <w:rPr>
          <w:rFonts w:cs="Arial"/>
        </w:rPr>
        <w:t>On 17 December 2025, Grant Thornton gave an unqualified opinion on the Authority’s financial statements for the year ended 31 March 2025.</w:t>
      </w:r>
    </w:p>
    <w:p w14:paraId="5772EF9E" w14:textId="77777777" w:rsidR="00905A68" w:rsidRPr="002D0A04" w:rsidRDefault="00905A68" w:rsidP="00FE6E51">
      <w:pPr>
        <w:tabs>
          <w:tab w:val="num" w:pos="284"/>
        </w:tabs>
        <w:rPr>
          <w:rFonts w:cs="Arial"/>
        </w:rPr>
      </w:pPr>
    </w:p>
    <w:p w14:paraId="6F5F6579" w14:textId="77777777" w:rsidR="00905A68" w:rsidRPr="001B7FA8" w:rsidRDefault="00905A68" w:rsidP="00FE6E51">
      <w:pPr>
        <w:tabs>
          <w:tab w:val="num" w:pos="284"/>
        </w:tabs>
        <w:rPr>
          <w:rFonts w:cs="Arial"/>
        </w:rPr>
      </w:pPr>
      <w:r w:rsidRPr="2ED3EEB5">
        <w:rPr>
          <w:rFonts w:cs="Arial"/>
        </w:rPr>
        <w:t>The Authority has considered the findings of both internal and external assurance activity during the year. While no significant weaknesses in governance were identified, assurance work highlighted areas where arrangements should be strengthened further, particularly in relation to the timeliness and completeness of policy and governance document review and the clarity of committee reporting on internal audit follow-up and recommendation tracking. Management has accepted these improvement areas and has incorporated them into the Authority’s ongoing governance improvement programme.</w:t>
      </w:r>
    </w:p>
    <w:p w14:paraId="689C8490" w14:textId="77777777" w:rsidR="00360D75" w:rsidRPr="00927796" w:rsidRDefault="00360D75" w:rsidP="00381C1B">
      <w:pPr>
        <w:rPr>
          <w:rFonts w:cs="Arial"/>
        </w:rPr>
      </w:pPr>
    </w:p>
    <w:p w14:paraId="62EC7878" w14:textId="77777777" w:rsidR="00360D75" w:rsidRPr="0081433B" w:rsidRDefault="00360D75" w:rsidP="0078602B">
      <w:pPr>
        <w:spacing w:line="259" w:lineRule="auto"/>
        <w:rPr>
          <w:b/>
        </w:rPr>
      </w:pPr>
      <w:r w:rsidRPr="2ED3EEB5">
        <w:rPr>
          <w:b/>
        </w:rPr>
        <w:t>Significant governance issues</w:t>
      </w:r>
    </w:p>
    <w:p w14:paraId="24D682CA" w14:textId="77777777" w:rsidR="00360D75" w:rsidRPr="0081433B" w:rsidRDefault="00360D75" w:rsidP="00381C1B">
      <w:pPr>
        <w:rPr>
          <w:rFonts w:cs="Arial"/>
        </w:rPr>
      </w:pPr>
    </w:p>
    <w:p w14:paraId="1EE77BB5" w14:textId="77777777" w:rsidR="009009A3" w:rsidRPr="001B7FA8" w:rsidRDefault="009009A3" w:rsidP="009009A3">
      <w:pPr>
        <w:jc w:val="both"/>
        <w:rPr>
          <w:rFonts w:cs="Arial"/>
          <w:lang w:eastAsia="en-GB"/>
        </w:rPr>
      </w:pPr>
      <w:proofErr w:type="gramStart"/>
      <w:r w:rsidRPr="2ED3EEB5">
        <w:rPr>
          <w:rFonts w:cs="Arial"/>
        </w:rPr>
        <w:t>On the basis of</w:t>
      </w:r>
      <w:proofErr w:type="gramEnd"/>
      <w:r w:rsidRPr="2ED3EEB5">
        <w:rPr>
          <w:rFonts w:cs="Arial"/>
        </w:rPr>
        <w:t xml:space="preserve"> the review of the sources of assurance and the opinions of both the external and internal auditors set out in this statement, the Authority has concluded that there are no significant governance issues to report.</w:t>
      </w:r>
    </w:p>
    <w:p w14:paraId="26304EDE" w14:textId="77777777" w:rsidR="00360D75" w:rsidRPr="0009320B" w:rsidRDefault="00360D75" w:rsidP="7C049D64"/>
    <w:p w14:paraId="264E608F" w14:textId="77777777" w:rsidR="00360D75" w:rsidRPr="00A262F6" w:rsidRDefault="00360D75" w:rsidP="7C049D64">
      <w:r>
        <w:t>Approved:</w:t>
      </w:r>
      <w:r w:rsidRPr="00A262F6">
        <w:t xml:space="preserve"> </w:t>
      </w:r>
    </w:p>
    <w:p w14:paraId="27DB137C" w14:textId="77777777" w:rsidR="00360D75" w:rsidRPr="0009320B" w:rsidRDefault="00360D75" w:rsidP="7C049D64"/>
    <w:tbl>
      <w:tblPr>
        <w:tblW w:w="10031" w:type="dxa"/>
        <w:tblLayout w:type="fixed"/>
        <w:tblLook w:val="0000" w:firstRow="0" w:lastRow="0" w:firstColumn="0" w:lastColumn="0" w:noHBand="0" w:noVBand="0"/>
      </w:tblPr>
      <w:tblGrid>
        <w:gridCol w:w="3369"/>
        <w:gridCol w:w="283"/>
        <w:gridCol w:w="2977"/>
        <w:gridCol w:w="284"/>
        <w:gridCol w:w="3118"/>
      </w:tblGrid>
      <w:tr w:rsidR="00360D75" w:rsidRPr="0009320B" w14:paraId="55441D58" w14:textId="77777777" w:rsidTr="7C049D64">
        <w:trPr>
          <w:trHeight w:val="300"/>
        </w:trPr>
        <w:tc>
          <w:tcPr>
            <w:tcW w:w="3369" w:type="dxa"/>
          </w:tcPr>
          <w:p w14:paraId="1A87451B"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Ged Mirfin</w:t>
            </w:r>
          </w:p>
          <w:p w14:paraId="5272D41B" w14:textId="77777777" w:rsidR="00360D75" w:rsidRDefault="00360D75">
            <w:pPr>
              <w:jc w:val="both"/>
              <w:rPr>
                <w:rFonts w:ascii="Brush Script MT" w:hAnsi="Brush Script MT"/>
                <w:sz w:val="48"/>
                <w:szCs w:val="48"/>
              </w:rPr>
            </w:pPr>
          </w:p>
        </w:tc>
        <w:tc>
          <w:tcPr>
            <w:tcW w:w="283" w:type="dxa"/>
          </w:tcPr>
          <w:p w14:paraId="1A3FEB99" w14:textId="77777777" w:rsidR="00360D75" w:rsidRPr="0009320B" w:rsidRDefault="00360D75">
            <w:pPr>
              <w:rPr>
                <w:rFonts w:cs="Arial"/>
                <w:sz w:val="22"/>
                <w:szCs w:val="22"/>
              </w:rPr>
            </w:pPr>
          </w:p>
        </w:tc>
        <w:tc>
          <w:tcPr>
            <w:tcW w:w="2977" w:type="dxa"/>
          </w:tcPr>
          <w:p w14:paraId="213E139E"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Jon Charters</w:t>
            </w:r>
          </w:p>
          <w:p w14:paraId="65834F5D" w14:textId="77777777" w:rsidR="00360D75" w:rsidRPr="0009320B" w:rsidRDefault="00360D75">
            <w:pPr>
              <w:rPr>
                <w:rFonts w:cs="Arial"/>
                <w:sz w:val="22"/>
                <w:szCs w:val="22"/>
              </w:rPr>
            </w:pPr>
          </w:p>
        </w:tc>
        <w:tc>
          <w:tcPr>
            <w:tcW w:w="284" w:type="dxa"/>
          </w:tcPr>
          <w:p w14:paraId="7988A11C" w14:textId="77777777" w:rsidR="00360D75" w:rsidRPr="0009320B" w:rsidRDefault="00360D75">
            <w:pPr>
              <w:rPr>
                <w:rFonts w:cs="Arial"/>
                <w:sz w:val="22"/>
                <w:szCs w:val="22"/>
              </w:rPr>
            </w:pPr>
          </w:p>
        </w:tc>
        <w:tc>
          <w:tcPr>
            <w:tcW w:w="3118" w:type="dxa"/>
          </w:tcPr>
          <w:p w14:paraId="0999B8D2" w14:textId="77777777" w:rsidR="00360D75" w:rsidRPr="0009320B" w:rsidRDefault="00360D75">
            <w:pPr>
              <w:jc w:val="both"/>
              <w:rPr>
                <w:rFonts w:ascii="Brush Script MT" w:hAnsi="Brush Script MT"/>
                <w:sz w:val="48"/>
                <w:szCs w:val="48"/>
              </w:rPr>
            </w:pPr>
            <w:r w:rsidRPr="7C049D64">
              <w:rPr>
                <w:rFonts w:ascii="Brush Script MT" w:hAnsi="Brush Script MT"/>
                <w:sz w:val="48"/>
                <w:szCs w:val="48"/>
              </w:rPr>
              <w:t>Steven Brown</w:t>
            </w:r>
          </w:p>
          <w:p w14:paraId="6953F753" w14:textId="77777777" w:rsidR="00360D75" w:rsidRPr="0009320B" w:rsidRDefault="00360D75">
            <w:pPr>
              <w:rPr>
                <w:rFonts w:cs="Arial"/>
                <w:sz w:val="22"/>
                <w:szCs w:val="22"/>
              </w:rPr>
            </w:pPr>
          </w:p>
        </w:tc>
      </w:tr>
      <w:tr w:rsidR="00360D75" w:rsidRPr="00AF3DCD" w14:paraId="3AD47B16" w14:textId="77777777" w:rsidTr="7C049D64">
        <w:trPr>
          <w:trHeight w:val="300"/>
        </w:trPr>
        <w:tc>
          <w:tcPr>
            <w:tcW w:w="3369" w:type="dxa"/>
          </w:tcPr>
          <w:p w14:paraId="31268BEA" w14:textId="77777777" w:rsidR="00360D75" w:rsidRPr="00325630" w:rsidRDefault="00360D75" w:rsidP="00927796">
            <w:r w:rsidRPr="00325630">
              <w:t>County Councillor G Mirfin, Chairman,</w:t>
            </w:r>
          </w:p>
          <w:p w14:paraId="2ED26CC5" w14:textId="77777777" w:rsidR="00360D75" w:rsidRPr="00325630" w:rsidRDefault="00360D75" w:rsidP="00927796">
            <w:r w:rsidRPr="00325630">
              <w:t>Lancashire Combined Fire Authority</w:t>
            </w:r>
          </w:p>
          <w:p w14:paraId="59A39675" w14:textId="2CDAD7EC" w:rsidR="00360D75" w:rsidRPr="00325630" w:rsidRDefault="006D2B94" w:rsidP="00927796">
            <w:r w:rsidRPr="00325630">
              <w:t>[Date]</w:t>
            </w:r>
          </w:p>
        </w:tc>
        <w:tc>
          <w:tcPr>
            <w:tcW w:w="283" w:type="dxa"/>
          </w:tcPr>
          <w:p w14:paraId="73CFFEFC" w14:textId="77777777" w:rsidR="00360D75" w:rsidRPr="00325630" w:rsidRDefault="00360D75" w:rsidP="00927796"/>
        </w:tc>
        <w:tc>
          <w:tcPr>
            <w:tcW w:w="2977" w:type="dxa"/>
          </w:tcPr>
          <w:p w14:paraId="0D760CC0" w14:textId="77777777" w:rsidR="00360D75" w:rsidRPr="00325630" w:rsidRDefault="00360D75" w:rsidP="00927796">
            <w:r w:rsidRPr="00325630">
              <w:t>J Charters,</w:t>
            </w:r>
          </w:p>
          <w:p w14:paraId="04D3D754" w14:textId="77777777" w:rsidR="00360D75" w:rsidRPr="00325630" w:rsidRDefault="00360D75" w:rsidP="00927796">
            <w:r w:rsidRPr="00325630">
              <w:t>Chief Fire Officer, Lancashire Fire and Rescue Service</w:t>
            </w:r>
          </w:p>
          <w:p w14:paraId="4DF8601F" w14:textId="1FB6F276" w:rsidR="00360D75" w:rsidRPr="00325630" w:rsidRDefault="006D2B94" w:rsidP="00927796">
            <w:r w:rsidRPr="00325630">
              <w:t>[Date]</w:t>
            </w:r>
          </w:p>
        </w:tc>
        <w:tc>
          <w:tcPr>
            <w:tcW w:w="284" w:type="dxa"/>
          </w:tcPr>
          <w:p w14:paraId="4C8C5E5A" w14:textId="77777777" w:rsidR="00360D75" w:rsidRPr="00325630" w:rsidRDefault="00360D75" w:rsidP="00927796"/>
        </w:tc>
        <w:tc>
          <w:tcPr>
            <w:tcW w:w="3118" w:type="dxa"/>
          </w:tcPr>
          <w:p w14:paraId="400C7B69" w14:textId="77777777" w:rsidR="00360D75" w:rsidRPr="00325630" w:rsidRDefault="00360D75" w:rsidP="00927796">
            <w:r w:rsidRPr="00325630">
              <w:t>S Brown,</w:t>
            </w:r>
          </w:p>
          <w:p w14:paraId="39E74762" w14:textId="77777777" w:rsidR="00360D75" w:rsidRPr="00325630" w:rsidRDefault="00360D75" w:rsidP="00927796">
            <w:r w:rsidRPr="00325630">
              <w:t xml:space="preserve">Treasurer, </w:t>
            </w:r>
          </w:p>
          <w:p w14:paraId="78AA4514" w14:textId="77777777" w:rsidR="00360D75" w:rsidRPr="00325630" w:rsidRDefault="00360D75" w:rsidP="00927796">
            <w:r w:rsidRPr="00325630">
              <w:t>Lancashire Combined Fire Authority</w:t>
            </w:r>
          </w:p>
          <w:p w14:paraId="3728FF3C" w14:textId="563A8E4C" w:rsidR="00360D75" w:rsidRPr="00325630" w:rsidRDefault="00534795" w:rsidP="00927796">
            <w:r>
              <w:t>30</w:t>
            </w:r>
            <w:r w:rsidRPr="00534795">
              <w:rPr>
                <w:vertAlign w:val="superscript"/>
              </w:rPr>
              <w:t>th</w:t>
            </w:r>
            <w:r>
              <w:t xml:space="preserve"> June 2026</w:t>
            </w:r>
          </w:p>
        </w:tc>
      </w:tr>
    </w:tbl>
    <w:p w14:paraId="4483E522" w14:textId="77777777" w:rsidR="00634FF1" w:rsidRPr="00D948C1" w:rsidRDefault="00634FF1" w:rsidP="00927796">
      <w:r w:rsidRPr="00D948C1">
        <w:br w:type="page"/>
      </w:r>
    </w:p>
    <w:p w14:paraId="12FA2E82" w14:textId="77777777" w:rsidR="00634FF1" w:rsidRPr="00F22EAB" w:rsidRDefault="00634FF1" w:rsidP="00634FF1">
      <w:pPr>
        <w:pStyle w:val="Heading1"/>
        <w:rPr>
          <w:szCs w:val="24"/>
        </w:rPr>
      </w:pPr>
      <w:bookmarkStart w:id="6" w:name="_Toc233717511"/>
      <w:r w:rsidRPr="00F22EAB">
        <w:rPr>
          <w:szCs w:val="24"/>
        </w:rPr>
        <w:lastRenderedPageBreak/>
        <w:t>Independent Auditor’s Report to the Members of Lancashire Combined Fire Authority</w:t>
      </w:r>
      <w:bookmarkEnd w:id="6"/>
    </w:p>
    <w:p w14:paraId="22D6ECF2" w14:textId="77777777" w:rsidR="00634FF1" w:rsidRPr="00F22EAB" w:rsidRDefault="00634FF1" w:rsidP="00634FF1"/>
    <w:p w14:paraId="2E70D1DC" w14:textId="6B47E820" w:rsidR="00763318" w:rsidRPr="00EF534A" w:rsidRDefault="00502803" w:rsidP="00763318">
      <w:pPr>
        <w:rPr>
          <w:rFonts w:cs="Arial"/>
          <w:szCs w:val="24"/>
        </w:rPr>
      </w:pPr>
      <w:r w:rsidRPr="00F22EAB">
        <w:rPr>
          <w:rFonts w:cs="Arial"/>
          <w:szCs w:val="24"/>
        </w:rPr>
        <w:t>To add on final audit.</w:t>
      </w:r>
    </w:p>
    <w:p w14:paraId="7AB6394E" w14:textId="14FB55C5" w:rsidR="00550085" w:rsidRPr="00D948C1" w:rsidRDefault="00550085">
      <w:pPr>
        <w:rPr>
          <w:rFonts w:cs="Arial"/>
          <w:szCs w:val="24"/>
        </w:rPr>
      </w:pPr>
      <w:r w:rsidRPr="00D948C1">
        <w:rPr>
          <w:rFonts w:cs="Arial"/>
          <w:szCs w:val="24"/>
        </w:rPr>
        <w:br w:type="page"/>
      </w:r>
    </w:p>
    <w:p w14:paraId="3BC975BB" w14:textId="77777777" w:rsidR="00A5777A" w:rsidRPr="00DC2ACD" w:rsidRDefault="00A5777A" w:rsidP="00A5777A">
      <w:pPr>
        <w:pStyle w:val="Heading1"/>
        <w:rPr>
          <w:rFonts w:cs="Arial"/>
          <w:lang w:eastAsia="en-GB"/>
        </w:rPr>
      </w:pPr>
      <w:bookmarkStart w:id="7" w:name="_Toc233717512"/>
      <w:r w:rsidRPr="17B6E0DA">
        <w:rPr>
          <w:rFonts w:cs="Arial"/>
        </w:rPr>
        <w:lastRenderedPageBreak/>
        <w:t>Statement of Responsibilities for the Statement of Accounts</w:t>
      </w:r>
      <w:bookmarkEnd w:id="7"/>
    </w:p>
    <w:p w14:paraId="3AB6650B" w14:textId="77777777" w:rsidR="00A5777A" w:rsidRPr="00DC2ACD" w:rsidRDefault="00A5777A" w:rsidP="00A5777A">
      <w:pPr>
        <w:rPr>
          <w:rFonts w:cs="Arial"/>
        </w:rPr>
      </w:pPr>
    </w:p>
    <w:p w14:paraId="024F363C" w14:textId="77777777" w:rsidR="00A5777A" w:rsidRPr="00DC2ACD" w:rsidRDefault="00A5777A" w:rsidP="00A5777A">
      <w:pPr>
        <w:rPr>
          <w:rFonts w:cs="Arial"/>
          <w:b/>
        </w:rPr>
      </w:pPr>
      <w:r w:rsidRPr="17B6E0DA">
        <w:rPr>
          <w:rFonts w:cs="Arial"/>
          <w:b/>
        </w:rPr>
        <w:t>The Authority’s Responsibilities</w:t>
      </w:r>
    </w:p>
    <w:p w14:paraId="33E04A1B" w14:textId="77777777" w:rsidR="00A5777A" w:rsidRPr="00DC2ACD" w:rsidRDefault="00A5777A" w:rsidP="00A5777A">
      <w:pPr>
        <w:rPr>
          <w:rFonts w:cs="Arial"/>
        </w:rPr>
      </w:pPr>
    </w:p>
    <w:p w14:paraId="3E87AB07" w14:textId="77777777" w:rsidR="00A5777A" w:rsidRPr="00DC2ACD" w:rsidRDefault="00A5777A" w:rsidP="00A5777A">
      <w:pPr>
        <w:rPr>
          <w:rFonts w:cs="Arial"/>
        </w:rPr>
      </w:pPr>
      <w:r w:rsidRPr="17B6E0DA">
        <w:rPr>
          <w:rFonts w:cs="Arial"/>
        </w:rPr>
        <w:t>The Authority is required:</w:t>
      </w:r>
    </w:p>
    <w:p w14:paraId="75B90561" w14:textId="77777777" w:rsidR="00A5777A" w:rsidRPr="00DC2ACD" w:rsidRDefault="00A5777A" w:rsidP="00A5777A">
      <w:pPr>
        <w:rPr>
          <w:rFonts w:cs="Arial"/>
        </w:rPr>
      </w:pPr>
    </w:p>
    <w:p w14:paraId="56105246" w14:textId="77777777" w:rsidR="00A5777A" w:rsidRPr="00DC2ACD" w:rsidRDefault="00A5777A" w:rsidP="00A5777A">
      <w:pPr>
        <w:numPr>
          <w:ilvl w:val="0"/>
          <w:numId w:val="30"/>
        </w:numPr>
        <w:rPr>
          <w:rFonts w:cs="Arial"/>
        </w:rPr>
      </w:pPr>
      <w:r w:rsidRPr="17B6E0DA">
        <w:rPr>
          <w:rFonts w:cs="Arial"/>
        </w:rPr>
        <w:t xml:space="preserve">To </w:t>
      </w:r>
      <w:proofErr w:type="gramStart"/>
      <w:r w:rsidRPr="17B6E0DA">
        <w:rPr>
          <w:rFonts w:cs="Arial"/>
        </w:rPr>
        <w:t>make arrangements</w:t>
      </w:r>
      <w:proofErr w:type="gramEnd"/>
      <w:r w:rsidRPr="17B6E0DA">
        <w:rPr>
          <w:rFonts w:cs="Arial"/>
        </w:rPr>
        <w:t xml:space="preserve"> for the proper administration of the financial affairs and to secure that one of its officers has the responsibility for the administration of those affairs. In this Authority that officer is the Treasurer to the Fire Authority.</w:t>
      </w:r>
    </w:p>
    <w:p w14:paraId="4B3120F8" w14:textId="77777777" w:rsidR="00A5777A" w:rsidRPr="00DC2ACD" w:rsidRDefault="00A5777A" w:rsidP="00A5777A">
      <w:pPr>
        <w:rPr>
          <w:rFonts w:cs="Arial"/>
        </w:rPr>
      </w:pPr>
    </w:p>
    <w:p w14:paraId="36CAA642" w14:textId="77777777" w:rsidR="00A5777A" w:rsidRPr="00DC2ACD" w:rsidRDefault="00A5777A" w:rsidP="00A5777A">
      <w:pPr>
        <w:numPr>
          <w:ilvl w:val="0"/>
          <w:numId w:val="30"/>
        </w:numPr>
        <w:rPr>
          <w:rFonts w:cs="Arial"/>
        </w:rPr>
      </w:pPr>
      <w:r w:rsidRPr="17B6E0DA">
        <w:rPr>
          <w:rFonts w:cs="Arial"/>
        </w:rPr>
        <w:t>To manage its affairs to secure economic, efficient, and effective use of resources and safeguard its assets.</w:t>
      </w:r>
    </w:p>
    <w:p w14:paraId="1758F57D" w14:textId="77777777" w:rsidR="00A5777A" w:rsidRPr="00DC2ACD" w:rsidRDefault="00A5777A" w:rsidP="00A5777A">
      <w:pPr>
        <w:rPr>
          <w:rFonts w:cs="Arial"/>
        </w:rPr>
      </w:pPr>
    </w:p>
    <w:p w14:paraId="4ACE8923" w14:textId="77777777" w:rsidR="00A5777A" w:rsidRPr="00DC2ACD" w:rsidRDefault="00A5777A" w:rsidP="00A5777A">
      <w:pPr>
        <w:numPr>
          <w:ilvl w:val="0"/>
          <w:numId w:val="30"/>
        </w:numPr>
        <w:rPr>
          <w:rFonts w:cs="Arial"/>
        </w:rPr>
      </w:pPr>
      <w:r w:rsidRPr="17B6E0DA">
        <w:rPr>
          <w:rFonts w:cs="Arial"/>
        </w:rPr>
        <w:t>To approve the Statement of Accounts.</w:t>
      </w:r>
    </w:p>
    <w:p w14:paraId="706FDD8D" w14:textId="77777777" w:rsidR="00A5777A" w:rsidRPr="00DC2ACD" w:rsidRDefault="00A5777A" w:rsidP="00A5777A">
      <w:pPr>
        <w:ind w:hanging="562"/>
        <w:rPr>
          <w:rFonts w:cs="Arial"/>
        </w:rPr>
      </w:pPr>
    </w:p>
    <w:p w14:paraId="0E936243" w14:textId="77777777" w:rsidR="00A5777A" w:rsidRPr="00DC2ACD" w:rsidRDefault="00A5777A" w:rsidP="00A5777A">
      <w:pPr>
        <w:rPr>
          <w:rFonts w:cs="Arial"/>
          <w:b/>
        </w:rPr>
      </w:pPr>
      <w:r w:rsidRPr="17B6E0DA">
        <w:rPr>
          <w:rFonts w:cs="Arial"/>
          <w:b/>
        </w:rPr>
        <w:t>The Treasurer’s Responsibilities</w:t>
      </w:r>
    </w:p>
    <w:p w14:paraId="472D5784" w14:textId="77777777" w:rsidR="00A5777A" w:rsidRPr="00DC2ACD" w:rsidRDefault="00A5777A" w:rsidP="00A5777A">
      <w:pPr>
        <w:ind w:hanging="562"/>
        <w:rPr>
          <w:rFonts w:cs="Arial"/>
          <w:b/>
        </w:rPr>
      </w:pPr>
    </w:p>
    <w:p w14:paraId="31833F1E" w14:textId="77D0CB08" w:rsidR="00A5777A" w:rsidRPr="00DC2ACD" w:rsidRDefault="00A5777A" w:rsidP="00A5777A">
      <w:pPr>
        <w:tabs>
          <w:tab w:val="left" w:pos="1418"/>
        </w:tabs>
        <w:rPr>
          <w:rFonts w:cs="Arial"/>
        </w:rPr>
      </w:pPr>
      <w:r w:rsidRPr="17B6E0DA">
        <w:rPr>
          <w:rFonts w:cs="Arial"/>
        </w:rPr>
        <w:t>The Treasurer is responsible for the preparation of the Authority’s Statement of Accounts which, in terms of the CIPFA</w:t>
      </w:r>
      <w:r w:rsidR="00A251F2">
        <w:rPr>
          <w:rFonts w:cs="Arial"/>
        </w:rPr>
        <w:t xml:space="preserve"> Local Authority Scotland </w:t>
      </w:r>
      <w:r w:rsidR="00E10D80">
        <w:rPr>
          <w:rFonts w:cs="Arial"/>
        </w:rPr>
        <w:t>Accounts Advisory Committee (</w:t>
      </w:r>
      <w:r w:rsidRPr="17B6E0DA">
        <w:rPr>
          <w:rFonts w:cs="Arial"/>
        </w:rPr>
        <w:t>LASAAC</w:t>
      </w:r>
      <w:r w:rsidR="00E10D80">
        <w:rPr>
          <w:rFonts w:cs="Arial"/>
        </w:rPr>
        <w:t>)</w:t>
      </w:r>
      <w:r w:rsidRPr="17B6E0DA">
        <w:rPr>
          <w:rFonts w:cs="Arial"/>
        </w:rPr>
        <w:t xml:space="preserve"> Code of Practice on Local Authority Accounting (‘the Code’), is required to present a true and fair view of the financial position of the Authority at the accounting date and its income and expenditure for the year ended 31 March 202</w:t>
      </w:r>
      <w:r w:rsidR="00DC2ACD" w:rsidRPr="17B6E0DA">
        <w:rPr>
          <w:rFonts w:cs="Arial"/>
        </w:rPr>
        <w:t>6</w:t>
      </w:r>
      <w:r w:rsidRPr="17B6E0DA">
        <w:rPr>
          <w:rFonts w:cs="Arial"/>
        </w:rPr>
        <w:t>.</w:t>
      </w:r>
    </w:p>
    <w:p w14:paraId="13192569" w14:textId="77777777" w:rsidR="00A5777A" w:rsidRPr="00DC2ACD" w:rsidRDefault="00A5777A" w:rsidP="00A5777A">
      <w:pPr>
        <w:rPr>
          <w:rFonts w:cs="Arial"/>
        </w:rPr>
      </w:pPr>
    </w:p>
    <w:p w14:paraId="46BCF9DF" w14:textId="77777777" w:rsidR="00A5777A" w:rsidRPr="00DC2ACD" w:rsidRDefault="00A5777A" w:rsidP="00A5777A">
      <w:pPr>
        <w:rPr>
          <w:rFonts w:cs="Arial"/>
        </w:rPr>
      </w:pPr>
      <w:r w:rsidRPr="17B6E0DA">
        <w:rPr>
          <w:rFonts w:cs="Arial"/>
        </w:rPr>
        <w:t>In preparing this Statement of Accounts, the Treasurer has:</w:t>
      </w:r>
    </w:p>
    <w:p w14:paraId="5ACAB9D9" w14:textId="77777777" w:rsidR="00A5777A" w:rsidRPr="00DC2ACD" w:rsidRDefault="00A5777A" w:rsidP="00A5777A">
      <w:pPr>
        <w:rPr>
          <w:rFonts w:cs="Arial"/>
        </w:rPr>
      </w:pPr>
    </w:p>
    <w:p w14:paraId="2E48B1DE" w14:textId="77777777" w:rsidR="00A5777A" w:rsidRPr="00DC2ACD" w:rsidRDefault="00A5777A" w:rsidP="00A5777A">
      <w:pPr>
        <w:numPr>
          <w:ilvl w:val="0"/>
          <w:numId w:val="30"/>
        </w:numPr>
        <w:rPr>
          <w:rFonts w:cs="Arial"/>
        </w:rPr>
      </w:pPr>
      <w:r w:rsidRPr="17B6E0DA">
        <w:rPr>
          <w:rFonts w:cs="Arial"/>
        </w:rPr>
        <w:t>Selected suitable accounting policies and then applied them consistently;</w:t>
      </w:r>
    </w:p>
    <w:p w14:paraId="35DC6B0A" w14:textId="77777777" w:rsidR="00A5777A" w:rsidRPr="00DC2ACD" w:rsidRDefault="00A5777A" w:rsidP="00A5777A">
      <w:pPr>
        <w:numPr>
          <w:ilvl w:val="0"/>
          <w:numId w:val="30"/>
        </w:numPr>
        <w:rPr>
          <w:rFonts w:cs="Arial"/>
        </w:rPr>
      </w:pPr>
      <w:r w:rsidRPr="17B6E0DA">
        <w:rPr>
          <w:rFonts w:cs="Arial"/>
        </w:rPr>
        <w:t>Made judgements and estimates that were reasonable and prudent;</w:t>
      </w:r>
    </w:p>
    <w:p w14:paraId="64032CDB" w14:textId="77777777" w:rsidR="00A5777A" w:rsidRPr="00DC2ACD" w:rsidRDefault="00A5777A" w:rsidP="00A5777A">
      <w:pPr>
        <w:numPr>
          <w:ilvl w:val="0"/>
          <w:numId w:val="30"/>
        </w:numPr>
        <w:rPr>
          <w:rFonts w:cs="Arial"/>
        </w:rPr>
      </w:pPr>
      <w:r w:rsidRPr="17B6E0DA">
        <w:rPr>
          <w:rFonts w:cs="Arial"/>
        </w:rPr>
        <w:t>Complied with the Code.</w:t>
      </w:r>
    </w:p>
    <w:p w14:paraId="68DCBFAC" w14:textId="77777777" w:rsidR="00A5777A" w:rsidRPr="00DC2ACD" w:rsidRDefault="00A5777A" w:rsidP="00A5777A">
      <w:pPr>
        <w:rPr>
          <w:rFonts w:cs="Arial"/>
        </w:rPr>
      </w:pPr>
    </w:p>
    <w:p w14:paraId="77B21BD2" w14:textId="77777777" w:rsidR="00A5777A" w:rsidRPr="00DC2ACD" w:rsidRDefault="00A5777A" w:rsidP="00A5777A">
      <w:pPr>
        <w:rPr>
          <w:rFonts w:cs="Arial"/>
        </w:rPr>
      </w:pPr>
      <w:r w:rsidRPr="17B6E0DA">
        <w:rPr>
          <w:rFonts w:cs="Arial"/>
        </w:rPr>
        <w:t>The Treasurer has also:</w:t>
      </w:r>
    </w:p>
    <w:p w14:paraId="06E24E8A" w14:textId="77777777" w:rsidR="00A5777A" w:rsidRPr="00DC2ACD" w:rsidRDefault="00A5777A" w:rsidP="00A5777A">
      <w:pPr>
        <w:rPr>
          <w:rFonts w:cs="Arial"/>
        </w:rPr>
      </w:pPr>
    </w:p>
    <w:p w14:paraId="32EBB25D" w14:textId="77777777" w:rsidR="00A5777A" w:rsidRPr="00DC2ACD" w:rsidRDefault="00A5777A" w:rsidP="00A5777A">
      <w:pPr>
        <w:numPr>
          <w:ilvl w:val="0"/>
          <w:numId w:val="30"/>
        </w:numPr>
        <w:rPr>
          <w:rFonts w:cs="Arial"/>
        </w:rPr>
      </w:pPr>
      <w:r w:rsidRPr="17B6E0DA">
        <w:rPr>
          <w:rFonts w:cs="Arial"/>
        </w:rPr>
        <w:t xml:space="preserve">Kept proper accounting records which were </w:t>
      </w:r>
      <w:proofErr w:type="gramStart"/>
      <w:r w:rsidRPr="17B6E0DA">
        <w:rPr>
          <w:rFonts w:cs="Arial"/>
        </w:rPr>
        <w:t>up-to-date</w:t>
      </w:r>
      <w:proofErr w:type="gramEnd"/>
      <w:r w:rsidRPr="17B6E0DA">
        <w:rPr>
          <w:rFonts w:cs="Arial"/>
        </w:rPr>
        <w:t>;</w:t>
      </w:r>
    </w:p>
    <w:p w14:paraId="17267666" w14:textId="77777777" w:rsidR="00A5777A" w:rsidRPr="00DC2ACD" w:rsidRDefault="00A5777A" w:rsidP="00A5777A">
      <w:pPr>
        <w:numPr>
          <w:ilvl w:val="0"/>
          <w:numId w:val="30"/>
        </w:numPr>
        <w:rPr>
          <w:rFonts w:cs="Arial"/>
        </w:rPr>
      </w:pPr>
      <w:r w:rsidRPr="17B6E0DA">
        <w:rPr>
          <w:rFonts w:cs="Arial"/>
        </w:rPr>
        <w:t>Taken reasonable steps for the prevention and detection of fraud and other irregularities.</w:t>
      </w:r>
    </w:p>
    <w:p w14:paraId="3998EE03" w14:textId="77777777" w:rsidR="00A5777A" w:rsidRPr="00DC2ACD" w:rsidRDefault="00A5777A" w:rsidP="00A5777A">
      <w:pPr>
        <w:jc w:val="both"/>
        <w:rPr>
          <w:sz w:val="22"/>
          <w:szCs w:val="22"/>
        </w:rPr>
      </w:pPr>
    </w:p>
    <w:tbl>
      <w:tblPr>
        <w:tblW w:w="0" w:type="auto"/>
        <w:tblLayout w:type="fixed"/>
        <w:tblLook w:val="0000" w:firstRow="0" w:lastRow="0" w:firstColumn="0" w:lastColumn="0" w:noHBand="0" w:noVBand="0"/>
      </w:tblPr>
      <w:tblGrid>
        <w:gridCol w:w="4621"/>
        <w:gridCol w:w="4621"/>
      </w:tblGrid>
      <w:tr w:rsidR="00A5777A" w:rsidRPr="00DC2ACD" w14:paraId="08A61897" w14:textId="77777777" w:rsidTr="095637AE">
        <w:trPr>
          <w:trHeight w:val="702"/>
        </w:trPr>
        <w:tc>
          <w:tcPr>
            <w:tcW w:w="4621" w:type="dxa"/>
          </w:tcPr>
          <w:p w14:paraId="3AEFC374" w14:textId="77777777" w:rsidR="00A5777A" w:rsidRPr="00DC2ACD" w:rsidRDefault="00A5777A" w:rsidP="00F7299E">
            <w:pPr>
              <w:jc w:val="both"/>
              <w:rPr>
                <w:rFonts w:ascii="Brush Script MT" w:hAnsi="Brush Script MT"/>
                <w:sz w:val="48"/>
                <w:szCs w:val="48"/>
              </w:rPr>
            </w:pPr>
            <w:r w:rsidRPr="17B6E0DA">
              <w:rPr>
                <w:rFonts w:ascii="Brush Script MT" w:hAnsi="Brush Script MT"/>
                <w:sz w:val="48"/>
                <w:szCs w:val="48"/>
              </w:rPr>
              <w:t>Steven Brown</w:t>
            </w:r>
          </w:p>
          <w:p w14:paraId="1B2A153B" w14:textId="77777777" w:rsidR="00A5777A" w:rsidRPr="00DC2ACD" w:rsidRDefault="00A5777A" w:rsidP="00F7299E">
            <w:pPr>
              <w:jc w:val="both"/>
              <w:rPr>
                <w:sz w:val="22"/>
                <w:szCs w:val="22"/>
              </w:rPr>
            </w:pPr>
          </w:p>
        </w:tc>
        <w:tc>
          <w:tcPr>
            <w:tcW w:w="4621" w:type="dxa"/>
          </w:tcPr>
          <w:p w14:paraId="0DF72584" w14:textId="68471D7D" w:rsidR="00BC3251" w:rsidRPr="00DC2ACD" w:rsidRDefault="51F33FE3" w:rsidP="095637AE">
            <w:pPr>
              <w:jc w:val="both"/>
              <w:rPr>
                <w:rFonts w:ascii="Brush Script MT" w:hAnsi="Brush Script MT"/>
                <w:sz w:val="48"/>
                <w:szCs w:val="48"/>
              </w:rPr>
            </w:pPr>
            <w:r w:rsidRPr="17B6E0DA">
              <w:rPr>
                <w:rFonts w:ascii="Brush Script MT" w:hAnsi="Brush Script MT"/>
                <w:sz w:val="48"/>
                <w:szCs w:val="48"/>
              </w:rPr>
              <w:t>Mark Clifford</w:t>
            </w:r>
          </w:p>
          <w:p w14:paraId="36662BAB" w14:textId="77777777" w:rsidR="00A5777A" w:rsidRPr="00DC2ACD" w:rsidRDefault="00A5777A" w:rsidP="095637AE">
            <w:pPr>
              <w:jc w:val="both"/>
              <w:rPr>
                <w:sz w:val="22"/>
                <w:szCs w:val="22"/>
              </w:rPr>
            </w:pPr>
          </w:p>
        </w:tc>
      </w:tr>
      <w:tr w:rsidR="00A5777A" w:rsidRPr="00D948C1" w14:paraId="3AF5C2F8" w14:textId="77777777" w:rsidTr="095637AE">
        <w:trPr>
          <w:trHeight w:val="702"/>
        </w:trPr>
        <w:tc>
          <w:tcPr>
            <w:tcW w:w="4621" w:type="dxa"/>
          </w:tcPr>
          <w:p w14:paraId="670A07AF" w14:textId="77777777" w:rsidR="00A5777A" w:rsidRPr="00534795" w:rsidRDefault="00A5777A" w:rsidP="00F7299E">
            <w:pPr>
              <w:rPr>
                <w:szCs w:val="24"/>
              </w:rPr>
            </w:pPr>
            <w:r w:rsidRPr="00534795">
              <w:rPr>
                <w:szCs w:val="24"/>
              </w:rPr>
              <w:t>Steven Brown CGMA</w:t>
            </w:r>
          </w:p>
          <w:p w14:paraId="06D5B293" w14:textId="77777777" w:rsidR="00A5777A" w:rsidRPr="00534795" w:rsidRDefault="00A5777A" w:rsidP="00F7299E">
            <w:pPr>
              <w:pStyle w:val="00-Normal-BB"/>
              <w:jc w:val="left"/>
              <w:rPr>
                <w:rFonts w:eastAsia="Times New Roman"/>
                <w:sz w:val="24"/>
                <w:szCs w:val="24"/>
              </w:rPr>
            </w:pPr>
            <w:r w:rsidRPr="00534795">
              <w:rPr>
                <w:rFonts w:eastAsia="Times New Roman"/>
                <w:sz w:val="24"/>
                <w:szCs w:val="24"/>
              </w:rPr>
              <w:t>Treasurer to the Combined Fire Authority</w:t>
            </w:r>
          </w:p>
          <w:p w14:paraId="4F305764" w14:textId="4F8D759A" w:rsidR="00A5777A" w:rsidRPr="00534795" w:rsidRDefault="00534795" w:rsidP="095637AE">
            <w:pPr>
              <w:pStyle w:val="00-Normal-BB"/>
              <w:jc w:val="left"/>
              <w:rPr>
                <w:sz w:val="24"/>
                <w:szCs w:val="24"/>
              </w:rPr>
            </w:pPr>
            <w:r w:rsidRPr="00534795">
              <w:rPr>
                <w:sz w:val="24"/>
                <w:szCs w:val="24"/>
              </w:rPr>
              <w:t>30</w:t>
            </w:r>
            <w:r w:rsidRPr="00534795">
              <w:rPr>
                <w:sz w:val="24"/>
                <w:szCs w:val="24"/>
                <w:vertAlign w:val="superscript"/>
              </w:rPr>
              <w:t>th</w:t>
            </w:r>
            <w:r w:rsidRPr="00534795">
              <w:rPr>
                <w:sz w:val="24"/>
                <w:szCs w:val="24"/>
              </w:rPr>
              <w:t xml:space="preserve"> June 2026</w:t>
            </w:r>
          </w:p>
        </w:tc>
        <w:tc>
          <w:tcPr>
            <w:tcW w:w="4621" w:type="dxa"/>
          </w:tcPr>
          <w:p w14:paraId="0C9574B1" w14:textId="2896CE9F" w:rsidR="00A5777A" w:rsidRPr="00534795" w:rsidRDefault="2DB0F06C" w:rsidP="095637AE">
            <w:pPr>
              <w:rPr>
                <w:szCs w:val="24"/>
              </w:rPr>
            </w:pPr>
            <w:r w:rsidRPr="00534795">
              <w:rPr>
                <w:szCs w:val="24"/>
              </w:rPr>
              <w:t>Mark Clifford</w:t>
            </w:r>
          </w:p>
          <w:p w14:paraId="5CAA6A37" w14:textId="77777777" w:rsidR="00A5777A" w:rsidRPr="00534795" w:rsidRDefault="00A5777A" w:rsidP="095637AE">
            <w:pPr>
              <w:rPr>
                <w:szCs w:val="24"/>
              </w:rPr>
            </w:pPr>
            <w:r w:rsidRPr="00534795">
              <w:rPr>
                <w:szCs w:val="24"/>
              </w:rPr>
              <w:t>Chair of Audit Committee</w:t>
            </w:r>
          </w:p>
          <w:p w14:paraId="10B99780" w14:textId="2A864D28" w:rsidR="00A5777A" w:rsidRPr="00534795" w:rsidRDefault="00DC2ACD" w:rsidP="095637AE">
            <w:pPr>
              <w:rPr>
                <w:szCs w:val="24"/>
              </w:rPr>
            </w:pPr>
            <w:r w:rsidRPr="00534795">
              <w:rPr>
                <w:szCs w:val="24"/>
              </w:rPr>
              <w:t>[Date]</w:t>
            </w:r>
          </w:p>
        </w:tc>
      </w:tr>
    </w:tbl>
    <w:p w14:paraId="09E55D4F" w14:textId="06AFE325" w:rsidR="0077530B" w:rsidRPr="00D948C1" w:rsidRDefault="00234514" w:rsidP="00127BBA">
      <w:pPr>
        <w:autoSpaceDE w:val="0"/>
        <w:autoSpaceDN w:val="0"/>
        <w:adjustRightInd w:val="0"/>
        <w:rPr>
          <w:rFonts w:cs="Arial"/>
          <w:szCs w:val="24"/>
        </w:rPr>
      </w:pPr>
      <w:r w:rsidRPr="00D948C1">
        <w:rPr>
          <w:iCs/>
          <w:sz w:val="22"/>
          <w:szCs w:val="22"/>
          <w:lang w:eastAsia="en-GB"/>
        </w:rPr>
        <w:br w:type="page"/>
      </w:r>
    </w:p>
    <w:p w14:paraId="09BB1810" w14:textId="4CD4B8F8" w:rsidR="006B4BE1" w:rsidRPr="00DC2ACD" w:rsidRDefault="00490917" w:rsidP="00381C1B">
      <w:pPr>
        <w:pStyle w:val="Heading1"/>
        <w:rPr>
          <w:rFonts w:cs="Arial"/>
          <w:lang w:eastAsia="en-GB"/>
        </w:rPr>
      </w:pPr>
      <w:bookmarkStart w:id="8" w:name="Responsibilities"/>
      <w:bookmarkStart w:id="9" w:name="_Toc233717513"/>
      <w:bookmarkEnd w:id="8"/>
      <w:r w:rsidRPr="4B4AB2F0">
        <w:rPr>
          <w:rFonts w:cs="Arial"/>
        </w:rPr>
        <w:lastRenderedPageBreak/>
        <w:t>Explanation of Financial Statements</w:t>
      </w:r>
      <w:bookmarkEnd w:id="9"/>
    </w:p>
    <w:p w14:paraId="5A1013BE" w14:textId="77777777" w:rsidR="006B4BE1" w:rsidRPr="00DC2ACD" w:rsidRDefault="006B4BE1" w:rsidP="00381C1B">
      <w:pPr>
        <w:rPr>
          <w:rFonts w:cs="Arial"/>
        </w:rPr>
      </w:pPr>
    </w:p>
    <w:p w14:paraId="2ED691DF" w14:textId="7CD0FE6C" w:rsidR="006B4BE1" w:rsidRPr="00DC2ACD" w:rsidRDefault="00490917" w:rsidP="00381C1B">
      <w:pPr>
        <w:rPr>
          <w:rFonts w:cs="Arial"/>
        </w:rPr>
      </w:pPr>
      <w:r w:rsidRPr="4B4AB2F0">
        <w:rPr>
          <w:rFonts w:cs="Arial"/>
        </w:rPr>
        <w:t>Comprehensive Income and Expenditure Statement</w:t>
      </w:r>
    </w:p>
    <w:p w14:paraId="78A6E496" w14:textId="77777777" w:rsidR="006B4BE1" w:rsidRPr="00DC2ACD" w:rsidRDefault="006B4BE1" w:rsidP="00381C1B">
      <w:pPr>
        <w:rPr>
          <w:rFonts w:cs="Arial"/>
        </w:rPr>
      </w:pPr>
    </w:p>
    <w:p w14:paraId="2974E6F3" w14:textId="77777777" w:rsidR="00490917" w:rsidRPr="00DC2ACD" w:rsidRDefault="00490917" w:rsidP="00381C1B">
      <w:pPr>
        <w:rPr>
          <w:rFonts w:cs="Arial"/>
        </w:rPr>
      </w:pPr>
      <w:r w:rsidRPr="4B4AB2F0">
        <w:rPr>
          <w:rFonts w:cs="Arial"/>
        </w:rPr>
        <w:t xml:space="preserve">This statement shows the accounting cost in the year of providing services in accordance with generally accepted accounting practices, rather than the amount funded from taxation. Authorities raise taxation to cover expenditure in accordance with regulations; this may be different from the accounting cost. The taxation position is shown in both the Expenditure and Funding Analysis and the Movement in Reserves Statement. </w:t>
      </w:r>
    </w:p>
    <w:p w14:paraId="3FBFA4EB" w14:textId="77777777" w:rsidR="00490917" w:rsidRPr="00DC2ACD" w:rsidRDefault="00490917" w:rsidP="00381C1B">
      <w:pPr>
        <w:rPr>
          <w:rFonts w:cs="Arial"/>
        </w:rPr>
      </w:pPr>
    </w:p>
    <w:p w14:paraId="07B79A45" w14:textId="572ED2B9" w:rsidR="00490917" w:rsidRPr="00DC2ACD" w:rsidRDefault="00490917" w:rsidP="00381C1B">
      <w:pPr>
        <w:rPr>
          <w:rFonts w:cs="Arial"/>
        </w:rPr>
      </w:pPr>
      <w:r w:rsidRPr="4B4AB2F0">
        <w:rPr>
          <w:rFonts w:cs="Arial"/>
        </w:rPr>
        <w:t>Movement in Reserves Statement</w:t>
      </w:r>
    </w:p>
    <w:p w14:paraId="5D67B02E" w14:textId="77777777" w:rsidR="00490917" w:rsidRPr="00DC2ACD" w:rsidRDefault="00490917" w:rsidP="00381C1B">
      <w:pPr>
        <w:rPr>
          <w:rFonts w:cs="Arial"/>
        </w:rPr>
      </w:pPr>
    </w:p>
    <w:p w14:paraId="0F959B18" w14:textId="63903C26" w:rsidR="00490917" w:rsidRPr="00DC2ACD" w:rsidRDefault="00490917" w:rsidP="00381C1B">
      <w:pPr>
        <w:ind w:right="-341"/>
        <w:rPr>
          <w:rFonts w:cs="Arial"/>
        </w:rPr>
      </w:pPr>
      <w:r w:rsidRPr="4B4AB2F0">
        <w:rPr>
          <w:rFonts w:cs="Arial"/>
        </w:rPr>
        <w:t>This statement shows the movement in the year on the different reserves held by the Authority, analysed into ‘Usable Reserves’ (those that can be applied to fund expenditure or reduce local taxation) and other reserves. The Surplus or (Deficit) on the provision of services line shows the true economic cost of providing the Authority’s services, more details of which are shown in the Comprehensive Income and Expenditure Statement. These are different from the statutory amounts required to be charged to the General Fund Balance and the Comprehensive Income and Expenditure Statement for council tax setting purposes. The Net Increase</w:t>
      </w:r>
      <w:r w:rsidR="00F51C1A">
        <w:rPr>
          <w:rFonts w:cs="Arial"/>
        </w:rPr>
        <w:t xml:space="preserve"> or d</w:t>
      </w:r>
      <w:r w:rsidRPr="4B4AB2F0">
        <w:rPr>
          <w:rFonts w:cs="Arial"/>
        </w:rPr>
        <w:t xml:space="preserve">ecrease before Transfers to Earmarked Reserves line shows the statutory General Fund Balance before any discretionary transfers to or from Earmarked Reserves undertaken by the Authority. </w:t>
      </w:r>
    </w:p>
    <w:p w14:paraId="12EF47FE" w14:textId="77777777" w:rsidR="00490917" w:rsidRPr="00DC2ACD" w:rsidRDefault="00490917" w:rsidP="00381C1B">
      <w:pPr>
        <w:rPr>
          <w:rFonts w:cs="Arial"/>
        </w:rPr>
      </w:pPr>
    </w:p>
    <w:p w14:paraId="0534DDA6" w14:textId="53BB7093" w:rsidR="00490917" w:rsidRPr="00DC2ACD" w:rsidRDefault="00490917" w:rsidP="00381C1B">
      <w:pPr>
        <w:rPr>
          <w:rFonts w:cs="Arial"/>
        </w:rPr>
      </w:pPr>
      <w:r w:rsidRPr="4B4AB2F0">
        <w:rPr>
          <w:rFonts w:cs="Arial"/>
        </w:rPr>
        <w:t>Balance Sheet</w:t>
      </w:r>
    </w:p>
    <w:p w14:paraId="0BA14997" w14:textId="77777777" w:rsidR="00490917" w:rsidRPr="00DC2ACD" w:rsidRDefault="00490917" w:rsidP="00381C1B">
      <w:pPr>
        <w:rPr>
          <w:rFonts w:cs="Arial"/>
        </w:rPr>
      </w:pPr>
    </w:p>
    <w:p w14:paraId="5EBAFCE6" w14:textId="758E43AC" w:rsidR="00490917" w:rsidRPr="00DC2ACD" w:rsidRDefault="00490917" w:rsidP="007963B2">
      <w:pPr>
        <w:pStyle w:val="BalloonText"/>
        <w:rPr>
          <w:rFonts w:cs="Arial"/>
        </w:rPr>
      </w:pPr>
      <w:r w:rsidRPr="4B4AB2F0">
        <w:rPr>
          <w:rFonts w:ascii="Arial" w:hAnsi="Arial" w:cs="Arial"/>
          <w:sz w:val="24"/>
          <w:szCs w:val="24"/>
        </w:rPr>
        <w:t xml:space="preserve">The Balance Sheet shows the value as at the Balance Sheet date of the assets and liabilities recognised by the Authority. The net assets of the Authority (assets less liabilities) are matched by the reserves held by the Authority. Reserves are reported in two categories, usable reserves are those that the Authority may use to provide services, subject to the need to maintain a prudent level of reserves and any statutory limitations on their use (for example capital receipts may only be used to fund capital expenditure). The second category is unusable </w:t>
      </w:r>
      <w:r w:rsidR="00B66D51" w:rsidRPr="4B4AB2F0">
        <w:rPr>
          <w:rFonts w:ascii="Arial" w:hAnsi="Arial" w:cs="Arial"/>
          <w:sz w:val="24"/>
          <w:szCs w:val="24"/>
        </w:rPr>
        <w:t>reserves and</w:t>
      </w:r>
      <w:r w:rsidRPr="4B4AB2F0">
        <w:rPr>
          <w:rFonts w:ascii="Arial" w:hAnsi="Arial" w:cs="Arial"/>
          <w:sz w:val="24"/>
          <w:szCs w:val="24"/>
        </w:rPr>
        <w:t xml:space="preserve"> includes reserves that hold unrealised gains and losses (</w:t>
      </w:r>
      <w:r w:rsidR="00AA3FF8" w:rsidRPr="4B4AB2F0">
        <w:rPr>
          <w:rFonts w:ascii="Arial" w:hAnsi="Arial" w:cs="Arial"/>
          <w:sz w:val="24"/>
          <w:szCs w:val="24"/>
        </w:rPr>
        <w:t>for example</w:t>
      </w:r>
      <w:r w:rsidRPr="4B4AB2F0">
        <w:rPr>
          <w:rFonts w:ascii="Arial" w:hAnsi="Arial" w:cs="Arial"/>
          <w:sz w:val="24"/>
          <w:szCs w:val="24"/>
        </w:rPr>
        <w:t xml:space="preserve"> the revaluation reserve), where amounts would only become available to provide services if the assets are sold; and reserves that hold timing differences shown in the Movement in Reserves Statement line ‘Adjustments between accounting basis and funding basis under regulations’.</w:t>
      </w:r>
    </w:p>
    <w:p w14:paraId="30D3355E" w14:textId="046424AE" w:rsidR="00490917" w:rsidRPr="00D948C1" w:rsidRDefault="00490917" w:rsidP="095637AE">
      <w:pPr>
        <w:rPr>
          <w:highlight w:val="green"/>
        </w:rPr>
        <w:sectPr w:rsidR="00490917" w:rsidRPr="00D948C1" w:rsidSect="0050229D">
          <w:headerReference w:type="even" r:id="rId23"/>
          <w:headerReference w:type="default" r:id="rId24"/>
          <w:footerReference w:type="default" r:id="rId25"/>
          <w:headerReference w:type="first" r:id="rId26"/>
          <w:pgSz w:w="11907" w:h="16840" w:code="9"/>
          <w:pgMar w:top="851" w:right="851" w:bottom="737" w:left="1134" w:header="720" w:footer="720" w:gutter="0"/>
          <w:pgNumType w:start="1"/>
          <w:cols w:space="720"/>
        </w:sectPr>
      </w:pPr>
    </w:p>
    <w:p w14:paraId="46B3D8AE" w14:textId="2F93E239" w:rsidR="003601D2" w:rsidRPr="00D948C1" w:rsidRDefault="002618EE" w:rsidP="007461FD">
      <w:pPr>
        <w:pStyle w:val="Heading1"/>
        <w:rPr>
          <w:szCs w:val="24"/>
        </w:rPr>
      </w:pPr>
      <w:bookmarkStart w:id="10" w:name="CIES"/>
      <w:bookmarkStart w:id="11" w:name="_Toc233717514"/>
      <w:bookmarkEnd w:id="10"/>
      <w:r w:rsidRPr="00D948C1">
        <w:rPr>
          <w:szCs w:val="24"/>
        </w:rPr>
        <w:lastRenderedPageBreak/>
        <w:t>Comprehensive Income and Expenditure Statement</w:t>
      </w:r>
      <w:bookmarkEnd w:id="11"/>
    </w:p>
    <w:p w14:paraId="2F66E868" w14:textId="34F0AFB0" w:rsidR="003601D2" w:rsidRPr="00D948C1" w:rsidRDefault="003601D2" w:rsidP="007461FD">
      <w:pPr>
        <w:rPr>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1039"/>
        <w:gridCol w:w="1497"/>
        <w:gridCol w:w="1234"/>
        <w:gridCol w:w="1497"/>
        <w:gridCol w:w="1497"/>
        <w:gridCol w:w="1484"/>
        <w:gridCol w:w="1497"/>
      </w:tblGrid>
      <w:tr w:rsidR="004A22B4" w:rsidRPr="00D948C1" w14:paraId="6FE25F9C" w14:textId="77777777" w:rsidTr="004A22B4">
        <w:trPr>
          <w:tblHeader/>
        </w:trPr>
        <w:tc>
          <w:tcPr>
            <w:tcW w:w="2144" w:type="pct"/>
            <w:gridSpan w:val="2"/>
            <w:shd w:val="clear" w:color="auto" w:fill="BD2716"/>
          </w:tcPr>
          <w:p w14:paraId="11BEC3C7" w14:textId="77777777" w:rsidR="004A22B4" w:rsidRPr="00D948C1" w:rsidRDefault="004A22B4" w:rsidP="004A22B4">
            <w:pPr>
              <w:jc w:val="center"/>
              <w:rPr>
                <w:rFonts w:cs="Arial"/>
                <w:color w:val="FFFFFF" w:themeColor="background1"/>
                <w:szCs w:val="24"/>
              </w:rPr>
            </w:pPr>
          </w:p>
        </w:tc>
        <w:tc>
          <w:tcPr>
            <w:tcW w:w="491" w:type="pct"/>
            <w:shd w:val="clear" w:color="auto" w:fill="BD2716"/>
            <w:vAlign w:val="center"/>
          </w:tcPr>
          <w:p w14:paraId="42DD9532" w14:textId="76320B2C" w:rsidR="004A22B4" w:rsidRPr="00D948C1" w:rsidRDefault="001A42DD" w:rsidP="004A22B4">
            <w:pPr>
              <w:jc w:val="center"/>
              <w:rPr>
                <w:rFonts w:cs="Arial"/>
                <w:color w:val="FFFFFF" w:themeColor="background1"/>
                <w:szCs w:val="24"/>
              </w:rPr>
            </w:pPr>
            <w:r>
              <w:rPr>
                <w:rFonts w:cs="Arial"/>
                <w:color w:val="FFFFFF" w:themeColor="background1"/>
                <w:szCs w:val="24"/>
              </w:rPr>
              <w:t>2025-26</w:t>
            </w:r>
          </w:p>
        </w:tc>
        <w:tc>
          <w:tcPr>
            <w:tcW w:w="405" w:type="pct"/>
            <w:shd w:val="clear" w:color="auto" w:fill="BD2716"/>
            <w:vAlign w:val="center"/>
          </w:tcPr>
          <w:p w14:paraId="49B17448" w14:textId="4B999BE0" w:rsidR="004A22B4" w:rsidRPr="00D948C1" w:rsidRDefault="001A42DD" w:rsidP="004A22B4">
            <w:pPr>
              <w:jc w:val="center"/>
              <w:rPr>
                <w:rFonts w:cs="Arial"/>
                <w:color w:val="FFFFFF" w:themeColor="background1"/>
                <w:szCs w:val="24"/>
              </w:rPr>
            </w:pPr>
            <w:r>
              <w:rPr>
                <w:rFonts w:cs="Arial"/>
                <w:color w:val="FFFFFF" w:themeColor="background1"/>
                <w:szCs w:val="24"/>
              </w:rPr>
              <w:t>2025-26</w:t>
            </w:r>
          </w:p>
        </w:tc>
        <w:tc>
          <w:tcPr>
            <w:tcW w:w="491" w:type="pct"/>
            <w:shd w:val="clear" w:color="auto" w:fill="BD2716"/>
            <w:vAlign w:val="center"/>
          </w:tcPr>
          <w:p w14:paraId="37C6D52F" w14:textId="4698A4C2" w:rsidR="004A22B4" w:rsidRPr="00D948C1" w:rsidRDefault="001A42DD" w:rsidP="004A22B4">
            <w:pPr>
              <w:jc w:val="center"/>
              <w:rPr>
                <w:rFonts w:cs="Arial"/>
                <w:color w:val="FFFFFF" w:themeColor="background1"/>
                <w:szCs w:val="24"/>
              </w:rPr>
            </w:pPr>
            <w:r>
              <w:rPr>
                <w:rFonts w:cs="Arial"/>
                <w:color w:val="FFFFFF" w:themeColor="background1"/>
                <w:szCs w:val="24"/>
              </w:rPr>
              <w:t>2025-26</w:t>
            </w:r>
          </w:p>
        </w:tc>
        <w:tc>
          <w:tcPr>
            <w:tcW w:w="491" w:type="pct"/>
            <w:shd w:val="clear" w:color="auto" w:fill="BD2716"/>
            <w:vAlign w:val="center"/>
          </w:tcPr>
          <w:p w14:paraId="6538A3D8" w14:textId="5BA9DFF2" w:rsidR="004A22B4" w:rsidRPr="00D948C1" w:rsidRDefault="001A42DD" w:rsidP="004A22B4">
            <w:pPr>
              <w:jc w:val="center"/>
              <w:rPr>
                <w:rFonts w:cs="Arial"/>
                <w:color w:val="FFFFFF" w:themeColor="background1"/>
                <w:szCs w:val="24"/>
              </w:rPr>
            </w:pPr>
            <w:r>
              <w:rPr>
                <w:rFonts w:cs="Arial"/>
                <w:color w:val="FFFFFF" w:themeColor="background1"/>
                <w:szCs w:val="24"/>
              </w:rPr>
              <w:t>2024-25</w:t>
            </w:r>
          </w:p>
        </w:tc>
        <w:tc>
          <w:tcPr>
            <w:tcW w:w="487" w:type="pct"/>
            <w:shd w:val="clear" w:color="auto" w:fill="BD2716"/>
            <w:vAlign w:val="center"/>
          </w:tcPr>
          <w:p w14:paraId="48F27F44" w14:textId="0BC221BA" w:rsidR="004A22B4" w:rsidRPr="00D948C1" w:rsidRDefault="001A42DD" w:rsidP="004A22B4">
            <w:pPr>
              <w:jc w:val="center"/>
              <w:rPr>
                <w:rFonts w:cs="Arial"/>
                <w:color w:val="FFFFFF" w:themeColor="background1"/>
                <w:szCs w:val="24"/>
              </w:rPr>
            </w:pPr>
            <w:r>
              <w:rPr>
                <w:rFonts w:cs="Arial"/>
                <w:color w:val="FFFFFF" w:themeColor="background1"/>
                <w:szCs w:val="24"/>
              </w:rPr>
              <w:t>2024-25</w:t>
            </w:r>
          </w:p>
        </w:tc>
        <w:tc>
          <w:tcPr>
            <w:tcW w:w="491" w:type="pct"/>
            <w:shd w:val="clear" w:color="auto" w:fill="BD2716"/>
            <w:vAlign w:val="center"/>
          </w:tcPr>
          <w:p w14:paraId="1A093FD4" w14:textId="298CA35F" w:rsidR="004A22B4" w:rsidRPr="00D948C1" w:rsidRDefault="001A42DD" w:rsidP="004A22B4">
            <w:pPr>
              <w:jc w:val="center"/>
              <w:rPr>
                <w:rFonts w:cs="Arial"/>
                <w:color w:val="FFFFFF" w:themeColor="background1"/>
                <w:szCs w:val="24"/>
              </w:rPr>
            </w:pPr>
            <w:r>
              <w:rPr>
                <w:rFonts w:cs="Arial"/>
                <w:color w:val="FFFFFF" w:themeColor="background1"/>
                <w:szCs w:val="24"/>
              </w:rPr>
              <w:t>2024-25</w:t>
            </w:r>
          </w:p>
        </w:tc>
      </w:tr>
      <w:tr w:rsidR="009B03ED" w:rsidRPr="00D948C1" w14:paraId="19EE22C3" w14:textId="77777777" w:rsidTr="004A22B4">
        <w:trPr>
          <w:tblHeader/>
        </w:trPr>
        <w:tc>
          <w:tcPr>
            <w:tcW w:w="1803" w:type="pct"/>
            <w:shd w:val="clear" w:color="auto" w:fill="BD2716"/>
            <w:vAlign w:val="bottom"/>
          </w:tcPr>
          <w:p w14:paraId="6D2765AD" w14:textId="7B43C593" w:rsidR="009B03ED" w:rsidRPr="00D948C1" w:rsidRDefault="009B03ED" w:rsidP="009B03ED">
            <w:pPr>
              <w:rPr>
                <w:rFonts w:cs="Arial"/>
                <w:color w:val="FFFFFF" w:themeColor="background1"/>
                <w:szCs w:val="24"/>
              </w:rPr>
            </w:pPr>
          </w:p>
        </w:tc>
        <w:tc>
          <w:tcPr>
            <w:tcW w:w="341" w:type="pct"/>
            <w:shd w:val="clear" w:color="auto" w:fill="BD2716"/>
            <w:vAlign w:val="center"/>
          </w:tcPr>
          <w:p w14:paraId="0B3E2190" w14:textId="417DF9EF" w:rsidR="009B03ED" w:rsidRPr="00D948C1" w:rsidRDefault="009B03ED" w:rsidP="009B03ED">
            <w:pPr>
              <w:rPr>
                <w:rFonts w:cs="Arial"/>
                <w:color w:val="FFFFFF" w:themeColor="background1"/>
                <w:szCs w:val="24"/>
              </w:rPr>
            </w:pPr>
            <w:r w:rsidRPr="00D948C1">
              <w:rPr>
                <w:rFonts w:cs="Arial"/>
                <w:color w:val="FFFFFF" w:themeColor="background1"/>
                <w:szCs w:val="24"/>
              </w:rPr>
              <w:t>Notes</w:t>
            </w:r>
          </w:p>
        </w:tc>
        <w:tc>
          <w:tcPr>
            <w:tcW w:w="491" w:type="pct"/>
            <w:shd w:val="clear" w:color="auto" w:fill="BD2716"/>
            <w:vAlign w:val="center"/>
          </w:tcPr>
          <w:p w14:paraId="7F0D25BA"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366D3F17"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5F23210B" w14:textId="181A2C33"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05" w:type="pct"/>
            <w:shd w:val="clear" w:color="auto" w:fill="BD2716"/>
            <w:vAlign w:val="center"/>
          </w:tcPr>
          <w:p w14:paraId="0C88F982"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7DD8AF76"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Income</w:t>
            </w:r>
          </w:p>
          <w:p w14:paraId="5A1FAE2D" w14:textId="7CD04DC1"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377CBF58" w14:textId="7E860CC3" w:rsidR="009B03ED" w:rsidRPr="00D948C1" w:rsidRDefault="00B50DE8" w:rsidP="009B03ED">
            <w:pPr>
              <w:jc w:val="right"/>
              <w:rPr>
                <w:rFonts w:cs="Arial"/>
                <w:color w:val="FFFFFF" w:themeColor="background1"/>
                <w:szCs w:val="24"/>
              </w:rPr>
            </w:pPr>
            <w:r>
              <w:rPr>
                <w:rFonts w:cs="Arial"/>
                <w:color w:val="FFFFFF" w:themeColor="background1"/>
                <w:szCs w:val="24"/>
              </w:rPr>
              <w:t>Net</w:t>
            </w:r>
          </w:p>
          <w:p w14:paraId="47C57533"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54485FE4" w14:textId="7D2E0462"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770A85E4"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Gross</w:t>
            </w:r>
          </w:p>
          <w:p w14:paraId="69BF640D" w14:textId="62E402A9" w:rsidR="009B03ED" w:rsidRPr="00D948C1" w:rsidRDefault="001A0693" w:rsidP="009B03ED">
            <w:pPr>
              <w:jc w:val="right"/>
              <w:rPr>
                <w:rFonts w:cs="Arial"/>
                <w:color w:val="FFFFFF" w:themeColor="background1"/>
                <w:szCs w:val="24"/>
              </w:rPr>
            </w:pPr>
            <w:r>
              <w:rPr>
                <w:rFonts w:cs="Arial"/>
                <w:color w:val="FFFFFF" w:themeColor="background1"/>
                <w:szCs w:val="24"/>
              </w:rPr>
              <w:t>Expenditure</w:t>
            </w:r>
          </w:p>
          <w:p w14:paraId="7204DA13" w14:textId="6E6E3A09"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87" w:type="pct"/>
            <w:shd w:val="clear" w:color="auto" w:fill="BD2716"/>
            <w:vAlign w:val="center"/>
          </w:tcPr>
          <w:p w14:paraId="694B10E9" w14:textId="77AC908A" w:rsidR="009B03ED" w:rsidRPr="00D948C1" w:rsidRDefault="00B50DE8" w:rsidP="009B03ED">
            <w:pPr>
              <w:jc w:val="right"/>
              <w:rPr>
                <w:rFonts w:cs="Arial"/>
                <w:color w:val="FFFFFF" w:themeColor="background1"/>
                <w:szCs w:val="24"/>
              </w:rPr>
            </w:pPr>
            <w:r>
              <w:rPr>
                <w:rFonts w:cs="Arial"/>
                <w:color w:val="FFFFFF" w:themeColor="background1"/>
                <w:szCs w:val="24"/>
              </w:rPr>
              <w:t>Gross</w:t>
            </w:r>
          </w:p>
          <w:p w14:paraId="7FD4A317" w14:textId="03CB1726" w:rsidR="009B03ED" w:rsidRPr="00D948C1" w:rsidRDefault="001A0693" w:rsidP="009B03ED">
            <w:pPr>
              <w:jc w:val="right"/>
              <w:rPr>
                <w:rFonts w:cs="Arial"/>
                <w:color w:val="FFFFFF" w:themeColor="background1"/>
                <w:szCs w:val="24"/>
              </w:rPr>
            </w:pPr>
            <w:r>
              <w:rPr>
                <w:rFonts w:cs="Arial"/>
                <w:color w:val="FFFFFF" w:themeColor="background1"/>
                <w:szCs w:val="24"/>
              </w:rPr>
              <w:t>Incom</w:t>
            </w:r>
            <w:r w:rsidR="009B03ED" w:rsidRPr="00D948C1">
              <w:rPr>
                <w:rFonts w:cs="Arial"/>
                <w:color w:val="FFFFFF" w:themeColor="background1"/>
                <w:szCs w:val="24"/>
              </w:rPr>
              <w:t>e</w:t>
            </w:r>
          </w:p>
          <w:p w14:paraId="0942EE26" w14:textId="1B81B181"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c>
          <w:tcPr>
            <w:tcW w:w="491" w:type="pct"/>
            <w:shd w:val="clear" w:color="auto" w:fill="BD2716"/>
            <w:vAlign w:val="center"/>
          </w:tcPr>
          <w:p w14:paraId="1EACF96F"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Net</w:t>
            </w:r>
          </w:p>
          <w:p w14:paraId="6CE9E2C6" w14:textId="77777777" w:rsidR="009B03ED" w:rsidRPr="00D948C1" w:rsidRDefault="009B03ED" w:rsidP="009B03ED">
            <w:pPr>
              <w:jc w:val="right"/>
              <w:rPr>
                <w:rFonts w:cs="Arial"/>
                <w:color w:val="FFFFFF" w:themeColor="background1"/>
                <w:szCs w:val="24"/>
              </w:rPr>
            </w:pPr>
            <w:r w:rsidRPr="00D948C1">
              <w:rPr>
                <w:rFonts w:cs="Arial"/>
                <w:color w:val="FFFFFF" w:themeColor="background1"/>
                <w:szCs w:val="24"/>
              </w:rPr>
              <w:t>Expenditure</w:t>
            </w:r>
          </w:p>
          <w:p w14:paraId="6BC25971" w14:textId="63ADC2C2" w:rsidR="009B03ED" w:rsidRPr="00D948C1" w:rsidRDefault="009B03ED" w:rsidP="009B03ED">
            <w:pPr>
              <w:jc w:val="right"/>
              <w:rPr>
                <w:rFonts w:cs="Arial"/>
                <w:color w:val="FFFFFF" w:themeColor="background1"/>
                <w:szCs w:val="24"/>
              </w:rPr>
            </w:pPr>
            <w:r w:rsidRPr="00D948C1">
              <w:rPr>
                <w:rFonts w:cs="Arial"/>
                <w:color w:val="FFFFFF" w:themeColor="background1"/>
                <w:szCs w:val="24"/>
              </w:rPr>
              <w:t>£000</w:t>
            </w:r>
          </w:p>
        </w:tc>
      </w:tr>
      <w:tr w:rsidR="00233A66" w:rsidRPr="00D948C1" w14:paraId="1D33EFD1" w14:textId="77777777" w:rsidTr="6498351E">
        <w:tc>
          <w:tcPr>
            <w:tcW w:w="5000" w:type="pct"/>
            <w:gridSpan w:val="8"/>
            <w:shd w:val="clear" w:color="auto" w:fill="D9D9D9" w:themeFill="background1" w:themeFillShade="D9"/>
            <w:vAlign w:val="bottom"/>
          </w:tcPr>
          <w:p w14:paraId="13401A0C" w14:textId="26694FFB" w:rsidR="00233A66" w:rsidRPr="00D948C1" w:rsidRDefault="00233A66" w:rsidP="00233A66">
            <w:pPr>
              <w:tabs>
                <w:tab w:val="decimal" w:pos="742"/>
              </w:tabs>
              <w:rPr>
                <w:rFonts w:cs="Arial"/>
                <w:b/>
                <w:bCs/>
                <w:szCs w:val="24"/>
              </w:rPr>
            </w:pPr>
            <w:r w:rsidRPr="00D948C1">
              <w:rPr>
                <w:rFonts w:cs="Arial"/>
                <w:b/>
                <w:bCs/>
                <w:szCs w:val="24"/>
              </w:rPr>
              <w:t>Continuing operations:</w:t>
            </w:r>
          </w:p>
        </w:tc>
      </w:tr>
      <w:tr w:rsidR="004A22B4" w:rsidRPr="00D948C1" w14:paraId="2B8F9742" w14:textId="77777777" w:rsidTr="004A22B4">
        <w:tc>
          <w:tcPr>
            <w:tcW w:w="1803" w:type="pct"/>
          </w:tcPr>
          <w:p w14:paraId="3E08B6ED" w14:textId="77777777" w:rsidR="004A22B4" w:rsidRPr="007963B2" w:rsidRDefault="004A22B4" w:rsidP="004A22B4">
            <w:pPr>
              <w:rPr>
                <w:rFonts w:cs="Arial"/>
              </w:rPr>
            </w:pPr>
            <w:r w:rsidRPr="007963B2">
              <w:rPr>
                <w:rFonts w:cs="Arial"/>
              </w:rPr>
              <w:t>Service Delivery</w:t>
            </w:r>
          </w:p>
        </w:tc>
        <w:tc>
          <w:tcPr>
            <w:tcW w:w="341" w:type="pct"/>
            <w:vAlign w:val="center"/>
          </w:tcPr>
          <w:p w14:paraId="651EE92A" w14:textId="18EA2D74" w:rsidR="004A22B4" w:rsidRPr="003C4BF5" w:rsidRDefault="004A22B4" w:rsidP="004A22B4">
            <w:pPr>
              <w:jc w:val="center"/>
              <w:rPr>
                <w:rStyle w:val="Hyperlink"/>
              </w:rPr>
            </w:pPr>
            <w:hyperlink w:anchor="Notes">
              <w:r w:rsidRPr="003C4BF5">
                <w:rPr>
                  <w:rStyle w:val="Hyperlink"/>
                </w:rPr>
                <w:t>1</w:t>
              </w:r>
            </w:hyperlink>
          </w:p>
        </w:tc>
        <w:tc>
          <w:tcPr>
            <w:tcW w:w="491" w:type="pct"/>
            <w:vAlign w:val="center"/>
          </w:tcPr>
          <w:p w14:paraId="6F5E8081" w14:textId="276F722F" w:rsidR="004A22B4" w:rsidRPr="00E90347" w:rsidRDefault="00CE6F26" w:rsidP="004A22B4">
            <w:pPr>
              <w:tabs>
                <w:tab w:val="decimal" w:pos="884"/>
              </w:tabs>
              <w:jc w:val="right"/>
              <w:rPr>
                <w:rFonts w:cs="Arial"/>
              </w:rPr>
            </w:pPr>
            <w:r>
              <w:rPr>
                <w:rFonts w:cs="Arial"/>
              </w:rPr>
              <w:t>27,485</w:t>
            </w:r>
          </w:p>
        </w:tc>
        <w:tc>
          <w:tcPr>
            <w:tcW w:w="405" w:type="pct"/>
            <w:vAlign w:val="center"/>
          </w:tcPr>
          <w:p w14:paraId="1774CFF9" w14:textId="454B71DD" w:rsidR="004A22B4" w:rsidRPr="00E90347" w:rsidRDefault="00CE6F26" w:rsidP="004A22B4">
            <w:pPr>
              <w:tabs>
                <w:tab w:val="decimal" w:pos="742"/>
              </w:tabs>
              <w:jc w:val="right"/>
              <w:rPr>
                <w:rFonts w:cs="Arial"/>
              </w:rPr>
            </w:pPr>
            <w:r>
              <w:rPr>
                <w:rFonts w:cs="Arial"/>
              </w:rPr>
              <w:t>(4,101)</w:t>
            </w:r>
          </w:p>
        </w:tc>
        <w:tc>
          <w:tcPr>
            <w:tcW w:w="491" w:type="pct"/>
            <w:vAlign w:val="center"/>
          </w:tcPr>
          <w:p w14:paraId="775B47B7" w14:textId="13E91C31" w:rsidR="004A22B4" w:rsidRPr="00E90347" w:rsidRDefault="00CE6F26" w:rsidP="004A22B4">
            <w:pPr>
              <w:tabs>
                <w:tab w:val="decimal" w:pos="742"/>
              </w:tabs>
              <w:jc w:val="right"/>
              <w:rPr>
                <w:rFonts w:cs="Arial"/>
              </w:rPr>
            </w:pPr>
            <w:r>
              <w:rPr>
                <w:rFonts w:cs="Arial"/>
              </w:rPr>
              <w:t>23,383</w:t>
            </w:r>
          </w:p>
        </w:tc>
        <w:tc>
          <w:tcPr>
            <w:tcW w:w="491" w:type="pct"/>
            <w:vAlign w:val="center"/>
          </w:tcPr>
          <w:p w14:paraId="03DB2388" w14:textId="54C8FAD6" w:rsidR="004A22B4" w:rsidRPr="00E90347" w:rsidRDefault="004A22B4" w:rsidP="004A22B4">
            <w:pPr>
              <w:tabs>
                <w:tab w:val="decimal" w:pos="884"/>
              </w:tabs>
              <w:jc w:val="right"/>
              <w:rPr>
                <w:rFonts w:cs="Arial"/>
              </w:rPr>
            </w:pPr>
            <w:r w:rsidRPr="00E90347">
              <w:rPr>
                <w:rFonts w:cs="Arial"/>
              </w:rPr>
              <w:t>25,881</w:t>
            </w:r>
          </w:p>
        </w:tc>
        <w:tc>
          <w:tcPr>
            <w:tcW w:w="487" w:type="pct"/>
            <w:vAlign w:val="center"/>
          </w:tcPr>
          <w:p w14:paraId="08EEC930" w14:textId="214F854A" w:rsidR="004A22B4" w:rsidRPr="00E90347" w:rsidRDefault="004A22B4" w:rsidP="004A22B4">
            <w:pPr>
              <w:tabs>
                <w:tab w:val="decimal" w:pos="742"/>
              </w:tabs>
              <w:jc w:val="right"/>
              <w:rPr>
                <w:rFonts w:cs="Arial"/>
              </w:rPr>
            </w:pPr>
            <w:r w:rsidRPr="00E90347">
              <w:rPr>
                <w:rFonts w:cs="Arial"/>
              </w:rPr>
              <w:t>(2,409)</w:t>
            </w:r>
          </w:p>
        </w:tc>
        <w:tc>
          <w:tcPr>
            <w:tcW w:w="491" w:type="pct"/>
            <w:vAlign w:val="center"/>
          </w:tcPr>
          <w:p w14:paraId="4BA8F36E" w14:textId="1543E89A" w:rsidR="004A22B4" w:rsidRPr="00E90347" w:rsidRDefault="004A22B4" w:rsidP="004A22B4">
            <w:pPr>
              <w:tabs>
                <w:tab w:val="decimal" w:pos="742"/>
              </w:tabs>
              <w:jc w:val="right"/>
              <w:rPr>
                <w:rFonts w:cs="Arial"/>
              </w:rPr>
            </w:pPr>
            <w:r w:rsidRPr="00E90347">
              <w:rPr>
                <w:rFonts w:cs="Arial"/>
              </w:rPr>
              <w:t>23,473</w:t>
            </w:r>
          </w:p>
        </w:tc>
      </w:tr>
      <w:tr w:rsidR="004A22B4" w:rsidRPr="00D948C1" w14:paraId="565D8198" w14:textId="77777777" w:rsidTr="004A22B4">
        <w:trPr>
          <w:trHeight w:val="246"/>
        </w:trPr>
        <w:tc>
          <w:tcPr>
            <w:tcW w:w="1803" w:type="pct"/>
          </w:tcPr>
          <w:p w14:paraId="2DF266EC" w14:textId="77777777" w:rsidR="004A22B4" w:rsidRPr="00E90347" w:rsidRDefault="004A22B4" w:rsidP="004A22B4">
            <w:pPr>
              <w:rPr>
                <w:rFonts w:cs="Arial"/>
              </w:rPr>
            </w:pPr>
            <w:r w:rsidRPr="00E90347">
              <w:rPr>
                <w:rFonts w:cs="Arial"/>
              </w:rPr>
              <w:t>Strategy and Planning</w:t>
            </w:r>
          </w:p>
        </w:tc>
        <w:tc>
          <w:tcPr>
            <w:tcW w:w="341" w:type="pct"/>
            <w:vAlign w:val="center"/>
          </w:tcPr>
          <w:p w14:paraId="5B815C91" w14:textId="6ADE76A2"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47634499" w14:textId="2A890043" w:rsidR="004A22B4" w:rsidRPr="00E90347" w:rsidRDefault="00CE6F26" w:rsidP="004A22B4">
            <w:pPr>
              <w:tabs>
                <w:tab w:val="decimal" w:pos="884"/>
              </w:tabs>
              <w:jc w:val="right"/>
              <w:rPr>
                <w:rFonts w:cs="Arial"/>
              </w:rPr>
            </w:pPr>
            <w:r>
              <w:rPr>
                <w:rFonts w:cs="Arial"/>
              </w:rPr>
              <w:t>12,475</w:t>
            </w:r>
          </w:p>
        </w:tc>
        <w:tc>
          <w:tcPr>
            <w:tcW w:w="405" w:type="pct"/>
            <w:vAlign w:val="center"/>
          </w:tcPr>
          <w:p w14:paraId="464B8BC1" w14:textId="2ECBD2B1" w:rsidR="004A22B4" w:rsidRPr="00E90347" w:rsidRDefault="00CE6F26" w:rsidP="004A22B4">
            <w:pPr>
              <w:tabs>
                <w:tab w:val="decimal" w:pos="742"/>
              </w:tabs>
              <w:jc w:val="right"/>
              <w:rPr>
                <w:rFonts w:cs="Arial"/>
              </w:rPr>
            </w:pPr>
            <w:r>
              <w:rPr>
                <w:rFonts w:cs="Arial"/>
              </w:rPr>
              <w:t>(348)</w:t>
            </w:r>
          </w:p>
        </w:tc>
        <w:tc>
          <w:tcPr>
            <w:tcW w:w="491" w:type="pct"/>
            <w:vAlign w:val="center"/>
          </w:tcPr>
          <w:p w14:paraId="5B3D53B6" w14:textId="3A2829C2" w:rsidR="004A22B4" w:rsidRPr="00E90347" w:rsidRDefault="00CE6F26" w:rsidP="004A22B4">
            <w:pPr>
              <w:tabs>
                <w:tab w:val="decimal" w:pos="742"/>
              </w:tabs>
              <w:jc w:val="right"/>
              <w:rPr>
                <w:rFonts w:cs="Arial"/>
              </w:rPr>
            </w:pPr>
            <w:r>
              <w:rPr>
                <w:rFonts w:cs="Arial"/>
              </w:rPr>
              <w:t>12,127</w:t>
            </w:r>
          </w:p>
        </w:tc>
        <w:tc>
          <w:tcPr>
            <w:tcW w:w="491" w:type="pct"/>
            <w:vAlign w:val="center"/>
          </w:tcPr>
          <w:p w14:paraId="5AC15CD5" w14:textId="3433DFEB" w:rsidR="004A22B4" w:rsidRPr="00E90347" w:rsidRDefault="004A22B4" w:rsidP="004A22B4">
            <w:pPr>
              <w:tabs>
                <w:tab w:val="decimal" w:pos="884"/>
              </w:tabs>
              <w:jc w:val="right"/>
              <w:rPr>
                <w:rFonts w:cs="Arial"/>
              </w:rPr>
            </w:pPr>
            <w:r w:rsidRPr="00E90347">
              <w:rPr>
                <w:rFonts w:cs="Arial"/>
              </w:rPr>
              <w:t>12,801</w:t>
            </w:r>
          </w:p>
        </w:tc>
        <w:tc>
          <w:tcPr>
            <w:tcW w:w="487" w:type="pct"/>
            <w:vAlign w:val="center"/>
          </w:tcPr>
          <w:p w14:paraId="471350EA" w14:textId="45408661" w:rsidR="004A22B4" w:rsidRPr="00E90347" w:rsidRDefault="004A22B4" w:rsidP="004A22B4">
            <w:pPr>
              <w:tabs>
                <w:tab w:val="decimal" w:pos="742"/>
              </w:tabs>
              <w:jc w:val="right"/>
              <w:rPr>
                <w:rFonts w:cs="Arial"/>
              </w:rPr>
            </w:pPr>
            <w:r w:rsidRPr="00E90347">
              <w:rPr>
                <w:rFonts w:cs="Arial"/>
              </w:rPr>
              <w:t>(642)</w:t>
            </w:r>
          </w:p>
        </w:tc>
        <w:tc>
          <w:tcPr>
            <w:tcW w:w="491" w:type="pct"/>
            <w:vAlign w:val="center"/>
          </w:tcPr>
          <w:p w14:paraId="4B13EC4F" w14:textId="004F0953" w:rsidR="004A22B4" w:rsidRPr="00E90347" w:rsidRDefault="004A22B4" w:rsidP="004A22B4">
            <w:pPr>
              <w:tabs>
                <w:tab w:val="decimal" w:pos="742"/>
              </w:tabs>
              <w:jc w:val="right"/>
              <w:rPr>
                <w:rFonts w:cs="Arial"/>
              </w:rPr>
            </w:pPr>
            <w:r w:rsidRPr="00E90347">
              <w:rPr>
                <w:rFonts w:cs="Arial"/>
              </w:rPr>
              <w:t>12,159</w:t>
            </w:r>
          </w:p>
        </w:tc>
      </w:tr>
      <w:tr w:rsidR="004A22B4" w:rsidRPr="00D948C1" w14:paraId="79E29584" w14:textId="77777777" w:rsidTr="004A22B4">
        <w:tc>
          <w:tcPr>
            <w:tcW w:w="1803" w:type="pct"/>
          </w:tcPr>
          <w:p w14:paraId="5690E280" w14:textId="77777777" w:rsidR="004A22B4" w:rsidRPr="00E90347" w:rsidRDefault="004A22B4" w:rsidP="004A22B4">
            <w:pPr>
              <w:rPr>
                <w:rFonts w:cs="Arial"/>
              </w:rPr>
            </w:pPr>
            <w:r w:rsidRPr="00E90347">
              <w:rPr>
                <w:rFonts w:cs="Arial"/>
              </w:rPr>
              <w:t>People and Development</w:t>
            </w:r>
          </w:p>
        </w:tc>
        <w:tc>
          <w:tcPr>
            <w:tcW w:w="341" w:type="pct"/>
            <w:vAlign w:val="center"/>
          </w:tcPr>
          <w:p w14:paraId="1608DAEC" w14:textId="737A073B"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0F4E3347" w14:textId="2B9FD250" w:rsidR="004A22B4" w:rsidRPr="00E90347" w:rsidRDefault="00CE6F26" w:rsidP="004A22B4">
            <w:pPr>
              <w:tabs>
                <w:tab w:val="decimal" w:pos="884"/>
              </w:tabs>
              <w:jc w:val="right"/>
              <w:rPr>
                <w:rFonts w:cs="Arial"/>
              </w:rPr>
            </w:pPr>
            <w:r>
              <w:rPr>
                <w:rFonts w:cs="Arial"/>
              </w:rPr>
              <w:t>2,201</w:t>
            </w:r>
          </w:p>
        </w:tc>
        <w:tc>
          <w:tcPr>
            <w:tcW w:w="405" w:type="pct"/>
            <w:vAlign w:val="center"/>
          </w:tcPr>
          <w:p w14:paraId="4611D80D" w14:textId="5C5E8CEB" w:rsidR="004A22B4" w:rsidRPr="00E90347" w:rsidRDefault="00CE6F26" w:rsidP="004A22B4">
            <w:pPr>
              <w:tabs>
                <w:tab w:val="decimal" w:pos="742"/>
              </w:tabs>
              <w:jc w:val="right"/>
              <w:rPr>
                <w:rFonts w:cs="Arial"/>
              </w:rPr>
            </w:pPr>
            <w:r>
              <w:rPr>
                <w:rFonts w:cs="Arial"/>
              </w:rPr>
              <w:t>-</w:t>
            </w:r>
          </w:p>
        </w:tc>
        <w:tc>
          <w:tcPr>
            <w:tcW w:w="491" w:type="pct"/>
            <w:vAlign w:val="center"/>
          </w:tcPr>
          <w:p w14:paraId="359A3979" w14:textId="02388805" w:rsidR="004A22B4" w:rsidRPr="00E90347" w:rsidRDefault="00CE6F26" w:rsidP="004A22B4">
            <w:pPr>
              <w:tabs>
                <w:tab w:val="decimal" w:pos="742"/>
              </w:tabs>
              <w:jc w:val="right"/>
              <w:rPr>
                <w:rFonts w:cs="Arial"/>
              </w:rPr>
            </w:pPr>
            <w:r>
              <w:rPr>
                <w:rFonts w:cs="Arial"/>
              </w:rPr>
              <w:t>2,201</w:t>
            </w:r>
          </w:p>
        </w:tc>
        <w:tc>
          <w:tcPr>
            <w:tcW w:w="491" w:type="pct"/>
            <w:vAlign w:val="center"/>
          </w:tcPr>
          <w:p w14:paraId="789BAD1F" w14:textId="79F59F25" w:rsidR="004A22B4" w:rsidRPr="00E90347" w:rsidRDefault="004A22B4" w:rsidP="004A22B4">
            <w:pPr>
              <w:tabs>
                <w:tab w:val="decimal" w:pos="884"/>
              </w:tabs>
              <w:jc w:val="right"/>
              <w:rPr>
                <w:rFonts w:cs="Arial"/>
              </w:rPr>
            </w:pPr>
            <w:r w:rsidRPr="00E90347">
              <w:rPr>
                <w:rFonts w:cs="Arial"/>
              </w:rPr>
              <w:t>2,231</w:t>
            </w:r>
          </w:p>
        </w:tc>
        <w:tc>
          <w:tcPr>
            <w:tcW w:w="487" w:type="pct"/>
            <w:vAlign w:val="center"/>
          </w:tcPr>
          <w:p w14:paraId="074D7A1F" w14:textId="6B3F5BFF" w:rsidR="004A22B4" w:rsidRPr="00E90347" w:rsidRDefault="004A22B4" w:rsidP="004A22B4">
            <w:pPr>
              <w:tabs>
                <w:tab w:val="decimal" w:pos="742"/>
              </w:tabs>
              <w:jc w:val="right"/>
              <w:rPr>
                <w:rFonts w:cs="Arial"/>
              </w:rPr>
            </w:pPr>
            <w:r w:rsidRPr="00E90347">
              <w:rPr>
                <w:rFonts w:cs="Arial"/>
              </w:rPr>
              <w:t>-</w:t>
            </w:r>
          </w:p>
        </w:tc>
        <w:tc>
          <w:tcPr>
            <w:tcW w:w="491" w:type="pct"/>
            <w:vAlign w:val="center"/>
          </w:tcPr>
          <w:p w14:paraId="4252B47A" w14:textId="7385DFC8" w:rsidR="004A22B4" w:rsidRPr="00E90347" w:rsidRDefault="004A22B4" w:rsidP="004A22B4">
            <w:pPr>
              <w:tabs>
                <w:tab w:val="decimal" w:pos="742"/>
              </w:tabs>
              <w:jc w:val="right"/>
              <w:rPr>
                <w:rFonts w:cs="Arial"/>
              </w:rPr>
            </w:pPr>
            <w:r w:rsidRPr="00E90347">
              <w:rPr>
                <w:rFonts w:cs="Arial"/>
              </w:rPr>
              <w:t>2,231</w:t>
            </w:r>
          </w:p>
        </w:tc>
      </w:tr>
      <w:tr w:rsidR="004A22B4" w:rsidRPr="00D948C1" w14:paraId="47C41EE4" w14:textId="77777777" w:rsidTr="004A22B4">
        <w:tc>
          <w:tcPr>
            <w:tcW w:w="1803" w:type="pct"/>
          </w:tcPr>
          <w:p w14:paraId="79B5F3B9" w14:textId="77777777" w:rsidR="004A22B4" w:rsidRPr="00E90347" w:rsidRDefault="004A22B4" w:rsidP="004A22B4">
            <w:pPr>
              <w:rPr>
                <w:rFonts w:cs="Arial"/>
              </w:rPr>
            </w:pPr>
            <w:r w:rsidRPr="00E90347">
              <w:rPr>
                <w:rFonts w:cs="Arial"/>
              </w:rPr>
              <w:t>Corporate Services</w:t>
            </w:r>
          </w:p>
        </w:tc>
        <w:tc>
          <w:tcPr>
            <w:tcW w:w="341" w:type="pct"/>
            <w:vAlign w:val="center"/>
          </w:tcPr>
          <w:p w14:paraId="1A523C27" w14:textId="2B744F4E"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5453FBD6" w14:textId="2C6A8480" w:rsidR="004A22B4" w:rsidRPr="00E90347" w:rsidRDefault="00CE6F26" w:rsidP="004A22B4">
            <w:pPr>
              <w:tabs>
                <w:tab w:val="decimal" w:pos="884"/>
              </w:tabs>
              <w:jc w:val="right"/>
              <w:rPr>
                <w:rFonts w:cs="Arial"/>
              </w:rPr>
            </w:pPr>
            <w:r>
              <w:rPr>
                <w:rFonts w:cs="Arial"/>
              </w:rPr>
              <w:t>5,810</w:t>
            </w:r>
          </w:p>
        </w:tc>
        <w:tc>
          <w:tcPr>
            <w:tcW w:w="405" w:type="pct"/>
            <w:vAlign w:val="center"/>
          </w:tcPr>
          <w:p w14:paraId="34F135DB" w14:textId="3250EB30" w:rsidR="004A22B4" w:rsidRPr="00E90347" w:rsidRDefault="00CE6F26" w:rsidP="004A22B4">
            <w:pPr>
              <w:tabs>
                <w:tab w:val="decimal" w:pos="742"/>
              </w:tabs>
              <w:jc w:val="right"/>
              <w:rPr>
                <w:rFonts w:cs="Arial"/>
              </w:rPr>
            </w:pPr>
            <w:r>
              <w:rPr>
                <w:rFonts w:cs="Arial"/>
              </w:rPr>
              <w:t>-</w:t>
            </w:r>
          </w:p>
        </w:tc>
        <w:tc>
          <w:tcPr>
            <w:tcW w:w="491" w:type="pct"/>
            <w:vAlign w:val="center"/>
          </w:tcPr>
          <w:p w14:paraId="24ABE8BA" w14:textId="5F05A622" w:rsidR="004A22B4" w:rsidRPr="00E90347" w:rsidRDefault="00CE6F26" w:rsidP="004A22B4">
            <w:pPr>
              <w:tabs>
                <w:tab w:val="decimal" w:pos="742"/>
              </w:tabs>
              <w:jc w:val="right"/>
              <w:rPr>
                <w:rFonts w:cs="Arial"/>
              </w:rPr>
            </w:pPr>
            <w:r>
              <w:rPr>
                <w:rFonts w:cs="Arial"/>
              </w:rPr>
              <w:t>5,809</w:t>
            </w:r>
          </w:p>
        </w:tc>
        <w:tc>
          <w:tcPr>
            <w:tcW w:w="491" w:type="pct"/>
            <w:vAlign w:val="center"/>
          </w:tcPr>
          <w:p w14:paraId="720BFD10" w14:textId="452AFABD" w:rsidR="004A22B4" w:rsidRPr="00E90347" w:rsidRDefault="004A22B4" w:rsidP="004A22B4">
            <w:pPr>
              <w:tabs>
                <w:tab w:val="decimal" w:pos="884"/>
              </w:tabs>
              <w:jc w:val="right"/>
              <w:rPr>
                <w:rFonts w:cs="Arial"/>
              </w:rPr>
            </w:pPr>
            <w:r w:rsidRPr="00E90347">
              <w:rPr>
                <w:rFonts w:cs="Arial"/>
              </w:rPr>
              <w:t>5,616</w:t>
            </w:r>
          </w:p>
        </w:tc>
        <w:tc>
          <w:tcPr>
            <w:tcW w:w="487" w:type="pct"/>
            <w:vAlign w:val="center"/>
          </w:tcPr>
          <w:p w14:paraId="50F83251" w14:textId="244C4D6B" w:rsidR="004A22B4" w:rsidRPr="00E90347" w:rsidRDefault="004A22B4" w:rsidP="004A22B4">
            <w:pPr>
              <w:tabs>
                <w:tab w:val="decimal" w:pos="742"/>
              </w:tabs>
              <w:jc w:val="right"/>
              <w:rPr>
                <w:rFonts w:cs="Arial"/>
              </w:rPr>
            </w:pPr>
            <w:r w:rsidRPr="00E90347">
              <w:rPr>
                <w:rFonts w:cs="Arial"/>
              </w:rPr>
              <w:t>(6)</w:t>
            </w:r>
          </w:p>
        </w:tc>
        <w:tc>
          <w:tcPr>
            <w:tcW w:w="491" w:type="pct"/>
            <w:vAlign w:val="center"/>
          </w:tcPr>
          <w:p w14:paraId="5CAF2FA8" w14:textId="0039A8C0" w:rsidR="004A22B4" w:rsidRPr="00E90347" w:rsidRDefault="004A22B4" w:rsidP="004A22B4">
            <w:pPr>
              <w:tabs>
                <w:tab w:val="decimal" w:pos="742"/>
              </w:tabs>
              <w:jc w:val="right"/>
              <w:rPr>
                <w:rFonts w:cs="Arial"/>
              </w:rPr>
            </w:pPr>
            <w:r w:rsidRPr="00E90347">
              <w:rPr>
                <w:rFonts w:cs="Arial"/>
              </w:rPr>
              <w:t>5,610</w:t>
            </w:r>
          </w:p>
        </w:tc>
      </w:tr>
      <w:tr w:rsidR="004A22B4" w:rsidRPr="00D948C1" w14:paraId="72DC2F9D" w14:textId="77777777" w:rsidTr="004A22B4">
        <w:tc>
          <w:tcPr>
            <w:tcW w:w="1803" w:type="pct"/>
          </w:tcPr>
          <w:p w14:paraId="7AB536A3" w14:textId="77777777" w:rsidR="004A22B4" w:rsidRPr="00E90347" w:rsidRDefault="004A22B4" w:rsidP="004A22B4">
            <w:pPr>
              <w:rPr>
                <w:rFonts w:cs="Arial"/>
              </w:rPr>
            </w:pPr>
            <w:r w:rsidRPr="00E90347">
              <w:rPr>
                <w:rFonts w:cs="Arial"/>
              </w:rPr>
              <w:t>Fire-fighters Pensions</w:t>
            </w:r>
          </w:p>
        </w:tc>
        <w:tc>
          <w:tcPr>
            <w:tcW w:w="341" w:type="pct"/>
            <w:vAlign w:val="center"/>
          </w:tcPr>
          <w:p w14:paraId="599181E2" w14:textId="28133A54"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14FDF28B" w14:textId="3DF29E85" w:rsidR="004A22B4" w:rsidRPr="00E90347" w:rsidRDefault="00CE6F26" w:rsidP="004A22B4">
            <w:pPr>
              <w:tabs>
                <w:tab w:val="decimal" w:pos="884"/>
              </w:tabs>
              <w:jc w:val="right"/>
              <w:rPr>
                <w:rFonts w:cs="Arial"/>
              </w:rPr>
            </w:pPr>
            <w:r>
              <w:rPr>
                <w:rFonts w:cs="Arial"/>
              </w:rPr>
              <w:t>2,209</w:t>
            </w:r>
          </w:p>
        </w:tc>
        <w:tc>
          <w:tcPr>
            <w:tcW w:w="405" w:type="pct"/>
            <w:vAlign w:val="center"/>
          </w:tcPr>
          <w:p w14:paraId="6D4E848D" w14:textId="629FFAE5" w:rsidR="004A22B4" w:rsidRPr="00E90347" w:rsidRDefault="00CE6F26" w:rsidP="004A22B4">
            <w:pPr>
              <w:tabs>
                <w:tab w:val="decimal" w:pos="742"/>
              </w:tabs>
              <w:jc w:val="right"/>
              <w:rPr>
                <w:rFonts w:cs="Arial"/>
              </w:rPr>
            </w:pPr>
            <w:r>
              <w:rPr>
                <w:rFonts w:cs="Arial"/>
              </w:rPr>
              <w:t>(33)</w:t>
            </w:r>
          </w:p>
        </w:tc>
        <w:tc>
          <w:tcPr>
            <w:tcW w:w="491" w:type="pct"/>
            <w:vAlign w:val="center"/>
          </w:tcPr>
          <w:p w14:paraId="78400F0E" w14:textId="2D70EF3B" w:rsidR="004A22B4" w:rsidRPr="00E90347" w:rsidRDefault="00CE6F26" w:rsidP="004A22B4">
            <w:pPr>
              <w:tabs>
                <w:tab w:val="decimal" w:pos="742"/>
              </w:tabs>
              <w:jc w:val="right"/>
              <w:rPr>
                <w:rFonts w:cs="Arial"/>
              </w:rPr>
            </w:pPr>
            <w:r>
              <w:rPr>
                <w:rFonts w:cs="Arial"/>
              </w:rPr>
              <w:t>2,176</w:t>
            </w:r>
          </w:p>
        </w:tc>
        <w:tc>
          <w:tcPr>
            <w:tcW w:w="491" w:type="pct"/>
            <w:vAlign w:val="center"/>
          </w:tcPr>
          <w:p w14:paraId="4C8E7369" w14:textId="361BEEBF" w:rsidR="004A22B4" w:rsidRPr="00E90347" w:rsidRDefault="004A22B4" w:rsidP="004A22B4">
            <w:pPr>
              <w:tabs>
                <w:tab w:val="decimal" w:pos="884"/>
              </w:tabs>
              <w:jc w:val="right"/>
              <w:rPr>
                <w:rFonts w:cs="Arial"/>
              </w:rPr>
            </w:pPr>
            <w:r w:rsidRPr="00E90347">
              <w:rPr>
                <w:rFonts w:cs="Arial"/>
              </w:rPr>
              <w:t>1,412</w:t>
            </w:r>
          </w:p>
        </w:tc>
        <w:tc>
          <w:tcPr>
            <w:tcW w:w="487" w:type="pct"/>
            <w:vAlign w:val="center"/>
          </w:tcPr>
          <w:p w14:paraId="0FEE6F92" w14:textId="4CBDA162" w:rsidR="004A22B4" w:rsidRPr="00E90347" w:rsidRDefault="004A22B4" w:rsidP="004A22B4">
            <w:pPr>
              <w:tabs>
                <w:tab w:val="decimal" w:pos="742"/>
              </w:tabs>
              <w:jc w:val="right"/>
              <w:rPr>
                <w:rFonts w:cs="Arial"/>
              </w:rPr>
            </w:pPr>
            <w:r w:rsidRPr="00E90347">
              <w:rPr>
                <w:rFonts w:cs="Arial"/>
              </w:rPr>
              <w:t>-</w:t>
            </w:r>
          </w:p>
        </w:tc>
        <w:tc>
          <w:tcPr>
            <w:tcW w:w="491" w:type="pct"/>
            <w:vAlign w:val="center"/>
          </w:tcPr>
          <w:p w14:paraId="493AE125" w14:textId="683B057B" w:rsidR="004A22B4" w:rsidRPr="00E90347" w:rsidRDefault="004A22B4" w:rsidP="004A22B4">
            <w:pPr>
              <w:tabs>
                <w:tab w:val="decimal" w:pos="742"/>
              </w:tabs>
              <w:jc w:val="right"/>
              <w:rPr>
                <w:rFonts w:cs="Arial"/>
              </w:rPr>
            </w:pPr>
            <w:r w:rsidRPr="00E90347">
              <w:rPr>
                <w:rFonts w:cs="Arial"/>
              </w:rPr>
              <w:t>1,412</w:t>
            </w:r>
          </w:p>
        </w:tc>
      </w:tr>
      <w:tr w:rsidR="004A22B4" w:rsidRPr="00D948C1" w14:paraId="2482ECE7" w14:textId="77777777" w:rsidTr="004A22B4">
        <w:tc>
          <w:tcPr>
            <w:tcW w:w="1803" w:type="pct"/>
          </w:tcPr>
          <w:p w14:paraId="32A83FF2" w14:textId="77777777" w:rsidR="004A22B4" w:rsidRPr="00E90347" w:rsidRDefault="004A22B4" w:rsidP="004A22B4">
            <w:pPr>
              <w:rPr>
                <w:rFonts w:cs="Arial"/>
              </w:rPr>
            </w:pPr>
            <w:r w:rsidRPr="00E90347">
              <w:rPr>
                <w:rFonts w:cs="Arial"/>
              </w:rPr>
              <w:t>Overheads</w:t>
            </w:r>
          </w:p>
        </w:tc>
        <w:tc>
          <w:tcPr>
            <w:tcW w:w="341" w:type="pct"/>
            <w:vAlign w:val="center"/>
          </w:tcPr>
          <w:p w14:paraId="6B91D368" w14:textId="04B17DF0"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7BA9EB18" w14:textId="538E10E4" w:rsidR="004A22B4" w:rsidRPr="00E90347" w:rsidRDefault="00CE6F26" w:rsidP="004A22B4">
            <w:pPr>
              <w:tabs>
                <w:tab w:val="decimal" w:pos="884"/>
              </w:tabs>
              <w:jc w:val="right"/>
              <w:rPr>
                <w:rFonts w:cs="Arial"/>
              </w:rPr>
            </w:pPr>
            <w:r>
              <w:rPr>
                <w:rFonts w:cs="Arial"/>
              </w:rPr>
              <w:t>11,8</w:t>
            </w:r>
            <w:r w:rsidR="00FF5272">
              <w:rPr>
                <w:rFonts w:cs="Arial"/>
              </w:rPr>
              <w:t>00</w:t>
            </w:r>
          </w:p>
        </w:tc>
        <w:tc>
          <w:tcPr>
            <w:tcW w:w="405" w:type="pct"/>
            <w:vAlign w:val="center"/>
          </w:tcPr>
          <w:p w14:paraId="40AD0329" w14:textId="2B321797" w:rsidR="004A22B4" w:rsidRPr="00E90347" w:rsidRDefault="00CE6F26" w:rsidP="004A22B4">
            <w:pPr>
              <w:tabs>
                <w:tab w:val="decimal" w:pos="742"/>
              </w:tabs>
              <w:jc w:val="right"/>
              <w:rPr>
                <w:rFonts w:cs="Arial"/>
              </w:rPr>
            </w:pPr>
            <w:r>
              <w:rPr>
                <w:rFonts w:cs="Arial"/>
              </w:rPr>
              <w:t>(5,896)</w:t>
            </w:r>
          </w:p>
        </w:tc>
        <w:tc>
          <w:tcPr>
            <w:tcW w:w="491" w:type="pct"/>
            <w:vAlign w:val="center"/>
          </w:tcPr>
          <w:p w14:paraId="485F1715" w14:textId="63894625" w:rsidR="004A22B4" w:rsidRPr="00E90347" w:rsidRDefault="00CE6F26" w:rsidP="004A22B4">
            <w:pPr>
              <w:tabs>
                <w:tab w:val="decimal" w:pos="742"/>
              </w:tabs>
              <w:jc w:val="right"/>
              <w:rPr>
                <w:rFonts w:cs="Arial"/>
              </w:rPr>
            </w:pPr>
            <w:r>
              <w:rPr>
                <w:rFonts w:cs="Arial"/>
              </w:rPr>
              <w:t>5,9</w:t>
            </w:r>
            <w:r w:rsidR="00FF5272">
              <w:rPr>
                <w:rFonts w:cs="Arial"/>
              </w:rPr>
              <w:t>0</w:t>
            </w:r>
            <w:r>
              <w:rPr>
                <w:rFonts w:cs="Arial"/>
              </w:rPr>
              <w:t>4</w:t>
            </w:r>
          </w:p>
        </w:tc>
        <w:tc>
          <w:tcPr>
            <w:tcW w:w="491" w:type="pct"/>
            <w:vAlign w:val="center"/>
          </w:tcPr>
          <w:p w14:paraId="03055CA5" w14:textId="435A801F" w:rsidR="004A22B4" w:rsidRPr="00E90347" w:rsidRDefault="004A22B4" w:rsidP="004A22B4">
            <w:pPr>
              <w:tabs>
                <w:tab w:val="decimal" w:pos="884"/>
              </w:tabs>
              <w:jc w:val="right"/>
              <w:rPr>
                <w:rFonts w:cs="Arial"/>
              </w:rPr>
            </w:pPr>
            <w:r w:rsidRPr="00E90347">
              <w:rPr>
                <w:rFonts w:cs="Arial"/>
              </w:rPr>
              <w:t>10,875</w:t>
            </w:r>
          </w:p>
        </w:tc>
        <w:tc>
          <w:tcPr>
            <w:tcW w:w="487" w:type="pct"/>
            <w:vAlign w:val="center"/>
          </w:tcPr>
          <w:p w14:paraId="7FBFDB83" w14:textId="3A9DE816" w:rsidR="004A22B4" w:rsidRPr="00E90347" w:rsidRDefault="004A22B4" w:rsidP="004A22B4">
            <w:pPr>
              <w:tabs>
                <w:tab w:val="decimal" w:pos="742"/>
              </w:tabs>
              <w:jc w:val="right"/>
              <w:rPr>
                <w:rFonts w:cs="Arial"/>
              </w:rPr>
            </w:pPr>
            <w:r w:rsidRPr="00E90347">
              <w:rPr>
                <w:rFonts w:cs="Arial"/>
              </w:rPr>
              <w:t>(4,903)</w:t>
            </w:r>
          </w:p>
        </w:tc>
        <w:tc>
          <w:tcPr>
            <w:tcW w:w="491" w:type="pct"/>
            <w:vAlign w:val="center"/>
          </w:tcPr>
          <w:p w14:paraId="7E552BEC" w14:textId="056FC837" w:rsidR="004A22B4" w:rsidRPr="00E90347" w:rsidRDefault="004A22B4" w:rsidP="004A22B4">
            <w:pPr>
              <w:tabs>
                <w:tab w:val="decimal" w:pos="742"/>
              </w:tabs>
              <w:jc w:val="right"/>
              <w:rPr>
                <w:rFonts w:cs="Arial"/>
              </w:rPr>
            </w:pPr>
            <w:r w:rsidRPr="00E90347">
              <w:rPr>
                <w:rFonts w:cs="Arial"/>
              </w:rPr>
              <w:t>5,971</w:t>
            </w:r>
          </w:p>
        </w:tc>
      </w:tr>
      <w:tr w:rsidR="004A22B4" w:rsidRPr="00D948C1" w14:paraId="319890E8" w14:textId="77777777" w:rsidTr="004A22B4">
        <w:tc>
          <w:tcPr>
            <w:tcW w:w="1803" w:type="pct"/>
          </w:tcPr>
          <w:p w14:paraId="6DA0B094" w14:textId="77777777" w:rsidR="004A22B4" w:rsidRPr="00E90347" w:rsidRDefault="004A22B4" w:rsidP="004A22B4">
            <w:pPr>
              <w:rPr>
                <w:rFonts w:cs="Arial"/>
                <w:b/>
              </w:rPr>
            </w:pPr>
            <w:r w:rsidRPr="00E90347">
              <w:rPr>
                <w:rFonts w:cs="Arial"/>
                <w:b/>
              </w:rPr>
              <w:t>Net Cost of Services</w:t>
            </w:r>
          </w:p>
        </w:tc>
        <w:tc>
          <w:tcPr>
            <w:tcW w:w="341" w:type="pct"/>
            <w:vAlign w:val="center"/>
          </w:tcPr>
          <w:p w14:paraId="3B747E43" w14:textId="2839165D" w:rsidR="004A22B4" w:rsidRPr="00E90347" w:rsidRDefault="004A22B4" w:rsidP="004A22B4">
            <w:pPr>
              <w:jc w:val="center"/>
              <w:rPr>
                <w:rStyle w:val="Hyperlink"/>
              </w:rPr>
            </w:pPr>
            <w:hyperlink w:anchor="Notes">
              <w:r w:rsidRPr="00E90347">
                <w:rPr>
                  <w:rStyle w:val="Hyperlink"/>
                </w:rPr>
                <w:t>1</w:t>
              </w:r>
            </w:hyperlink>
          </w:p>
        </w:tc>
        <w:tc>
          <w:tcPr>
            <w:tcW w:w="491" w:type="pct"/>
            <w:vAlign w:val="center"/>
          </w:tcPr>
          <w:p w14:paraId="48A30AC9" w14:textId="7759C608" w:rsidR="004A22B4" w:rsidRPr="00E90347" w:rsidRDefault="00CE6F26" w:rsidP="004A22B4">
            <w:pPr>
              <w:tabs>
                <w:tab w:val="decimal" w:pos="884"/>
              </w:tabs>
              <w:jc w:val="right"/>
              <w:rPr>
                <w:rFonts w:cs="Arial"/>
                <w:b/>
              </w:rPr>
            </w:pPr>
            <w:r>
              <w:rPr>
                <w:rFonts w:cs="Arial"/>
                <w:b/>
              </w:rPr>
              <w:t>61,9</w:t>
            </w:r>
            <w:r w:rsidR="00FF5272">
              <w:rPr>
                <w:rFonts w:cs="Arial"/>
                <w:b/>
              </w:rPr>
              <w:t>8</w:t>
            </w:r>
            <w:r>
              <w:rPr>
                <w:rFonts w:cs="Arial"/>
                <w:b/>
              </w:rPr>
              <w:t>0</w:t>
            </w:r>
          </w:p>
        </w:tc>
        <w:tc>
          <w:tcPr>
            <w:tcW w:w="405" w:type="pct"/>
            <w:vAlign w:val="center"/>
          </w:tcPr>
          <w:p w14:paraId="31E1A5F3" w14:textId="4E013127" w:rsidR="004A22B4" w:rsidRPr="00E90347" w:rsidRDefault="00CE6F26" w:rsidP="004A22B4">
            <w:pPr>
              <w:tabs>
                <w:tab w:val="decimal" w:pos="742"/>
              </w:tabs>
              <w:jc w:val="right"/>
              <w:rPr>
                <w:rFonts w:cs="Arial"/>
                <w:b/>
              </w:rPr>
            </w:pPr>
            <w:r>
              <w:rPr>
                <w:rFonts w:cs="Arial"/>
                <w:b/>
              </w:rPr>
              <w:t>(10,379)</w:t>
            </w:r>
          </w:p>
        </w:tc>
        <w:tc>
          <w:tcPr>
            <w:tcW w:w="491" w:type="pct"/>
            <w:vAlign w:val="center"/>
          </w:tcPr>
          <w:p w14:paraId="38A82874" w14:textId="652BE379" w:rsidR="004A22B4" w:rsidRPr="00E90347" w:rsidRDefault="0018319F" w:rsidP="004A22B4">
            <w:pPr>
              <w:tabs>
                <w:tab w:val="decimal" w:pos="742"/>
              </w:tabs>
              <w:jc w:val="right"/>
              <w:rPr>
                <w:rFonts w:cs="Arial"/>
                <w:b/>
              </w:rPr>
            </w:pPr>
            <w:r>
              <w:rPr>
                <w:rFonts w:cs="Arial"/>
                <w:b/>
              </w:rPr>
              <w:t>51,6</w:t>
            </w:r>
            <w:r w:rsidR="00FF5272">
              <w:rPr>
                <w:rFonts w:cs="Arial"/>
                <w:b/>
              </w:rPr>
              <w:t>0</w:t>
            </w:r>
            <w:r>
              <w:rPr>
                <w:rFonts w:cs="Arial"/>
                <w:b/>
              </w:rPr>
              <w:t>1</w:t>
            </w:r>
          </w:p>
        </w:tc>
        <w:tc>
          <w:tcPr>
            <w:tcW w:w="491" w:type="pct"/>
            <w:vAlign w:val="center"/>
          </w:tcPr>
          <w:p w14:paraId="2624C76E" w14:textId="12B4FA9E" w:rsidR="004A22B4" w:rsidRPr="00E90347" w:rsidRDefault="004A22B4" w:rsidP="004A22B4">
            <w:pPr>
              <w:tabs>
                <w:tab w:val="decimal" w:pos="884"/>
              </w:tabs>
              <w:jc w:val="right"/>
              <w:rPr>
                <w:rFonts w:cs="Arial"/>
                <w:b/>
              </w:rPr>
            </w:pPr>
            <w:r w:rsidRPr="00E90347">
              <w:rPr>
                <w:rFonts w:cs="Arial"/>
                <w:b/>
              </w:rPr>
              <w:t>58,816</w:t>
            </w:r>
          </w:p>
        </w:tc>
        <w:tc>
          <w:tcPr>
            <w:tcW w:w="487" w:type="pct"/>
            <w:vAlign w:val="center"/>
          </w:tcPr>
          <w:p w14:paraId="6C037FE7" w14:textId="2FC87320" w:rsidR="004A22B4" w:rsidRPr="00E90347" w:rsidRDefault="004A22B4" w:rsidP="004A22B4">
            <w:pPr>
              <w:tabs>
                <w:tab w:val="decimal" w:pos="742"/>
              </w:tabs>
              <w:jc w:val="right"/>
              <w:rPr>
                <w:rFonts w:cs="Arial"/>
                <w:b/>
              </w:rPr>
            </w:pPr>
            <w:r w:rsidRPr="00E90347">
              <w:rPr>
                <w:rFonts w:cs="Arial"/>
                <w:b/>
              </w:rPr>
              <w:t>(7,960)</w:t>
            </w:r>
          </w:p>
        </w:tc>
        <w:tc>
          <w:tcPr>
            <w:tcW w:w="491" w:type="pct"/>
            <w:vAlign w:val="center"/>
          </w:tcPr>
          <w:p w14:paraId="5D4EC2EB" w14:textId="5D858072" w:rsidR="004A22B4" w:rsidRPr="00E90347" w:rsidRDefault="004A22B4" w:rsidP="004A22B4">
            <w:pPr>
              <w:tabs>
                <w:tab w:val="decimal" w:pos="742"/>
              </w:tabs>
              <w:jc w:val="right"/>
              <w:rPr>
                <w:rFonts w:cs="Arial"/>
                <w:b/>
              </w:rPr>
            </w:pPr>
            <w:r w:rsidRPr="00E90347">
              <w:rPr>
                <w:rFonts w:cs="Arial"/>
                <w:b/>
              </w:rPr>
              <w:t>50,856</w:t>
            </w:r>
          </w:p>
        </w:tc>
      </w:tr>
      <w:tr w:rsidR="004A22B4" w:rsidRPr="00D948C1" w14:paraId="48350EAA" w14:textId="77777777" w:rsidTr="004A22B4">
        <w:trPr>
          <w:trHeight w:val="272"/>
        </w:trPr>
        <w:tc>
          <w:tcPr>
            <w:tcW w:w="1803" w:type="pct"/>
            <w:tcBorders>
              <w:top w:val="single" w:sz="4" w:space="0" w:color="auto"/>
              <w:left w:val="single" w:sz="4" w:space="0" w:color="auto"/>
              <w:bottom w:val="single" w:sz="4" w:space="0" w:color="auto"/>
              <w:right w:val="single" w:sz="4" w:space="0" w:color="auto"/>
            </w:tcBorders>
          </w:tcPr>
          <w:p w14:paraId="55817802" w14:textId="07C7B51A" w:rsidR="004A22B4" w:rsidRPr="00E90347" w:rsidRDefault="004A22B4" w:rsidP="004A22B4">
            <w:pPr>
              <w:rPr>
                <w:rFonts w:cs="Arial"/>
              </w:rPr>
            </w:pPr>
            <w:r w:rsidRPr="00E90347">
              <w:rPr>
                <w:rFonts w:cs="Arial"/>
              </w:rPr>
              <w:t>(Gain)</w:t>
            </w:r>
            <w:r w:rsidR="007176B8">
              <w:rPr>
                <w:rFonts w:cs="Arial"/>
              </w:rPr>
              <w:t xml:space="preserve"> or l</w:t>
            </w:r>
            <w:r w:rsidRPr="00E90347">
              <w:rPr>
                <w:rFonts w:cs="Arial"/>
              </w:rPr>
              <w:t>oss on disposal of non-current assets</w:t>
            </w:r>
          </w:p>
        </w:tc>
        <w:tc>
          <w:tcPr>
            <w:tcW w:w="341" w:type="pct"/>
            <w:tcBorders>
              <w:top w:val="single" w:sz="4" w:space="0" w:color="auto"/>
              <w:left w:val="single" w:sz="4" w:space="0" w:color="auto"/>
              <w:bottom w:val="single" w:sz="4" w:space="0" w:color="auto"/>
              <w:right w:val="single" w:sz="4" w:space="0" w:color="auto"/>
            </w:tcBorders>
            <w:vAlign w:val="center"/>
          </w:tcPr>
          <w:p w14:paraId="0B0F88FF" w14:textId="77777777" w:rsidR="004A22B4" w:rsidRPr="00D948C1" w:rsidRDefault="004A22B4" w:rsidP="004A22B4">
            <w:pPr>
              <w:jc w:val="center"/>
              <w:rPr>
                <w:rStyle w:val="Hyperlink"/>
                <w:highlight w:val="red"/>
              </w:rPr>
            </w:pPr>
          </w:p>
        </w:tc>
        <w:tc>
          <w:tcPr>
            <w:tcW w:w="491" w:type="pct"/>
            <w:tcBorders>
              <w:top w:val="single" w:sz="4" w:space="0" w:color="auto"/>
              <w:left w:val="single" w:sz="4" w:space="0" w:color="auto"/>
              <w:bottom w:val="single" w:sz="4" w:space="0" w:color="auto"/>
              <w:right w:val="single" w:sz="4" w:space="0" w:color="auto"/>
            </w:tcBorders>
            <w:vAlign w:val="center"/>
          </w:tcPr>
          <w:p w14:paraId="62E5CB4D" w14:textId="73226B69" w:rsidR="004A22B4" w:rsidRPr="00E90347" w:rsidRDefault="004A22B4" w:rsidP="004A22B4">
            <w:pPr>
              <w:tabs>
                <w:tab w:val="decimal" w:pos="742"/>
                <w:tab w:val="decimal" w:pos="884"/>
              </w:tabs>
              <w:ind w:right="177"/>
              <w:jc w:val="right"/>
              <w:rPr>
                <w:rFonts w:cs="Arial"/>
              </w:rPr>
            </w:pPr>
          </w:p>
        </w:tc>
        <w:tc>
          <w:tcPr>
            <w:tcW w:w="405" w:type="pct"/>
            <w:tcBorders>
              <w:top w:val="single" w:sz="4" w:space="0" w:color="auto"/>
              <w:left w:val="single" w:sz="4" w:space="0" w:color="auto"/>
              <w:bottom w:val="single" w:sz="4" w:space="0" w:color="auto"/>
              <w:right w:val="single" w:sz="4" w:space="0" w:color="auto"/>
            </w:tcBorders>
            <w:vAlign w:val="center"/>
          </w:tcPr>
          <w:p w14:paraId="24B53C5D" w14:textId="07767825" w:rsidR="004A22B4" w:rsidRPr="00E90347" w:rsidRDefault="004A22B4" w:rsidP="004A22B4">
            <w:pPr>
              <w:tabs>
                <w:tab w:val="decimal" w:pos="742"/>
                <w:tab w:val="decimal" w:pos="884"/>
              </w:tabs>
              <w:ind w:right="177"/>
              <w:jc w:val="right"/>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14:paraId="57D98B22" w14:textId="7FBBE3AA" w:rsidR="004A22B4" w:rsidRPr="00E90347" w:rsidRDefault="005C1993" w:rsidP="004A22B4">
            <w:pPr>
              <w:tabs>
                <w:tab w:val="decimal" w:pos="742"/>
              </w:tabs>
              <w:jc w:val="right"/>
              <w:rPr>
                <w:rFonts w:cs="Arial"/>
              </w:rPr>
            </w:pPr>
            <w:r>
              <w:rPr>
                <w:rFonts w:cs="Arial"/>
              </w:rPr>
              <w:t>(74)</w:t>
            </w:r>
          </w:p>
        </w:tc>
        <w:tc>
          <w:tcPr>
            <w:tcW w:w="491" w:type="pct"/>
            <w:tcBorders>
              <w:top w:val="single" w:sz="4" w:space="0" w:color="auto"/>
              <w:left w:val="single" w:sz="4" w:space="0" w:color="auto"/>
              <w:bottom w:val="single" w:sz="4" w:space="0" w:color="auto"/>
              <w:right w:val="single" w:sz="4" w:space="0" w:color="auto"/>
            </w:tcBorders>
            <w:vAlign w:val="center"/>
          </w:tcPr>
          <w:p w14:paraId="4FBB7EE7" w14:textId="643DFE30" w:rsidR="004A22B4" w:rsidRPr="00E90347" w:rsidRDefault="004A22B4" w:rsidP="004A22B4">
            <w:pPr>
              <w:tabs>
                <w:tab w:val="decimal" w:pos="885"/>
              </w:tabs>
              <w:jc w:val="right"/>
              <w:rPr>
                <w:rFonts w:cs="Arial"/>
              </w:rPr>
            </w:pPr>
          </w:p>
        </w:tc>
        <w:tc>
          <w:tcPr>
            <w:tcW w:w="487" w:type="pct"/>
            <w:tcBorders>
              <w:top w:val="single" w:sz="4" w:space="0" w:color="auto"/>
              <w:left w:val="single" w:sz="4" w:space="0" w:color="auto"/>
              <w:bottom w:val="single" w:sz="4" w:space="0" w:color="auto"/>
              <w:right w:val="single" w:sz="4" w:space="0" w:color="auto"/>
            </w:tcBorders>
            <w:vAlign w:val="center"/>
          </w:tcPr>
          <w:p w14:paraId="67003ECE" w14:textId="77777777" w:rsidR="004A22B4" w:rsidRPr="00E90347" w:rsidRDefault="004A22B4" w:rsidP="004A22B4">
            <w:pPr>
              <w:tabs>
                <w:tab w:val="decimal" w:pos="601"/>
              </w:tabs>
              <w:jc w:val="right"/>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14:paraId="0F764B57" w14:textId="637445C6" w:rsidR="004A22B4" w:rsidRPr="00E90347" w:rsidRDefault="004A22B4" w:rsidP="004A22B4">
            <w:pPr>
              <w:tabs>
                <w:tab w:val="decimal" w:pos="742"/>
              </w:tabs>
              <w:jc w:val="right"/>
              <w:rPr>
                <w:rFonts w:cs="Arial"/>
              </w:rPr>
            </w:pPr>
            <w:r w:rsidRPr="00E90347">
              <w:rPr>
                <w:rFonts w:cs="Arial"/>
              </w:rPr>
              <w:t>(116)</w:t>
            </w:r>
          </w:p>
        </w:tc>
      </w:tr>
    </w:tbl>
    <w:p w14:paraId="69675F7E" w14:textId="77777777" w:rsidR="00D46F5F" w:rsidRPr="00D948C1" w:rsidRDefault="00D46F5F" w:rsidP="095637AE">
      <w:pPr>
        <w:rPr>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4"/>
        <w:gridCol w:w="960"/>
        <w:gridCol w:w="1561"/>
        <w:gridCol w:w="1277"/>
        <w:gridCol w:w="1414"/>
        <w:gridCol w:w="1418"/>
        <w:gridCol w:w="1555"/>
        <w:gridCol w:w="1503"/>
      </w:tblGrid>
      <w:tr w:rsidR="00793A3A" w:rsidRPr="00D948C1" w14:paraId="3D29740C" w14:textId="77777777" w:rsidTr="095637AE">
        <w:tc>
          <w:tcPr>
            <w:tcW w:w="5000" w:type="pct"/>
            <w:gridSpan w:val="8"/>
            <w:shd w:val="clear" w:color="auto" w:fill="D9D9D9" w:themeFill="background1" w:themeFillShade="D9"/>
          </w:tcPr>
          <w:p w14:paraId="5459216A" w14:textId="6C95A2E6" w:rsidR="00793A3A" w:rsidRPr="00E90347" w:rsidRDefault="7352143F" w:rsidP="095637AE">
            <w:pPr>
              <w:rPr>
                <w:rFonts w:cs="Arial"/>
                <w:b/>
              </w:rPr>
            </w:pPr>
            <w:r w:rsidRPr="00E90347">
              <w:rPr>
                <w:rFonts w:cs="Arial"/>
                <w:b/>
              </w:rPr>
              <w:t>Financing &amp; investment income &amp; expenditure</w:t>
            </w:r>
          </w:p>
        </w:tc>
      </w:tr>
      <w:tr w:rsidR="004A22B4" w:rsidRPr="00D948C1" w14:paraId="256584C9" w14:textId="77777777" w:rsidTr="00543885">
        <w:trPr>
          <w:trHeight w:val="300"/>
        </w:trPr>
        <w:tc>
          <w:tcPr>
            <w:tcW w:w="1822" w:type="pct"/>
          </w:tcPr>
          <w:p w14:paraId="49FE23E5" w14:textId="77777777" w:rsidR="004A22B4" w:rsidRPr="00E90347" w:rsidRDefault="004A22B4" w:rsidP="004A22B4">
            <w:pPr>
              <w:rPr>
                <w:rFonts w:cs="Arial"/>
              </w:rPr>
            </w:pPr>
            <w:r w:rsidRPr="00E90347">
              <w:rPr>
                <w:rFonts w:cs="Arial"/>
              </w:rPr>
              <w:t>Interest payable and similar charges</w:t>
            </w:r>
          </w:p>
        </w:tc>
        <w:tc>
          <w:tcPr>
            <w:tcW w:w="315" w:type="pct"/>
            <w:vAlign w:val="center"/>
          </w:tcPr>
          <w:p w14:paraId="5ADB56AA" w14:textId="0D2BBB21" w:rsidR="004A22B4" w:rsidRPr="00E90347" w:rsidRDefault="004A22B4" w:rsidP="004A22B4">
            <w:pPr>
              <w:jc w:val="center"/>
              <w:rPr>
                <w:rStyle w:val="Hyperlink"/>
              </w:rPr>
            </w:pPr>
            <w:hyperlink w:anchor="N8">
              <w:r w:rsidRPr="00E90347">
                <w:rPr>
                  <w:rStyle w:val="Hyperlink"/>
                </w:rPr>
                <w:t>8</w:t>
              </w:r>
            </w:hyperlink>
          </w:p>
        </w:tc>
        <w:tc>
          <w:tcPr>
            <w:tcW w:w="512" w:type="pct"/>
            <w:vAlign w:val="center"/>
          </w:tcPr>
          <w:p w14:paraId="23239D64" w14:textId="4511E718" w:rsidR="004A22B4" w:rsidRPr="00D948C1" w:rsidRDefault="004A22B4" w:rsidP="004A22B4">
            <w:pPr>
              <w:tabs>
                <w:tab w:val="decimal" w:pos="884"/>
              </w:tabs>
              <w:jc w:val="right"/>
              <w:rPr>
                <w:rFonts w:cs="Arial"/>
                <w:highlight w:val="red"/>
              </w:rPr>
            </w:pPr>
          </w:p>
        </w:tc>
        <w:tc>
          <w:tcPr>
            <w:tcW w:w="419" w:type="pct"/>
            <w:vAlign w:val="center"/>
          </w:tcPr>
          <w:p w14:paraId="35B3E6D4" w14:textId="1B122BB6" w:rsidR="004A22B4" w:rsidRPr="00D948C1" w:rsidRDefault="004A22B4" w:rsidP="004A22B4">
            <w:pPr>
              <w:tabs>
                <w:tab w:val="decimal" w:pos="884"/>
              </w:tabs>
              <w:jc w:val="right"/>
              <w:rPr>
                <w:rFonts w:cs="Arial"/>
                <w:highlight w:val="red"/>
              </w:rPr>
            </w:pPr>
          </w:p>
        </w:tc>
        <w:tc>
          <w:tcPr>
            <w:tcW w:w="464" w:type="pct"/>
            <w:vAlign w:val="center"/>
          </w:tcPr>
          <w:p w14:paraId="51AB164D" w14:textId="137FB2F5" w:rsidR="004A22B4" w:rsidRPr="00E90347" w:rsidRDefault="005C1993" w:rsidP="004A22B4">
            <w:pPr>
              <w:tabs>
                <w:tab w:val="decimal" w:pos="884"/>
              </w:tabs>
              <w:jc w:val="right"/>
              <w:rPr>
                <w:rFonts w:cs="Arial"/>
              </w:rPr>
            </w:pPr>
            <w:r>
              <w:rPr>
                <w:rFonts w:cs="Arial"/>
              </w:rPr>
              <w:t>1,220</w:t>
            </w:r>
          </w:p>
        </w:tc>
        <w:tc>
          <w:tcPr>
            <w:tcW w:w="465" w:type="pct"/>
            <w:vAlign w:val="center"/>
          </w:tcPr>
          <w:p w14:paraId="2B836629" w14:textId="623099ED" w:rsidR="004A22B4" w:rsidRPr="00D948C1" w:rsidRDefault="004A22B4" w:rsidP="004A22B4">
            <w:pPr>
              <w:tabs>
                <w:tab w:val="decimal" w:pos="889"/>
              </w:tabs>
              <w:jc w:val="right"/>
              <w:rPr>
                <w:rFonts w:cs="Arial"/>
                <w:highlight w:val="red"/>
              </w:rPr>
            </w:pPr>
          </w:p>
        </w:tc>
        <w:tc>
          <w:tcPr>
            <w:tcW w:w="510" w:type="pct"/>
            <w:vAlign w:val="center"/>
          </w:tcPr>
          <w:p w14:paraId="6AF2F2BB" w14:textId="0A56A592" w:rsidR="004A22B4" w:rsidRPr="00D948C1" w:rsidRDefault="004A22B4" w:rsidP="004A22B4">
            <w:pPr>
              <w:tabs>
                <w:tab w:val="decimal" w:pos="885"/>
              </w:tabs>
              <w:jc w:val="right"/>
              <w:rPr>
                <w:rFonts w:cs="Arial"/>
                <w:highlight w:val="red"/>
              </w:rPr>
            </w:pPr>
          </w:p>
        </w:tc>
        <w:tc>
          <w:tcPr>
            <w:tcW w:w="493" w:type="pct"/>
            <w:vAlign w:val="center"/>
          </w:tcPr>
          <w:p w14:paraId="71E2D07F" w14:textId="7E9A600E" w:rsidR="004A22B4" w:rsidRPr="00E90347" w:rsidRDefault="004A22B4" w:rsidP="004A22B4">
            <w:pPr>
              <w:tabs>
                <w:tab w:val="decimal" w:pos="742"/>
              </w:tabs>
              <w:jc w:val="right"/>
              <w:rPr>
                <w:rFonts w:cs="Arial"/>
              </w:rPr>
            </w:pPr>
            <w:r w:rsidRPr="00E90347">
              <w:rPr>
                <w:rFonts w:cs="Arial"/>
              </w:rPr>
              <w:t>1,272</w:t>
            </w:r>
          </w:p>
        </w:tc>
      </w:tr>
      <w:tr w:rsidR="004A22B4" w:rsidRPr="00D948C1" w14:paraId="6D5C6652" w14:textId="77777777" w:rsidTr="00543885">
        <w:tc>
          <w:tcPr>
            <w:tcW w:w="1822" w:type="pct"/>
          </w:tcPr>
          <w:p w14:paraId="22362E76" w14:textId="77777777" w:rsidR="004A22B4" w:rsidRPr="00E90347" w:rsidRDefault="004A22B4" w:rsidP="004A22B4">
            <w:pPr>
              <w:rPr>
                <w:rFonts w:cs="Arial"/>
              </w:rPr>
            </w:pPr>
            <w:r w:rsidRPr="00E90347">
              <w:rPr>
                <w:rFonts w:cs="Arial"/>
              </w:rPr>
              <w:t>Pensions interest cost and expected return on pensions assets</w:t>
            </w:r>
          </w:p>
        </w:tc>
        <w:tc>
          <w:tcPr>
            <w:tcW w:w="315" w:type="pct"/>
            <w:vAlign w:val="center"/>
          </w:tcPr>
          <w:p w14:paraId="17868737" w14:textId="04AD733D" w:rsidR="004A22B4" w:rsidRPr="00E90347" w:rsidRDefault="004A22B4" w:rsidP="004A22B4">
            <w:pPr>
              <w:jc w:val="center"/>
              <w:rPr>
                <w:rStyle w:val="Hyperlink"/>
              </w:rPr>
            </w:pPr>
            <w:hyperlink w:anchor="_16_Net_Liability">
              <w:r>
                <w:rPr>
                  <w:rStyle w:val="Hyperlink"/>
                </w:rPr>
                <w:t>16</w:t>
              </w:r>
            </w:hyperlink>
          </w:p>
        </w:tc>
        <w:tc>
          <w:tcPr>
            <w:tcW w:w="512" w:type="pct"/>
            <w:vAlign w:val="center"/>
          </w:tcPr>
          <w:p w14:paraId="17720D39" w14:textId="2B989485" w:rsidR="004A22B4" w:rsidRPr="00D948C1" w:rsidRDefault="004A22B4" w:rsidP="004A22B4">
            <w:pPr>
              <w:tabs>
                <w:tab w:val="decimal" w:pos="884"/>
              </w:tabs>
              <w:jc w:val="right"/>
              <w:rPr>
                <w:rFonts w:cs="Arial"/>
                <w:highlight w:val="red"/>
              </w:rPr>
            </w:pPr>
          </w:p>
        </w:tc>
        <w:tc>
          <w:tcPr>
            <w:tcW w:w="419" w:type="pct"/>
            <w:vAlign w:val="center"/>
          </w:tcPr>
          <w:p w14:paraId="13A13C29" w14:textId="2859C89E" w:rsidR="004A22B4" w:rsidRPr="00D948C1" w:rsidRDefault="004A22B4" w:rsidP="004A22B4">
            <w:pPr>
              <w:tabs>
                <w:tab w:val="decimal" w:pos="884"/>
              </w:tabs>
              <w:jc w:val="right"/>
              <w:rPr>
                <w:rFonts w:cs="Arial"/>
                <w:highlight w:val="red"/>
              </w:rPr>
            </w:pPr>
          </w:p>
        </w:tc>
        <w:tc>
          <w:tcPr>
            <w:tcW w:w="464" w:type="pct"/>
            <w:vAlign w:val="center"/>
          </w:tcPr>
          <w:p w14:paraId="2B8DBBD3" w14:textId="7B474FCE" w:rsidR="004A22B4" w:rsidRPr="00E90347" w:rsidRDefault="005C1993" w:rsidP="004A22B4">
            <w:pPr>
              <w:tabs>
                <w:tab w:val="decimal" w:pos="884"/>
              </w:tabs>
              <w:jc w:val="right"/>
              <w:rPr>
                <w:rFonts w:cs="Arial"/>
              </w:rPr>
            </w:pPr>
            <w:r>
              <w:rPr>
                <w:rFonts w:cs="Arial"/>
              </w:rPr>
              <w:t>30,536</w:t>
            </w:r>
          </w:p>
        </w:tc>
        <w:tc>
          <w:tcPr>
            <w:tcW w:w="465" w:type="pct"/>
            <w:vAlign w:val="center"/>
          </w:tcPr>
          <w:p w14:paraId="776B59B4" w14:textId="7D8DFD20" w:rsidR="004A22B4" w:rsidRPr="00D948C1" w:rsidRDefault="004A22B4" w:rsidP="004A22B4">
            <w:pPr>
              <w:tabs>
                <w:tab w:val="decimal" w:pos="889"/>
              </w:tabs>
              <w:jc w:val="right"/>
              <w:rPr>
                <w:rFonts w:cs="Arial"/>
                <w:highlight w:val="red"/>
              </w:rPr>
            </w:pPr>
          </w:p>
        </w:tc>
        <w:tc>
          <w:tcPr>
            <w:tcW w:w="510" w:type="pct"/>
            <w:vAlign w:val="center"/>
          </w:tcPr>
          <w:p w14:paraId="6C5D363D" w14:textId="4B58556A" w:rsidR="004A22B4" w:rsidRPr="00D948C1" w:rsidRDefault="004A22B4" w:rsidP="004A22B4">
            <w:pPr>
              <w:tabs>
                <w:tab w:val="decimal" w:pos="885"/>
              </w:tabs>
              <w:jc w:val="right"/>
              <w:rPr>
                <w:rFonts w:cs="Arial"/>
                <w:highlight w:val="red"/>
              </w:rPr>
            </w:pPr>
          </w:p>
        </w:tc>
        <w:tc>
          <w:tcPr>
            <w:tcW w:w="493" w:type="pct"/>
            <w:vAlign w:val="center"/>
          </w:tcPr>
          <w:p w14:paraId="6A26CB91" w14:textId="2B6E1414" w:rsidR="004A22B4" w:rsidRPr="00E90347" w:rsidRDefault="004A22B4" w:rsidP="004A22B4">
            <w:pPr>
              <w:tabs>
                <w:tab w:val="decimal" w:pos="742"/>
              </w:tabs>
              <w:jc w:val="right"/>
              <w:rPr>
                <w:rFonts w:cs="Arial"/>
              </w:rPr>
            </w:pPr>
            <w:r w:rsidRPr="00E90347">
              <w:rPr>
                <w:rFonts w:cs="Arial"/>
              </w:rPr>
              <w:t>29,127</w:t>
            </w:r>
          </w:p>
        </w:tc>
      </w:tr>
      <w:tr w:rsidR="004A22B4" w:rsidRPr="00D948C1" w14:paraId="7706A461" w14:textId="77777777" w:rsidTr="00543885">
        <w:trPr>
          <w:trHeight w:val="300"/>
        </w:trPr>
        <w:tc>
          <w:tcPr>
            <w:tcW w:w="1822" w:type="pct"/>
          </w:tcPr>
          <w:p w14:paraId="5F806625" w14:textId="77777777" w:rsidR="004A22B4" w:rsidRPr="00E90347" w:rsidRDefault="004A22B4" w:rsidP="004A22B4">
            <w:pPr>
              <w:rPr>
                <w:rFonts w:cs="Arial"/>
              </w:rPr>
            </w:pPr>
            <w:r w:rsidRPr="00E90347">
              <w:rPr>
                <w:rFonts w:cs="Arial"/>
              </w:rPr>
              <w:t>Interest receivable and similar Income</w:t>
            </w:r>
          </w:p>
        </w:tc>
        <w:tc>
          <w:tcPr>
            <w:tcW w:w="315" w:type="pct"/>
            <w:vAlign w:val="center"/>
          </w:tcPr>
          <w:p w14:paraId="0FA2D380" w14:textId="36C60FBF" w:rsidR="004A22B4" w:rsidRPr="00E90347" w:rsidRDefault="004A22B4" w:rsidP="004A22B4">
            <w:pPr>
              <w:jc w:val="center"/>
              <w:rPr>
                <w:rStyle w:val="Hyperlink"/>
              </w:rPr>
            </w:pPr>
            <w:hyperlink w:anchor="N8">
              <w:r w:rsidRPr="00E90347">
                <w:rPr>
                  <w:rStyle w:val="Hyperlink"/>
                </w:rPr>
                <w:t>8</w:t>
              </w:r>
            </w:hyperlink>
          </w:p>
        </w:tc>
        <w:tc>
          <w:tcPr>
            <w:tcW w:w="512" w:type="pct"/>
            <w:vAlign w:val="center"/>
          </w:tcPr>
          <w:p w14:paraId="69FEE268" w14:textId="1EFDF4BE" w:rsidR="004A22B4" w:rsidRPr="00D948C1" w:rsidRDefault="004A22B4" w:rsidP="004A22B4">
            <w:pPr>
              <w:tabs>
                <w:tab w:val="decimal" w:pos="884"/>
              </w:tabs>
              <w:jc w:val="right"/>
              <w:rPr>
                <w:rFonts w:cs="Arial"/>
                <w:highlight w:val="red"/>
              </w:rPr>
            </w:pPr>
          </w:p>
        </w:tc>
        <w:tc>
          <w:tcPr>
            <w:tcW w:w="419" w:type="pct"/>
            <w:vAlign w:val="center"/>
          </w:tcPr>
          <w:p w14:paraId="5BDB7FF1" w14:textId="0D72038D" w:rsidR="004A22B4" w:rsidRPr="00D948C1" w:rsidRDefault="004A22B4" w:rsidP="004A22B4">
            <w:pPr>
              <w:tabs>
                <w:tab w:val="decimal" w:pos="884"/>
              </w:tabs>
              <w:jc w:val="right"/>
              <w:rPr>
                <w:rFonts w:cs="Arial"/>
                <w:highlight w:val="red"/>
              </w:rPr>
            </w:pPr>
          </w:p>
        </w:tc>
        <w:tc>
          <w:tcPr>
            <w:tcW w:w="464" w:type="pct"/>
            <w:vAlign w:val="center"/>
          </w:tcPr>
          <w:p w14:paraId="0EC82CFA" w14:textId="1EF9D63D" w:rsidR="004A22B4" w:rsidRPr="00E90347" w:rsidRDefault="005C1993" w:rsidP="004A22B4">
            <w:pPr>
              <w:tabs>
                <w:tab w:val="decimal" w:pos="884"/>
              </w:tabs>
              <w:jc w:val="right"/>
              <w:rPr>
                <w:rFonts w:cs="Arial"/>
              </w:rPr>
            </w:pPr>
            <w:r>
              <w:rPr>
                <w:rFonts w:cs="Arial"/>
              </w:rPr>
              <w:t>(2,120)</w:t>
            </w:r>
          </w:p>
        </w:tc>
        <w:tc>
          <w:tcPr>
            <w:tcW w:w="465" w:type="pct"/>
            <w:vAlign w:val="center"/>
          </w:tcPr>
          <w:p w14:paraId="30721FEE" w14:textId="4B34A145" w:rsidR="004A22B4" w:rsidRPr="00D948C1" w:rsidRDefault="004A22B4" w:rsidP="004A22B4">
            <w:pPr>
              <w:tabs>
                <w:tab w:val="decimal" w:pos="889"/>
              </w:tabs>
              <w:jc w:val="right"/>
              <w:rPr>
                <w:rFonts w:cs="Arial"/>
                <w:highlight w:val="red"/>
              </w:rPr>
            </w:pPr>
          </w:p>
        </w:tc>
        <w:tc>
          <w:tcPr>
            <w:tcW w:w="510" w:type="pct"/>
            <w:vAlign w:val="center"/>
          </w:tcPr>
          <w:p w14:paraId="253FAE47" w14:textId="04B05870" w:rsidR="004A22B4" w:rsidRPr="00D948C1" w:rsidRDefault="004A22B4" w:rsidP="004A22B4">
            <w:pPr>
              <w:tabs>
                <w:tab w:val="decimal" w:pos="885"/>
              </w:tabs>
              <w:jc w:val="right"/>
              <w:rPr>
                <w:rFonts w:cs="Arial"/>
                <w:highlight w:val="red"/>
              </w:rPr>
            </w:pPr>
          </w:p>
        </w:tc>
        <w:tc>
          <w:tcPr>
            <w:tcW w:w="493" w:type="pct"/>
            <w:vAlign w:val="center"/>
          </w:tcPr>
          <w:p w14:paraId="7EA0B9D9" w14:textId="13DB8AC0" w:rsidR="004A22B4" w:rsidRPr="00E90347" w:rsidRDefault="004A22B4" w:rsidP="004A22B4">
            <w:pPr>
              <w:tabs>
                <w:tab w:val="decimal" w:pos="742"/>
              </w:tabs>
              <w:jc w:val="right"/>
              <w:rPr>
                <w:rFonts w:cs="Arial"/>
              </w:rPr>
            </w:pPr>
            <w:r w:rsidRPr="00E90347">
              <w:rPr>
                <w:rFonts w:cs="Arial"/>
              </w:rPr>
              <w:t>(2,291)</w:t>
            </w:r>
          </w:p>
        </w:tc>
      </w:tr>
    </w:tbl>
    <w:p w14:paraId="0415F6FD" w14:textId="77777777" w:rsidR="003127E7" w:rsidRPr="00D948C1" w:rsidRDefault="003127E7" w:rsidP="095637AE">
      <w:pPr>
        <w:rPr>
          <w:highlight w:val="red"/>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8"/>
        <w:gridCol w:w="958"/>
        <w:gridCol w:w="1559"/>
        <w:gridCol w:w="1276"/>
        <w:gridCol w:w="1416"/>
        <w:gridCol w:w="1419"/>
        <w:gridCol w:w="1531"/>
        <w:gridCol w:w="1504"/>
      </w:tblGrid>
      <w:tr w:rsidR="0093301C" w:rsidRPr="00D948C1" w14:paraId="7DDF7702" w14:textId="77777777" w:rsidTr="095637AE">
        <w:trPr>
          <w:trHeight w:val="272"/>
        </w:trPr>
        <w:tc>
          <w:tcPr>
            <w:tcW w:w="5000" w:type="pct"/>
            <w:gridSpan w:val="8"/>
            <w:shd w:val="clear" w:color="auto" w:fill="D9D9D9" w:themeFill="background1" w:themeFillShade="D9"/>
          </w:tcPr>
          <w:p w14:paraId="78AC1CF2" w14:textId="58D4920B" w:rsidR="0093301C" w:rsidRPr="00E90347" w:rsidRDefault="061FF6CF" w:rsidP="095637AE">
            <w:pPr>
              <w:rPr>
                <w:rFonts w:cs="Arial"/>
                <w:b/>
              </w:rPr>
            </w:pPr>
            <w:r w:rsidRPr="00E90347">
              <w:rPr>
                <w:rFonts w:cs="Arial"/>
                <w:b/>
              </w:rPr>
              <w:t>Taxation and non-specific grant income</w:t>
            </w:r>
          </w:p>
        </w:tc>
      </w:tr>
      <w:tr w:rsidR="004A22B4" w:rsidRPr="00D948C1" w14:paraId="1301DFD6" w14:textId="77777777" w:rsidTr="00E90347">
        <w:tc>
          <w:tcPr>
            <w:tcW w:w="1826" w:type="pct"/>
          </w:tcPr>
          <w:p w14:paraId="1ADC4C55" w14:textId="77777777" w:rsidR="004A22B4" w:rsidRPr="00E90347" w:rsidRDefault="004A22B4" w:rsidP="004A22B4">
            <w:pPr>
              <w:rPr>
                <w:rFonts w:cs="Arial"/>
              </w:rPr>
            </w:pPr>
            <w:r w:rsidRPr="00E90347">
              <w:rPr>
                <w:rFonts w:cs="Arial"/>
              </w:rPr>
              <w:t>Council tax</w:t>
            </w:r>
          </w:p>
        </w:tc>
        <w:tc>
          <w:tcPr>
            <w:tcW w:w="315" w:type="pct"/>
          </w:tcPr>
          <w:p w14:paraId="63BD858B" w14:textId="77777777" w:rsidR="004A22B4" w:rsidRPr="00D948C1" w:rsidRDefault="004A22B4" w:rsidP="004A22B4">
            <w:pPr>
              <w:jc w:val="center"/>
              <w:rPr>
                <w:rStyle w:val="Hyperlink"/>
                <w:highlight w:val="red"/>
              </w:rPr>
            </w:pPr>
          </w:p>
        </w:tc>
        <w:tc>
          <w:tcPr>
            <w:tcW w:w="512" w:type="pct"/>
          </w:tcPr>
          <w:p w14:paraId="106907B7" w14:textId="05B74ACE" w:rsidR="004A22B4" w:rsidRPr="00D948C1" w:rsidRDefault="004A22B4" w:rsidP="004A22B4">
            <w:pPr>
              <w:tabs>
                <w:tab w:val="decimal" w:pos="884"/>
              </w:tabs>
              <w:rPr>
                <w:rFonts w:cs="Arial"/>
                <w:highlight w:val="red"/>
              </w:rPr>
            </w:pPr>
          </w:p>
        </w:tc>
        <w:tc>
          <w:tcPr>
            <w:tcW w:w="419" w:type="pct"/>
          </w:tcPr>
          <w:p w14:paraId="2859AFC1" w14:textId="77777777" w:rsidR="004A22B4" w:rsidRPr="00D948C1" w:rsidRDefault="004A22B4" w:rsidP="004A22B4">
            <w:pPr>
              <w:tabs>
                <w:tab w:val="decimal" w:pos="884"/>
              </w:tabs>
              <w:rPr>
                <w:rFonts w:cs="Arial"/>
                <w:highlight w:val="red"/>
              </w:rPr>
            </w:pPr>
          </w:p>
        </w:tc>
        <w:tc>
          <w:tcPr>
            <w:tcW w:w="465" w:type="pct"/>
          </w:tcPr>
          <w:p w14:paraId="13B84267" w14:textId="71917348" w:rsidR="004A22B4" w:rsidRPr="00E90347" w:rsidRDefault="00FA6DF1" w:rsidP="004A22B4">
            <w:pPr>
              <w:tabs>
                <w:tab w:val="decimal" w:pos="889"/>
              </w:tabs>
              <w:jc w:val="right"/>
              <w:rPr>
                <w:rFonts w:cs="Arial"/>
              </w:rPr>
            </w:pPr>
            <w:r>
              <w:rPr>
                <w:rFonts w:cs="Arial"/>
              </w:rPr>
              <w:t>(43,018)</w:t>
            </w:r>
          </w:p>
        </w:tc>
        <w:tc>
          <w:tcPr>
            <w:tcW w:w="466" w:type="pct"/>
          </w:tcPr>
          <w:p w14:paraId="1ED8213E" w14:textId="0C664947" w:rsidR="004A22B4" w:rsidRPr="00D948C1" w:rsidRDefault="004A22B4" w:rsidP="004A22B4">
            <w:pPr>
              <w:tabs>
                <w:tab w:val="decimal" w:pos="885"/>
              </w:tabs>
              <w:rPr>
                <w:rFonts w:cs="Arial"/>
                <w:highlight w:val="red"/>
              </w:rPr>
            </w:pPr>
          </w:p>
        </w:tc>
        <w:tc>
          <w:tcPr>
            <w:tcW w:w="503" w:type="pct"/>
          </w:tcPr>
          <w:p w14:paraId="6480075C" w14:textId="77777777" w:rsidR="004A22B4" w:rsidRPr="00D948C1" w:rsidRDefault="004A22B4" w:rsidP="004A22B4">
            <w:pPr>
              <w:tabs>
                <w:tab w:val="decimal" w:pos="601"/>
              </w:tabs>
              <w:jc w:val="both"/>
              <w:rPr>
                <w:rFonts w:cs="Arial"/>
                <w:highlight w:val="red"/>
              </w:rPr>
            </w:pPr>
          </w:p>
        </w:tc>
        <w:tc>
          <w:tcPr>
            <w:tcW w:w="494" w:type="pct"/>
          </w:tcPr>
          <w:p w14:paraId="1EA74B56" w14:textId="23B58A28" w:rsidR="004A22B4" w:rsidRPr="00E90347" w:rsidRDefault="004A22B4" w:rsidP="004A22B4">
            <w:pPr>
              <w:jc w:val="right"/>
              <w:rPr>
                <w:rFonts w:cs="Arial"/>
              </w:rPr>
            </w:pPr>
            <w:r w:rsidRPr="00E90347">
              <w:rPr>
                <w:rFonts w:cs="Arial"/>
              </w:rPr>
              <w:t>(39,911)</w:t>
            </w:r>
          </w:p>
        </w:tc>
      </w:tr>
      <w:tr w:rsidR="004A22B4" w:rsidRPr="00D948C1" w14:paraId="66B9C3B3" w14:textId="77777777" w:rsidTr="00E90347">
        <w:tc>
          <w:tcPr>
            <w:tcW w:w="1826" w:type="pct"/>
          </w:tcPr>
          <w:p w14:paraId="50780995" w14:textId="77777777" w:rsidR="004A22B4" w:rsidRPr="00E90347" w:rsidRDefault="004A22B4" w:rsidP="004A22B4">
            <w:pPr>
              <w:rPr>
                <w:rFonts w:cs="Arial"/>
              </w:rPr>
            </w:pPr>
            <w:r w:rsidRPr="00E90347">
              <w:rPr>
                <w:rFonts w:cs="Arial"/>
              </w:rPr>
              <w:t>Revenue Support Grant</w:t>
            </w:r>
          </w:p>
        </w:tc>
        <w:tc>
          <w:tcPr>
            <w:tcW w:w="315" w:type="pct"/>
          </w:tcPr>
          <w:p w14:paraId="6F671289" w14:textId="77777777" w:rsidR="004A22B4" w:rsidRPr="00D948C1" w:rsidRDefault="004A22B4" w:rsidP="004A22B4">
            <w:pPr>
              <w:jc w:val="center"/>
              <w:rPr>
                <w:rStyle w:val="Hyperlink"/>
                <w:highlight w:val="red"/>
              </w:rPr>
            </w:pPr>
          </w:p>
        </w:tc>
        <w:tc>
          <w:tcPr>
            <w:tcW w:w="512" w:type="pct"/>
          </w:tcPr>
          <w:p w14:paraId="28147392" w14:textId="78B914FC" w:rsidR="004A22B4" w:rsidRPr="00D948C1" w:rsidRDefault="004A22B4" w:rsidP="004A22B4">
            <w:pPr>
              <w:tabs>
                <w:tab w:val="decimal" w:pos="884"/>
              </w:tabs>
              <w:rPr>
                <w:rFonts w:cs="Arial"/>
                <w:highlight w:val="red"/>
              </w:rPr>
            </w:pPr>
          </w:p>
        </w:tc>
        <w:tc>
          <w:tcPr>
            <w:tcW w:w="419" w:type="pct"/>
          </w:tcPr>
          <w:p w14:paraId="33A264BB" w14:textId="77777777" w:rsidR="004A22B4" w:rsidRPr="00D948C1" w:rsidRDefault="004A22B4" w:rsidP="004A22B4">
            <w:pPr>
              <w:tabs>
                <w:tab w:val="decimal" w:pos="884"/>
              </w:tabs>
              <w:rPr>
                <w:rFonts w:cs="Arial"/>
                <w:highlight w:val="red"/>
              </w:rPr>
            </w:pPr>
          </w:p>
        </w:tc>
        <w:tc>
          <w:tcPr>
            <w:tcW w:w="465" w:type="pct"/>
          </w:tcPr>
          <w:p w14:paraId="77FF38B7" w14:textId="0C13CD53" w:rsidR="004A22B4" w:rsidRPr="00E90347" w:rsidRDefault="00FA6DF1" w:rsidP="004A22B4">
            <w:pPr>
              <w:tabs>
                <w:tab w:val="decimal" w:pos="889"/>
              </w:tabs>
              <w:jc w:val="right"/>
              <w:rPr>
                <w:rFonts w:cs="Arial"/>
              </w:rPr>
            </w:pPr>
            <w:r>
              <w:rPr>
                <w:rFonts w:cs="Arial"/>
              </w:rPr>
              <w:t>(13,702)</w:t>
            </w:r>
          </w:p>
        </w:tc>
        <w:tc>
          <w:tcPr>
            <w:tcW w:w="466" w:type="pct"/>
          </w:tcPr>
          <w:p w14:paraId="152FBC12" w14:textId="2111D058" w:rsidR="004A22B4" w:rsidRPr="00D948C1" w:rsidRDefault="004A22B4" w:rsidP="004A22B4">
            <w:pPr>
              <w:tabs>
                <w:tab w:val="decimal" w:pos="885"/>
              </w:tabs>
              <w:rPr>
                <w:rFonts w:cs="Arial"/>
                <w:highlight w:val="red"/>
              </w:rPr>
            </w:pPr>
          </w:p>
        </w:tc>
        <w:tc>
          <w:tcPr>
            <w:tcW w:w="503" w:type="pct"/>
          </w:tcPr>
          <w:p w14:paraId="634EAE1E" w14:textId="77777777" w:rsidR="004A22B4" w:rsidRPr="00D948C1" w:rsidRDefault="004A22B4" w:rsidP="004A22B4">
            <w:pPr>
              <w:tabs>
                <w:tab w:val="decimal" w:pos="601"/>
              </w:tabs>
              <w:jc w:val="both"/>
              <w:rPr>
                <w:rFonts w:cs="Arial"/>
                <w:highlight w:val="red"/>
              </w:rPr>
            </w:pPr>
          </w:p>
        </w:tc>
        <w:tc>
          <w:tcPr>
            <w:tcW w:w="494" w:type="pct"/>
          </w:tcPr>
          <w:p w14:paraId="5C7A9BD9" w14:textId="3DA979A9" w:rsidR="004A22B4" w:rsidRPr="00E90347" w:rsidRDefault="004A22B4" w:rsidP="004A22B4">
            <w:pPr>
              <w:jc w:val="right"/>
              <w:rPr>
                <w:rFonts w:cs="Arial"/>
              </w:rPr>
            </w:pPr>
            <w:r w:rsidRPr="00E90347">
              <w:rPr>
                <w:rFonts w:cs="Arial"/>
              </w:rPr>
              <w:t>(13,470)</w:t>
            </w:r>
          </w:p>
        </w:tc>
      </w:tr>
      <w:tr w:rsidR="004A22B4" w:rsidRPr="00D948C1" w14:paraId="461825CA" w14:textId="77777777" w:rsidTr="00E90347">
        <w:tc>
          <w:tcPr>
            <w:tcW w:w="1826" w:type="pct"/>
          </w:tcPr>
          <w:p w14:paraId="270780C7" w14:textId="77777777" w:rsidR="004A22B4" w:rsidRPr="00E90347" w:rsidRDefault="004A22B4" w:rsidP="004A22B4">
            <w:pPr>
              <w:rPr>
                <w:rFonts w:cs="Arial"/>
              </w:rPr>
            </w:pPr>
            <w:r w:rsidRPr="00E90347">
              <w:rPr>
                <w:rFonts w:cs="Arial"/>
              </w:rPr>
              <w:t>Non-domestic rates redistribution</w:t>
            </w:r>
          </w:p>
        </w:tc>
        <w:tc>
          <w:tcPr>
            <w:tcW w:w="315" w:type="pct"/>
          </w:tcPr>
          <w:p w14:paraId="6E50D2D3" w14:textId="77777777" w:rsidR="004A22B4" w:rsidRPr="00D948C1" w:rsidRDefault="004A22B4" w:rsidP="004A22B4">
            <w:pPr>
              <w:jc w:val="center"/>
              <w:rPr>
                <w:rStyle w:val="Hyperlink"/>
                <w:highlight w:val="red"/>
              </w:rPr>
            </w:pPr>
          </w:p>
        </w:tc>
        <w:tc>
          <w:tcPr>
            <w:tcW w:w="512" w:type="pct"/>
          </w:tcPr>
          <w:p w14:paraId="65E41BA5" w14:textId="603F0FDF" w:rsidR="004A22B4" w:rsidRPr="00D948C1" w:rsidRDefault="004A22B4" w:rsidP="004A22B4">
            <w:pPr>
              <w:tabs>
                <w:tab w:val="decimal" w:pos="884"/>
              </w:tabs>
              <w:rPr>
                <w:rFonts w:cs="Arial"/>
                <w:highlight w:val="red"/>
              </w:rPr>
            </w:pPr>
          </w:p>
        </w:tc>
        <w:tc>
          <w:tcPr>
            <w:tcW w:w="419" w:type="pct"/>
          </w:tcPr>
          <w:p w14:paraId="7B058279" w14:textId="77777777" w:rsidR="004A22B4" w:rsidRPr="00D948C1" w:rsidRDefault="004A22B4" w:rsidP="004A22B4">
            <w:pPr>
              <w:tabs>
                <w:tab w:val="decimal" w:pos="884"/>
              </w:tabs>
              <w:rPr>
                <w:rFonts w:cs="Arial"/>
                <w:highlight w:val="red"/>
              </w:rPr>
            </w:pPr>
          </w:p>
        </w:tc>
        <w:tc>
          <w:tcPr>
            <w:tcW w:w="465" w:type="pct"/>
          </w:tcPr>
          <w:p w14:paraId="1D6B4DA0" w14:textId="6DE5B6D8" w:rsidR="004A22B4" w:rsidRPr="00E90347" w:rsidRDefault="00FA6DF1" w:rsidP="004A22B4">
            <w:pPr>
              <w:tabs>
                <w:tab w:val="decimal" w:pos="889"/>
              </w:tabs>
              <w:jc w:val="right"/>
              <w:rPr>
                <w:rFonts w:cs="Arial"/>
              </w:rPr>
            </w:pPr>
            <w:r>
              <w:rPr>
                <w:rFonts w:cs="Arial"/>
              </w:rPr>
              <w:t>(17,125)</w:t>
            </w:r>
          </w:p>
        </w:tc>
        <w:tc>
          <w:tcPr>
            <w:tcW w:w="466" w:type="pct"/>
          </w:tcPr>
          <w:p w14:paraId="388DBBBB" w14:textId="1AB217D8" w:rsidR="004A22B4" w:rsidRPr="00D948C1" w:rsidRDefault="004A22B4" w:rsidP="004A22B4">
            <w:pPr>
              <w:tabs>
                <w:tab w:val="decimal" w:pos="885"/>
              </w:tabs>
              <w:rPr>
                <w:rFonts w:cs="Arial"/>
                <w:highlight w:val="red"/>
              </w:rPr>
            </w:pPr>
          </w:p>
        </w:tc>
        <w:tc>
          <w:tcPr>
            <w:tcW w:w="503" w:type="pct"/>
          </w:tcPr>
          <w:p w14:paraId="3067CF26" w14:textId="77777777" w:rsidR="004A22B4" w:rsidRPr="00D948C1" w:rsidRDefault="004A22B4" w:rsidP="004A22B4">
            <w:pPr>
              <w:tabs>
                <w:tab w:val="decimal" w:pos="601"/>
              </w:tabs>
              <w:jc w:val="both"/>
              <w:rPr>
                <w:rFonts w:cs="Arial"/>
                <w:highlight w:val="red"/>
              </w:rPr>
            </w:pPr>
          </w:p>
        </w:tc>
        <w:tc>
          <w:tcPr>
            <w:tcW w:w="494" w:type="pct"/>
          </w:tcPr>
          <w:p w14:paraId="1982B2F5" w14:textId="71D64BAA" w:rsidR="004A22B4" w:rsidRPr="00E90347" w:rsidRDefault="004A22B4" w:rsidP="004A22B4">
            <w:pPr>
              <w:jc w:val="right"/>
              <w:rPr>
                <w:rFonts w:cs="Arial"/>
              </w:rPr>
            </w:pPr>
            <w:r w:rsidRPr="00E90347">
              <w:rPr>
                <w:rFonts w:cs="Arial"/>
              </w:rPr>
              <w:t>(16,740)</w:t>
            </w:r>
          </w:p>
        </w:tc>
      </w:tr>
      <w:tr w:rsidR="004A22B4" w:rsidRPr="00D948C1" w14:paraId="6989E789" w14:textId="77777777" w:rsidTr="00E90347">
        <w:tc>
          <w:tcPr>
            <w:tcW w:w="1826" w:type="pct"/>
          </w:tcPr>
          <w:p w14:paraId="74A75A6A" w14:textId="77777777" w:rsidR="004A22B4" w:rsidRPr="00E90347" w:rsidRDefault="004A22B4" w:rsidP="004A22B4">
            <w:pPr>
              <w:rPr>
                <w:rFonts w:cs="Arial"/>
              </w:rPr>
            </w:pPr>
            <w:r w:rsidRPr="00E90347">
              <w:rPr>
                <w:rFonts w:cs="Arial"/>
              </w:rPr>
              <w:t>Business rates S31 grant</w:t>
            </w:r>
          </w:p>
        </w:tc>
        <w:tc>
          <w:tcPr>
            <w:tcW w:w="315" w:type="pct"/>
          </w:tcPr>
          <w:p w14:paraId="0B9BC1D4" w14:textId="77777777" w:rsidR="004A22B4" w:rsidRPr="00D948C1" w:rsidRDefault="004A22B4" w:rsidP="004A22B4">
            <w:pPr>
              <w:jc w:val="center"/>
              <w:rPr>
                <w:rStyle w:val="Hyperlink"/>
                <w:highlight w:val="red"/>
              </w:rPr>
            </w:pPr>
          </w:p>
        </w:tc>
        <w:tc>
          <w:tcPr>
            <w:tcW w:w="512" w:type="pct"/>
          </w:tcPr>
          <w:p w14:paraId="53448B6B" w14:textId="2DB4C950" w:rsidR="004A22B4" w:rsidRPr="00D948C1" w:rsidRDefault="004A22B4" w:rsidP="004A22B4">
            <w:pPr>
              <w:tabs>
                <w:tab w:val="decimal" w:pos="884"/>
              </w:tabs>
              <w:rPr>
                <w:rFonts w:cs="Arial"/>
                <w:highlight w:val="red"/>
              </w:rPr>
            </w:pPr>
          </w:p>
        </w:tc>
        <w:tc>
          <w:tcPr>
            <w:tcW w:w="419" w:type="pct"/>
          </w:tcPr>
          <w:p w14:paraId="07A56BE7" w14:textId="77777777" w:rsidR="004A22B4" w:rsidRPr="00D948C1" w:rsidRDefault="004A22B4" w:rsidP="004A22B4">
            <w:pPr>
              <w:tabs>
                <w:tab w:val="decimal" w:pos="884"/>
              </w:tabs>
              <w:rPr>
                <w:rFonts w:cs="Arial"/>
                <w:highlight w:val="red"/>
              </w:rPr>
            </w:pPr>
          </w:p>
        </w:tc>
        <w:tc>
          <w:tcPr>
            <w:tcW w:w="465" w:type="pct"/>
          </w:tcPr>
          <w:p w14:paraId="70294333" w14:textId="16848D74" w:rsidR="004A22B4" w:rsidRPr="00E90347" w:rsidRDefault="00FA6DF1" w:rsidP="004A22B4">
            <w:pPr>
              <w:tabs>
                <w:tab w:val="decimal" w:pos="889"/>
              </w:tabs>
              <w:jc w:val="right"/>
              <w:rPr>
                <w:rFonts w:cs="Arial"/>
              </w:rPr>
            </w:pPr>
            <w:r>
              <w:rPr>
                <w:rFonts w:cs="Arial"/>
              </w:rPr>
              <w:t>(4,484)</w:t>
            </w:r>
          </w:p>
        </w:tc>
        <w:tc>
          <w:tcPr>
            <w:tcW w:w="466" w:type="pct"/>
          </w:tcPr>
          <w:p w14:paraId="7A03E3E6" w14:textId="69498173" w:rsidR="004A22B4" w:rsidRPr="00D948C1" w:rsidRDefault="004A22B4" w:rsidP="004A22B4">
            <w:pPr>
              <w:tabs>
                <w:tab w:val="decimal" w:pos="885"/>
              </w:tabs>
              <w:rPr>
                <w:rFonts w:cs="Arial"/>
                <w:highlight w:val="red"/>
              </w:rPr>
            </w:pPr>
          </w:p>
        </w:tc>
        <w:tc>
          <w:tcPr>
            <w:tcW w:w="503" w:type="pct"/>
          </w:tcPr>
          <w:p w14:paraId="024AEFCF" w14:textId="77777777" w:rsidR="004A22B4" w:rsidRPr="00D948C1" w:rsidRDefault="004A22B4" w:rsidP="004A22B4">
            <w:pPr>
              <w:tabs>
                <w:tab w:val="decimal" w:pos="601"/>
              </w:tabs>
              <w:jc w:val="both"/>
              <w:rPr>
                <w:rFonts w:cs="Arial"/>
                <w:highlight w:val="red"/>
              </w:rPr>
            </w:pPr>
          </w:p>
        </w:tc>
        <w:tc>
          <w:tcPr>
            <w:tcW w:w="494" w:type="pct"/>
          </w:tcPr>
          <w:p w14:paraId="0FDE986B" w14:textId="38B07353" w:rsidR="004A22B4" w:rsidRPr="00E90347" w:rsidRDefault="004A22B4" w:rsidP="004A22B4">
            <w:pPr>
              <w:jc w:val="right"/>
              <w:rPr>
                <w:rFonts w:cs="Arial"/>
              </w:rPr>
            </w:pPr>
            <w:r w:rsidRPr="00E90347">
              <w:rPr>
                <w:rFonts w:cs="Arial"/>
              </w:rPr>
              <w:t>(5,673)</w:t>
            </w:r>
          </w:p>
        </w:tc>
      </w:tr>
      <w:tr w:rsidR="004A22B4" w:rsidRPr="00D948C1" w14:paraId="5E51D07D" w14:textId="77777777" w:rsidTr="00E90347">
        <w:tc>
          <w:tcPr>
            <w:tcW w:w="1826" w:type="pct"/>
          </w:tcPr>
          <w:p w14:paraId="230444E4" w14:textId="18AEC5C1" w:rsidR="004A22B4" w:rsidRPr="00E90347" w:rsidRDefault="004A22B4" w:rsidP="004A22B4">
            <w:pPr>
              <w:rPr>
                <w:rFonts w:cs="Arial"/>
                <w:b/>
              </w:rPr>
            </w:pPr>
            <w:r>
              <w:rPr>
                <w:rFonts w:cs="Arial"/>
                <w:b/>
              </w:rPr>
              <w:t>(Surplus)</w:t>
            </w:r>
            <w:r w:rsidR="007176B8">
              <w:rPr>
                <w:rFonts w:cs="Arial"/>
                <w:b/>
              </w:rPr>
              <w:t xml:space="preserve"> or d</w:t>
            </w:r>
            <w:r w:rsidRPr="00E90347">
              <w:rPr>
                <w:rFonts w:cs="Arial"/>
                <w:b/>
              </w:rPr>
              <w:t>eficit on the provision of services</w:t>
            </w:r>
          </w:p>
        </w:tc>
        <w:tc>
          <w:tcPr>
            <w:tcW w:w="315" w:type="pct"/>
          </w:tcPr>
          <w:p w14:paraId="5307DA0A" w14:textId="77777777" w:rsidR="004A22B4" w:rsidRPr="00D948C1" w:rsidRDefault="004A22B4" w:rsidP="004A22B4">
            <w:pPr>
              <w:jc w:val="center"/>
              <w:rPr>
                <w:rStyle w:val="Hyperlink"/>
                <w:highlight w:val="red"/>
              </w:rPr>
            </w:pPr>
          </w:p>
        </w:tc>
        <w:tc>
          <w:tcPr>
            <w:tcW w:w="512" w:type="pct"/>
          </w:tcPr>
          <w:p w14:paraId="75D395D3" w14:textId="5667467C" w:rsidR="004A22B4" w:rsidRPr="00D948C1" w:rsidRDefault="004A22B4" w:rsidP="004A22B4">
            <w:pPr>
              <w:tabs>
                <w:tab w:val="decimal" w:pos="884"/>
              </w:tabs>
              <w:rPr>
                <w:rFonts w:cs="Arial"/>
                <w:highlight w:val="red"/>
              </w:rPr>
            </w:pPr>
          </w:p>
        </w:tc>
        <w:tc>
          <w:tcPr>
            <w:tcW w:w="419" w:type="pct"/>
          </w:tcPr>
          <w:p w14:paraId="5127A5EE" w14:textId="77777777" w:rsidR="004A22B4" w:rsidRPr="00D948C1" w:rsidRDefault="004A22B4" w:rsidP="004A22B4">
            <w:pPr>
              <w:tabs>
                <w:tab w:val="decimal" w:pos="884"/>
              </w:tabs>
              <w:rPr>
                <w:rFonts w:cs="Arial"/>
                <w:highlight w:val="red"/>
              </w:rPr>
            </w:pPr>
          </w:p>
        </w:tc>
        <w:tc>
          <w:tcPr>
            <w:tcW w:w="465" w:type="pct"/>
          </w:tcPr>
          <w:p w14:paraId="7915730D" w14:textId="5949B7D8" w:rsidR="004A22B4" w:rsidRPr="00853E26" w:rsidRDefault="00C70464" w:rsidP="004A22B4">
            <w:pPr>
              <w:tabs>
                <w:tab w:val="decimal" w:pos="889"/>
              </w:tabs>
              <w:jc w:val="right"/>
              <w:rPr>
                <w:rFonts w:cs="Arial"/>
                <w:b/>
                <w:bCs/>
              </w:rPr>
            </w:pPr>
            <w:r>
              <w:rPr>
                <w:rFonts w:cs="Arial"/>
                <w:b/>
                <w:bCs/>
              </w:rPr>
              <w:t>2,8</w:t>
            </w:r>
            <w:r w:rsidR="002261AB">
              <w:rPr>
                <w:rFonts w:cs="Arial"/>
                <w:b/>
                <w:bCs/>
              </w:rPr>
              <w:t>3</w:t>
            </w:r>
            <w:r>
              <w:rPr>
                <w:rFonts w:cs="Arial"/>
                <w:b/>
                <w:bCs/>
              </w:rPr>
              <w:t>4</w:t>
            </w:r>
          </w:p>
        </w:tc>
        <w:tc>
          <w:tcPr>
            <w:tcW w:w="466" w:type="pct"/>
          </w:tcPr>
          <w:p w14:paraId="46EBA086" w14:textId="6E652173" w:rsidR="004A22B4" w:rsidRPr="00D948C1" w:rsidRDefault="004A22B4" w:rsidP="004A22B4">
            <w:pPr>
              <w:tabs>
                <w:tab w:val="decimal" w:pos="885"/>
              </w:tabs>
              <w:rPr>
                <w:rFonts w:cs="Arial"/>
                <w:b/>
                <w:bCs/>
                <w:highlight w:val="red"/>
              </w:rPr>
            </w:pPr>
          </w:p>
        </w:tc>
        <w:tc>
          <w:tcPr>
            <w:tcW w:w="503" w:type="pct"/>
          </w:tcPr>
          <w:p w14:paraId="587A169C" w14:textId="77777777" w:rsidR="004A22B4" w:rsidRPr="00D948C1" w:rsidRDefault="004A22B4" w:rsidP="004A22B4">
            <w:pPr>
              <w:tabs>
                <w:tab w:val="decimal" w:pos="601"/>
              </w:tabs>
              <w:jc w:val="both"/>
              <w:rPr>
                <w:rFonts w:cs="Arial"/>
                <w:b/>
                <w:bCs/>
                <w:highlight w:val="red"/>
              </w:rPr>
            </w:pPr>
          </w:p>
        </w:tc>
        <w:tc>
          <w:tcPr>
            <w:tcW w:w="494" w:type="pct"/>
          </w:tcPr>
          <w:p w14:paraId="5EC24805" w14:textId="70AA04A2" w:rsidR="004A22B4" w:rsidRPr="00853E26" w:rsidRDefault="004A22B4" w:rsidP="004A22B4">
            <w:pPr>
              <w:jc w:val="right"/>
              <w:rPr>
                <w:rFonts w:cs="Arial"/>
                <w:b/>
                <w:bCs/>
              </w:rPr>
            </w:pPr>
            <w:r w:rsidRPr="00853E26">
              <w:rPr>
                <w:rFonts w:cs="Arial"/>
                <w:b/>
                <w:bCs/>
              </w:rPr>
              <w:t>3,054</w:t>
            </w:r>
          </w:p>
        </w:tc>
      </w:tr>
    </w:tbl>
    <w:p w14:paraId="6F51079E" w14:textId="77777777" w:rsidR="001A6245" w:rsidRDefault="001A6245" w:rsidP="095637AE">
      <w:pPr>
        <w:rPr>
          <w:highlight w:val="red"/>
        </w:rPr>
      </w:pPr>
      <w:r w:rsidRPr="095637AE">
        <w:rPr>
          <w:highlight w:val="red"/>
        </w:rPr>
        <w:br w:type="page"/>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1"/>
        <w:gridCol w:w="1061"/>
        <w:gridCol w:w="1497"/>
        <w:gridCol w:w="1215"/>
        <w:gridCol w:w="1498"/>
        <w:gridCol w:w="1434"/>
        <w:gridCol w:w="1498"/>
        <w:gridCol w:w="1497"/>
      </w:tblGrid>
      <w:tr w:rsidR="004A22B4" w:rsidRPr="00D948C1" w14:paraId="501950CF" w14:textId="77777777" w:rsidTr="004A22B4">
        <w:tc>
          <w:tcPr>
            <w:tcW w:w="2162" w:type="pct"/>
            <w:gridSpan w:val="2"/>
            <w:shd w:val="clear" w:color="auto" w:fill="BD2716"/>
          </w:tcPr>
          <w:p w14:paraId="755D1766" w14:textId="77777777" w:rsidR="004A22B4" w:rsidRPr="00D948C1" w:rsidRDefault="004A22B4" w:rsidP="004A22B4">
            <w:pPr>
              <w:tabs>
                <w:tab w:val="decimal" w:pos="884"/>
              </w:tabs>
              <w:rPr>
                <w:color w:val="FFFFFF" w:themeColor="background1"/>
                <w:highlight w:val="red"/>
              </w:rPr>
            </w:pPr>
          </w:p>
        </w:tc>
        <w:tc>
          <w:tcPr>
            <w:tcW w:w="492" w:type="pct"/>
            <w:shd w:val="clear" w:color="auto" w:fill="BD2716"/>
            <w:vAlign w:val="center"/>
          </w:tcPr>
          <w:p w14:paraId="0F579101" w14:textId="2ACA51CF" w:rsidR="004A22B4" w:rsidRPr="00DC2FCF" w:rsidRDefault="001A42DD" w:rsidP="004A22B4">
            <w:pPr>
              <w:jc w:val="center"/>
              <w:rPr>
                <w:rFonts w:cs="Arial"/>
                <w:color w:val="FFFFFF" w:themeColor="background1"/>
              </w:rPr>
            </w:pPr>
            <w:r>
              <w:rPr>
                <w:rFonts w:cs="Arial"/>
                <w:color w:val="FFFFFF" w:themeColor="background1"/>
                <w:szCs w:val="24"/>
              </w:rPr>
              <w:t>2025-26</w:t>
            </w:r>
          </w:p>
        </w:tc>
        <w:tc>
          <w:tcPr>
            <w:tcW w:w="399" w:type="pct"/>
            <w:shd w:val="clear" w:color="auto" w:fill="BD2716"/>
            <w:vAlign w:val="center"/>
          </w:tcPr>
          <w:p w14:paraId="2D628B09" w14:textId="61CD782B" w:rsidR="004A22B4" w:rsidRPr="00DC2FCF" w:rsidRDefault="001A42DD" w:rsidP="004A22B4">
            <w:pPr>
              <w:jc w:val="center"/>
              <w:rPr>
                <w:rFonts w:cs="Arial"/>
                <w:color w:val="FFFFFF" w:themeColor="background1"/>
              </w:rPr>
            </w:pPr>
            <w:r>
              <w:rPr>
                <w:rFonts w:cs="Arial"/>
                <w:color w:val="FFFFFF" w:themeColor="background1"/>
                <w:szCs w:val="24"/>
              </w:rPr>
              <w:t>2025-26</w:t>
            </w:r>
          </w:p>
        </w:tc>
        <w:tc>
          <w:tcPr>
            <w:tcW w:w="492" w:type="pct"/>
            <w:shd w:val="clear" w:color="auto" w:fill="BD2716"/>
            <w:vAlign w:val="center"/>
          </w:tcPr>
          <w:p w14:paraId="387CB089" w14:textId="523F36C3" w:rsidR="004A22B4" w:rsidRPr="00DC2FCF" w:rsidRDefault="001A42DD" w:rsidP="004A22B4">
            <w:pPr>
              <w:tabs>
                <w:tab w:val="decimal" w:pos="742"/>
              </w:tabs>
              <w:ind w:right="177"/>
              <w:jc w:val="center"/>
              <w:rPr>
                <w:rFonts w:cs="Arial"/>
                <w:color w:val="FFFFFF" w:themeColor="background1"/>
              </w:rPr>
            </w:pPr>
            <w:r>
              <w:rPr>
                <w:rFonts w:cs="Arial"/>
                <w:color w:val="FFFFFF" w:themeColor="background1"/>
                <w:szCs w:val="24"/>
              </w:rPr>
              <w:t>2025-26</w:t>
            </w:r>
          </w:p>
        </w:tc>
        <w:tc>
          <w:tcPr>
            <w:tcW w:w="471" w:type="pct"/>
            <w:shd w:val="clear" w:color="auto" w:fill="BD2716"/>
            <w:vAlign w:val="center"/>
          </w:tcPr>
          <w:p w14:paraId="228D5090" w14:textId="0851BA62" w:rsidR="004A22B4" w:rsidRPr="00DC2FCF" w:rsidRDefault="001A42DD" w:rsidP="004A22B4">
            <w:pPr>
              <w:jc w:val="center"/>
              <w:rPr>
                <w:rFonts w:cs="Arial"/>
                <w:color w:val="FFFFFF" w:themeColor="background1"/>
              </w:rPr>
            </w:pPr>
            <w:r>
              <w:rPr>
                <w:rFonts w:cs="Arial"/>
                <w:color w:val="FFFFFF" w:themeColor="background1"/>
                <w:szCs w:val="24"/>
              </w:rPr>
              <w:t>2024-25</w:t>
            </w:r>
          </w:p>
        </w:tc>
        <w:tc>
          <w:tcPr>
            <w:tcW w:w="492" w:type="pct"/>
            <w:shd w:val="clear" w:color="auto" w:fill="BD2716"/>
            <w:vAlign w:val="center"/>
          </w:tcPr>
          <w:p w14:paraId="22586128" w14:textId="27ED008E" w:rsidR="004A22B4" w:rsidRPr="00DC2FCF" w:rsidRDefault="001A42DD" w:rsidP="004A22B4">
            <w:pPr>
              <w:tabs>
                <w:tab w:val="decimal" w:pos="601"/>
              </w:tabs>
              <w:jc w:val="center"/>
              <w:rPr>
                <w:rFonts w:cs="Arial"/>
                <w:color w:val="FFFFFF" w:themeColor="background1"/>
              </w:rPr>
            </w:pPr>
            <w:r>
              <w:rPr>
                <w:rFonts w:cs="Arial"/>
                <w:color w:val="FFFFFF" w:themeColor="background1"/>
                <w:szCs w:val="24"/>
              </w:rPr>
              <w:t>2024-25</w:t>
            </w:r>
          </w:p>
        </w:tc>
        <w:tc>
          <w:tcPr>
            <w:tcW w:w="492" w:type="pct"/>
            <w:shd w:val="clear" w:color="auto" w:fill="BD2716"/>
            <w:vAlign w:val="center"/>
          </w:tcPr>
          <w:p w14:paraId="339401E4" w14:textId="54793E14" w:rsidR="004A22B4" w:rsidRPr="00DC2FCF" w:rsidRDefault="001A42DD" w:rsidP="004A22B4">
            <w:pPr>
              <w:jc w:val="center"/>
              <w:rPr>
                <w:rFonts w:cs="Arial"/>
                <w:color w:val="FFFFFF" w:themeColor="background1"/>
              </w:rPr>
            </w:pPr>
            <w:r>
              <w:rPr>
                <w:rFonts w:cs="Arial"/>
                <w:color w:val="FFFFFF" w:themeColor="background1"/>
                <w:szCs w:val="24"/>
              </w:rPr>
              <w:t>2024-25</w:t>
            </w:r>
          </w:p>
        </w:tc>
      </w:tr>
      <w:tr w:rsidR="003F1F39" w:rsidRPr="00D948C1" w14:paraId="0D4A8030" w14:textId="77777777" w:rsidTr="6498351E">
        <w:tc>
          <w:tcPr>
            <w:tcW w:w="1814" w:type="pct"/>
            <w:shd w:val="clear" w:color="auto" w:fill="BD2716"/>
            <w:vAlign w:val="bottom"/>
          </w:tcPr>
          <w:p w14:paraId="1E8A2C43" w14:textId="77777777" w:rsidR="003F1F39" w:rsidRPr="00D948C1" w:rsidRDefault="003F1F39" w:rsidP="095637AE">
            <w:pPr>
              <w:rPr>
                <w:rFonts w:cs="Arial"/>
                <w:color w:val="FFFFFF" w:themeColor="background1"/>
                <w:highlight w:val="red"/>
              </w:rPr>
            </w:pPr>
          </w:p>
        </w:tc>
        <w:tc>
          <w:tcPr>
            <w:tcW w:w="349" w:type="pct"/>
            <w:shd w:val="clear" w:color="auto" w:fill="BD2716"/>
            <w:vAlign w:val="center"/>
          </w:tcPr>
          <w:p w14:paraId="35D0CE6C" w14:textId="1CE0F515" w:rsidR="003F1F39" w:rsidRPr="00D948C1" w:rsidRDefault="003F1F39" w:rsidP="095637AE">
            <w:pPr>
              <w:rPr>
                <w:rFonts w:cs="Arial"/>
                <w:color w:val="FFFFFF" w:themeColor="background1"/>
                <w:highlight w:val="red"/>
              </w:rPr>
            </w:pPr>
            <w:r w:rsidRPr="00DC2FCF">
              <w:rPr>
                <w:rFonts w:cs="Arial"/>
                <w:color w:val="FFFFFF" w:themeColor="background1"/>
              </w:rPr>
              <w:t>Notes</w:t>
            </w:r>
          </w:p>
        </w:tc>
        <w:tc>
          <w:tcPr>
            <w:tcW w:w="492" w:type="pct"/>
            <w:shd w:val="clear" w:color="auto" w:fill="BD2716"/>
            <w:vAlign w:val="center"/>
          </w:tcPr>
          <w:p w14:paraId="7D26DA7A"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56986ED5"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268BD509" w14:textId="30E0CC9A" w:rsidR="003F1F39" w:rsidRPr="00DC2FCF" w:rsidRDefault="003F1F39" w:rsidP="095637AE">
            <w:pPr>
              <w:tabs>
                <w:tab w:val="decimal" w:pos="884"/>
              </w:tabs>
              <w:jc w:val="right"/>
              <w:rPr>
                <w:rFonts w:cs="Arial"/>
                <w:color w:val="FFFFFF" w:themeColor="background1"/>
              </w:rPr>
            </w:pPr>
            <w:r w:rsidRPr="00DC2FCF">
              <w:rPr>
                <w:rFonts w:cs="Arial"/>
                <w:color w:val="FFFFFF" w:themeColor="background1"/>
              </w:rPr>
              <w:t>£000</w:t>
            </w:r>
          </w:p>
        </w:tc>
        <w:tc>
          <w:tcPr>
            <w:tcW w:w="399" w:type="pct"/>
            <w:shd w:val="clear" w:color="auto" w:fill="BD2716"/>
            <w:vAlign w:val="center"/>
          </w:tcPr>
          <w:p w14:paraId="3B160703"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5717DA7A" w14:textId="77777777" w:rsidR="003F1F39" w:rsidRPr="00DC2FCF" w:rsidRDefault="003F1F39" w:rsidP="095637AE">
            <w:pPr>
              <w:jc w:val="right"/>
              <w:rPr>
                <w:rFonts w:cs="Arial"/>
                <w:color w:val="FFFFFF" w:themeColor="background1"/>
              </w:rPr>
            </w:pPr>
            <w:r w:rsidRPr="00DC2FCF">
              <w:rPr>
                <w:rFonts w:cs="Arial"/>
                <w:color w:val="FFFFFF" w:themeColor="background1"/>
              </w:rPr>
              <w:t>Income</w:t>
            </w:r>
          </w:p>
          <w:p w14:paraId="5D787EE7" w14:textId="492552BC" w:rsidR="003F1F39" w:rsidRPr="00DC2FCF" w:rsidRDefault="003F1F39" w:rsidP="095637AE">
            <w:pPr>
              <w:tabs>
                <w:tab w:val="decimal" w:pos="884"/>
              </w:tabs>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7D09A239" w14:textId="74121531" w:rsidR="003F1F39" w:rsidRPr="00DC2FCF" w:rsidRDefault="006A622E" w:rsidP="095637AE">
            <w:pPr>
              <w:jc w:val="right"/>
              <w:rPr>
                <w:rFonts w:cs="Arial"/>
                <w:color w:val="FFFFFF" w:themeColor="background1"/>
              </w:rPr>
            </w:pPr>
            <w:r>
              <w:rPr>
                <w:rFonts w:cs="Arial"/>
                <w:color w:val="FFFFFF" w:themeColor="background1"/>
              </w:rPr>
              <w:t>Net</w:t>
            </w:r>
          </w:p>
          <w:p w14:paraId="75A17278"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72A94C71" w14:textId="4DB158E8" w:rsidR="003F1F39" w:rsidRPr="00DC2FCF" w:rsidRDefault="003F1F39" w:rsidP="095637AE">
            <w:pPr>
              <w:jc w:val="right"/>
              <w:rPr>
                <w:rFonts w:cs="Arial"/>
                <w:color w:val="FFFFFF" w:themeColor="background1"/>
              </w:rPr>
            </w:pPr>
            <w:r w:rsidRPr="00DC2FCF">
              <w:rPr>
                <w:rFonts w:cs="Arial"/>
                <w:color w:val="FFFFFF" w:themeColor="background1"/>
              </w:rPr>
              <w:t>£000</w:t>
            </w:r>
          </w:p>
        </w:tc>
        <w:tc>
          <w:tcPr>
            <w:tcW w:w="471" w:type="pct"/>
            <w:shd w:val="clear" w:color="auto" w:fill="BD2716"/>
            <w:vAlign w:val="center"/>
          </w:tcPr>
          <w:p w14:paraId="262CD0B9" w14:textId="77777777" w:rsidR="003F1F39" w:rsidRPr="00DC2FCF" w:rsidRDefault="003F1F39" w:rsidP="095637AE">
            <w:pPr>
              <w:jc w:val="right"/>
              <w:rPr>
                <w:rFonts w:cs="Arial"/>
                <w:color w:val="FFFFFF" w:themeColor="background1"/>
              </w:rPr>
            </w:pPr>
            <w:r w:rsidRPr="00DC2FCF">
              <w:rPr>
                <w:rFonts w:cs="Arial"/>
                <w:color w:val="FFFFFF" w:themeColor="background1"/>
              </w:rPr>
              <w:t>Gross</w:t>
            </w:r>
          </w:p>
          <w:p w14:paraId="20501F9A" w14:textId="77777777" w:rsidR="003F1F39" w:rsidRPr="00DC2FCF" w:rsidRDefault="003F1F39" w:rsidP="095637AE">
            <w:pPr>
              <w:jc w:val="right"/>
              <w:rPr>
                <w:rFonts w:cs="Arial"/>
                <w:color w:val="FFFFFF" w:themeColor="background1"/>
              </w:rPr>
            </w:pPr>
            <w:r w:rsidRPr="00DC2FCF">
              <w:rPr>
                <w:rFonts w:cs="Arial"/>
                <w:color w:val="FFFFFF" w:themeColor="background1"/>
              </w:rPr>
              <w:t>Income</w:t>
            </w:r>
          </w:p>
          <w:p w14:paraId="63E673CC" w14:textId="3CD91AFB" w:rsidR="003F1F39" w:rsidRPr="00DC2FCF" w:rsidRDefault="003F1F39" w:rsidP="095637AE">
            <w:pPr>
              <w:tabs>
                <w:tab w:val="decimal" w:pos="885"/>
              </w:tabs>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6E4CE181" w14:textId="570070E8" w:rsidR="003F1F39" w:rsidRPr="00DC2FCF" w:rsidRDefault="006A622E" w:rsidP="095637AE">
            <w:pPr>
              <w:jc w:val="right"/>
              <w:rPr>
                <w:rFonts w:cs="Arial"/>
                <w:color w:val="FFFFFF" w:themeColor="background1"/>
              </w:rPr>
            </w:pPr>
            <w:r>
              <w:rPr>
                <w:rFonts w:cs="Arial"/>
                <w:color w:val="FFFFFF" w:themeColor="background1"/>
              </w:rPr>
              <w:t>Gross</w:t>
            </w:r>
          </w:p>
          <w:p w14:paraId="16740CAC"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1AF556EB" w14:textId="7D16F13B" w:rsidR="003F1F39" w:rsidRPr="00DC2FCF" w:rsidRDefault="003F1F39" w:rsidP="095637AE">
            <w:pPr>
              <w:jc w:val="right"/>
              <w:rPr>
                <w:rFonts w:cs="Arial"/>
                <w:color w:val="FFFFFF" w:themeColor="background1"/>
              </w:rPr>
            </w:pPr>
            <w:r w:rsidRPr="00DC2FCF">
              <w:rPr>
                <w:rFonts w:cs="Arial"/>
                <w:color w:val="FFFFFF" w:themeColor="background1"/>
              </w:rPr>
              <w:t>£000</w:t>
            </w:r>
          </w:p>
        </w:tc>
        <w:tc>
          <w:tcPr>
            <w:tcW w:w="492" w:type="pct"/>
            <w:shd w:val="clear" w:color="auto" w:fill="BD2716"/>
            <w:vAlign w:val="center"/>
          </w:tcPr>
          <w:p w14:paraId="2A5E1F8A" w14:textId="77777777" w:rsidR="003F1F39" w:rsidRPr="00DC2FCF" w:rsidRDefault="003F1F39" w:rsidP="095637AE">
            <w:pPr>
              <w:jc w:val="right"/>
              <w:rPr>
                <w:rFonts w:cs="Arial"/>
                <w:color w:val="FFFFFF" w:themeColor="background1"/>
              </w:rPr>
            </w:pPr>
            <w:r w:rsidRPr="00DC2FCF">
              <w:rPr>
                <w:rFonts w:cs="Arial"/>
                <w:color w:val="FFFFFF" w:themeColor="background1"/>
              </w:rPr>
              <w:t>Net</w:t>
            </w:r>
          </w:p>
          <w:p w14:paraId="42FE42AE" w14:textId="77777777" w:rsidR="003F1F39" w:rsidRPr="00DC2FCF" w:rsidRDefault="003F1F39" w:rsidP="095637AE">
            <w:pPr>
              <w:jc w:val="right"/>
              <w:rPr>
                <w:rFonts w:cs="Arial"/>
                <w:color w:val="FFFFFF" w:themeColor="background1"/>
              </w:rPr>
            </w:pPr>
            <w:r w:rsidRPr="00DC2FCF">
              <w:rPr>
                <w:rFonts w:cs="Arial"/>
                <w:color w:val="FFFFFF" w:themeColor="background1"/>
              </w:rPr>
              <w:t>Expenditure</w:t>
            </w:r>
          </w:p>
          <w:p w14:paraId="511427DF" w14:textId="3AF77989" w:rsidR="003F1F39" w:rsidRPr="00DC2FCF" w:rsidRDefault="003F1F39" w:rsidP="095637AE">
            <w:pPr>
              <w:jc w:val="right"/>
              <w:rPr>
                <w:rFonts w:cs="Arial"/>
                <w:color w:val="FFFFFF" w:themeColor="background1"/>
              </w:rPr>
            </w:pPr>
            <w:r w:rsidRPr="00DC2FCF">
              <w:rPr>
                <w:rFonts w:cs="Arial"/>
                <w:color w:val="FFFFFF" w:themeColor="background1"/>
              </w:rPr>
              <w:t>£000</w:t>
            </w:r>
          </w:p>
        </w:tc>
      </w:tr>
      <w:tr w:rsidR="004A22B4" w:rsidRPr="00D948C1" w14:paraId="38749423" w14:textId="77777777" w:rsidTr="6498351E">
        <w:tc>
          <w:tcPr>
            <w:tcW w:w="1814" w:type="pct"/>
          </w:tcPr>
          <w:p w14:paraId="493AEFF2" w14:textId="05EF55DD" w:rsidR="004A22B4" w:rsidRPr="007D2BA9" w:rsidRDefault="004A22B4" w:rsidP="004A22B4">
            <w:pPr>
              <w:rPr>
                <w:rFonts w:cs="Arial"/>
              </w:rPr>
            </w:pPr>
            <w:r w:rsidRPr="007D2BA9">
              <w:rPr>
                <w:rFonts w:cs="Arial"/>
              </w:rPr>
              <w:t>Surplus on revaluation of non-current assets</w:t>
            </w:r>
          </w:p>
        </w:tc>
        <w:tc>
          <w:tcPr>
            <w:tcW w:w="349" w:type="pct"/>
          </w:tcPr>
          <w:p w14:paraId="7513FD57" w14:textId="77777777" w:rsidR="004A22B4" w:rsidRDefault="004A22B4" w:rsidP="004A22B4">
            <w:pPr>
              <w:jc w:val="center"/>
              <w:rPr>
                <w:highlight w:val="red"/>
              </w:rPr>
            </w:pPr>
          </w:p>
        </w:tc>
        <w:tc>
          <w:tcPr>
            <w:tcW w:w="492" w:type="pct"/>
          </w:tcPr>
          <w:p w14:paraId="1AEAD810" w14:textId="77777777" w:rsidR="004A22B4" w:rsidRPr="00D948C1" w:rsidRDefault="004A22B4" w:rsidP="004A22B4">
            <w:pPr>
              <w:tabs>
                <w:tab w:val="decimal" w:pos="884"/>
              </w:tabs>
              <w:rPr>
                <w:rFonts w:cs="Arial"/>
                <w:highlight w:val="red"/>
              </w:rPr>
            </w:pPr>
          </w:p>
        </w:tc>
        <w:tc>
          <w:tcPr>
            <w:tcW w:w="399" w:type="pct"/>
          </w:tcPr>
          <w:p w14:paraId="3E6F8F31" w14:textId="77777777" w:rsidR="004A22B4" w:rsidRPr="00D948C1" w:rsidRDefault="004A22B4" w:rsidP="004A22B4">
            <w:pPr>
              <w:tabs>
                <w:tab w:val="decimal" w:pos="884"/>
              </w:tabs>
              <w:rPr>
                <w:rFonts w:cs="Arial"/>
                <w:highlight w:val="red"/>
              </w:rPr>
            </w:pPr>
          </w:p>
        </w:tc>
        <w:tc>
          <w:tcPr>
            <w:tcW w:w="492" w:type="pct"/>
            <w:vAlign w:val="center"/>
          </w:tcPr>
          <w:p w14:paraId="58D5192D" w14:textId="493310C3" w:rsidR="004A22B4" w:rsidRPr="006822CA" w:rsidRDefault="00C70464" w:rsidP="004A22B4">
            <w:pPr>
              <w:tabs>
                <w:tab w:val="decimal" w:pos="889"/>
              </w:tabs>
              <w:jc w:val="right"/>
              <w:rPr>
                <w:rFonts w:cs="Arial"/>
              </w:rPr>
            </w:pPr>
            <w:r>
              <w:rPr>
                <w:rFonts w:cs="Arial"/>
              </w:rPr>
              <w:t>1,458</w:t>
            </w:r>
          </w:p>
        </w:tc>
        <w:tc>
          <w:tcPr>
            <w:tcW w:w="471" w:type="pct"/>
            <w:vAlign w:val="center"/>
          </w:tcPr>
          <w:p w14:paraId="0233AD0A" w14:textId="77777777" w:rsidR="004A22B4" w:rsidRPr="00D948C1" w:rsidRDefault="004A22B4" w:rsidP="004A22B4">
            <w:pPr>
              <w:tabs>
                <w:tab w:val="decimal" w:pos="885"/>
              </w:tabs>
              <w:jc w:val="right"/>
              <w:rPr>
                <w:rFonts w:cs="Arial"/>
                <w:highlight w:val="red"/>
              </w:rPr>
            </w:pPr>
          </w:p>
        </w:tc>
        <w:tc>
          <w:tcPr>
            <w:tcW w:w="492" w:type="pct"/>
            <w:vAlign w:val="center"/>
          </w:tcPr>
          <w:p w14:paraId="13821C5F" w14:textId="77777777" w:rsidR="004A22B4" w:rsidRPr="00D948C1" w:rsidRDefault="004A22B4" w:rsidP="004A22B4">
            <w:pPr>
              <w:tabs>
                <w:tab w:val="decimal" w:pos="601"/>
              </w:tabs>
              <w:jc w:val="right"/>
              <w:rPr>
                <w:rFonts w:cs="Arial"/>
                <w:highlight w:val="red"/>
              </w:rPr>
            </w:pPr>
          </w:p>
        </w:tc>
        <w:tc>
          <w:tcPr>
            <w:tcW w:w="492" w:type="pct"/>
            <w:vAlign w:val="center"/>
          </w:tcPr>
          <w:p w14:paraId="018723C9" w14:textId="0E1E8E36" w:rsidR="004A22B4" w:rsidRPr="00853E26" w:rsidRDefault="004A22B4" w:rsidP="004A22B4">
            <w:pPr>
              <w:tabs>
                <w:tab w:val="decimal" w:pos="889"/>
              </w:tabs>
              <w:jc w:val="right"/>
              <w:rPr>
                <w:rFonts w:cs="Arial"/>
              </w:rPr>
            </w:pPr>
            <w:r w:rsidRPr="006822CA">
              <w:rPr>
                <w:rFonts w:cs="Arial"/>
              </w:rPr>
              <w:t>(3,645)</w:t>
            </w:r>
          </w:p>
        </w:tc>
      </w:tr>
      <w:tr w:rsidR="004A22B4" w:rsidRPr="00D948C1" w14:paraId="3B437605" w14:textId="77777777" w:rsidTr="6498351E">
        <w:tc>
          <w:tcPr>
            <w:tcW w:w="1814" w:type="pct"/>
          </w:tcPr>
          <w:p w14:paraId="086826D1" w14:textId="588AF908" w:rsidR="004A22B4" w:rsidRPr="00853E26" w:rsidRDefault="004A22B4" w:rsidP="004A22B4">
            <w:pPr>
              <w:rPr>
                <w:rFonts w:cs="Arial"/>
              </w:rPr>
            </w:pPr>
            <w:r w:rsidRPr="00853E26">
              <w:rPr>
                <w:rFonts w:cs="Arial"/>
              </w:rPr>
              <w:t>Actuarial (gains)</w:t>
            </w:r>
            <w:r w:rsidR="007176B8">
              <w:rPr>
                <w:rFonts w:cs="Arial"/>
              </w:rPr>
              <w:t xml:space="preserve"> or </w:t>
            </w:r>
            <w:r w:rsidRPr="00853E26">
              <w:rPr>
                <w:rFonts w:cs="Arial"/>
              </w:rPr>
              <w:t>losses on pensions assets and liabilities</w:t>
            </w:r>
          </w:p>
        </w:tc>
        <w:tc>
          <w:tcPr>
            <w:tcW w:w="349" w:type="pct"/>
            <w:vAlign w:val="center"/>
          </w:tcPr>
          <w:p w14:paraId="6DA1E0DE" w14:textId="47F04FAE" w:rsidR="004A22B4" w:rsidRPr="00D948C1" w:rsidRDefault="004A22B4" w:rsidP="004A22B4">
            <w:pPr>
              <w:jc w:val="center"/>
              <w:rPr>
                <w:rStyle w:val="Hyperlink"/>
                <w:highlight w:val="red"/>
              </w:rPr>
            </w:pPr>
            <w:hyperlink w:anchor="_19_Unusable_Reserves">
              <w:r>
                <w:rPr>
                  <w:rStyle w:val="Hyperlink"/>
                </w:rPr>
                <w:t>19</w:t>
              </w:r>
            </w:hyperlink>
          </w:p>
        </w:tc>
        <w:tc>
          <w:tcPr>
            <w:tcW w:w="492" w:type="pct"/>
          </w:tcPr>
          <w:p w14:paraId="1EA5DF64" w14:textId="4FAAFC67" w:rsidR="004A22B4" w:rsidRPr="00D948C1" w:rsidRDefault="004A22B4" w:rsidP="004A22B4">
            <w:pPr>
              <w:tabs>
                <w:tab w:val="decimal" w:pos="884"/>
              </w:tabs>
              <w:rPr>
                <w:rFonts w:cs="Arial"/>
                <w:highlight w:val="red"/>
              </w:rPr>
            </w:pPr>
          </w:p>
        </w:tc>
        <w:tc>
          <w:tcPr>
            <w:tcW w:w="399" w:type="pct"/>
          </w:tcPr>
          <w:p w14:paraId="5C77D365" w14:textId="77777777" w:rsidR="004A22B4" w:rsidRPr="00D948C1" w:rsidRDefault="004A22B4" w:rsidP="004A22B4">
            <w:pPr>
              <w:tabs>
                <w:tab w:val="decimal" w:pos="884"/>
              </w:tabs>
              <w:rPr>
                <w:rFonts w:cs="Arial"/>
                <w:highlight w:val="red"/>
              </w:rPr>
            </w:pPr>
          </w:p>
        </w:tc>
        <w:tc>
          <w:tcPr>
            <w:tcW w:w="492" w:type="pct"/>
            <w:vAlign w:val="center"/>
          </w:tcPr>
          <w:p w14:paraId="7BF5C23F" w14:textId="484C71C2" w:rsidR="004A22B4" w:rsidRPr="006822CA" w:rsidRDefault="00C70464" w:rsidP="004A22B4">
            <w:pPr>
              <w:tabs>
                <w:tab w:val="decimal" w:pos="889"/>
              </w:tabs>
              <w:jc w:val="right"/>
              <w:rPr>
                <w:rFonts w:cs="Arial"/>
              </w:rPr>
            </w:pPr>
            <w:r>
              <w:rPr>
                <w:rFonts w:cs="Arial"/>
              </w:rPr>
              <w:t>(14,448)</w:t>
            </w:r>
          </w:p>
        </w:tc>
        <w:tc>
          <w:tcPr>
            <w:tcW w:w="471" w:type="pct"/>
            <w:vAlign w:val="center"/>
          </w:tcPr>
          <w:p w14:paraId="1E29F50F" w14:textId="18D38FD5" w:rsidR="004A22B4" w:rsidRPr="00D948C1" w:rsidRDefault="004A22B4" w:rsidP="004A22B4">
            <w:pPr>
              <w:tabs>
                <w:tab w:val="decimal" w:pos="885"/>
              </w:tabs>
              <w:jc w:val="right"/>
              <w:rPr>
                <w:rFonts w:cs="Arial"/>
                <w:highlight w:val="red"/>
              </w:rPr>
            </w:pPr>
          </w:p>
        </w:tc>
        <w:tc>
          <w:tcPr>
            <w:tcW w:w="492" w:type="pct"/>
            <w:vAlign w:val="center"/>
          </w:tcPr>
          <w:p w14:paraId="4AAAF1D4" w14:textId="77777777" w:rsidR="004A22B4" w:rsidRPr="00D948C1" w:rsidRDefault="004A22B4" w:rsidP="004A22B4">
            <w:pPr>
              <w:tabs>
                <w:tab w:val="decimal" w:pos="601"/>
              </w:tabs>
              <w:jc w:val="right"/>
              <w:rPr>
                <w:rFonts w:cs="Arial"/>
                <w:highlight w:val="red"/>
              </w:rPr>
            </w:pPr>
          </w:p>
        </w:tc>
        <w:tc>
          <w:tcPr>
            <w:tcW w:w="492" w:type="pct"/>
            <w:vAlign w:val="center"/>
          </w:tcPr>
          <w:p w14:paraId="1B0C2065" w14:textId="1D09D91C" w:rsidR="004A22B4" w:rsidRPr="00853E26" w:rsidRDefault="004A22B4" w:rsidP="004A22B4">
            <w:pPr>
              <w:tabs>
                <w:tab w:val="decimal" w:pos="889"/>
              </w:tabs>
              <w:jc w:val="right"/>
              <w:rPr>
                <w:rFonts w:cs="Arial"/>
              </w:rPr>
            </w:pPr>
            <w:r w:rsidRPr="006822CA">
              <w:rPr>
                <w:rFonts w:cs="Arial"/>
              </w:rPr>
              <w:t>(67,199)</w:t>
            </w:r>
          </w:p>
        </w:tc>
      </w:tr>
      <w:tr w:rsidR="004A22B4" w:rsidRPr="00D948C1" w14:paraId="19E3407C" w14:textId="77777777" w:rsidTr="6498351E">
        <w:tc>
          <w:tcPr>
            <w:tcW w:w="1814" w:type="pct"/>
          </w:tcPr>
          <w:p w14:paraId="50923FDB" w14:textId="77777777" w:rsidR="004A22B4" w:rsidRPr="00C70464" w:rsidRDefault="004A22B4" w:rsidP="004A22B4">
            <w:pPr>
              <w:rPr>
                <w:rFonts w:cs="Arial"/>
                <w:b/>
                <w:bCs/>
              </w:rPr>
            </w:pPr>
            <w:r w:rsidRPr="00C70464">
              <w:rPr>
                <w:rFonts w:cs="Arial"/>
                <w:b/>
                <w:bCs/>
              </w:rPr>
              <w:t>Other comprehensive income &amp; expenditure</w:t>
            </w:r>
          </w:p>
        </w:tc>
        <w:tc>
          <w:tcPr>
            <w:tcW w:w="349" w:type="pct"/>
          </w:tcPr>
          <w:p w14:paraId="0F36D4D3" w14:textId="77777777" w:rsidR="004A22B4" w:rsidRPr="00D948C1" w:rsidRDefault="004A22B4" w:rsidP="004A22B4">
            <w:pPr>
              <w:jc w:val="center"/>
              <w:rPr>
                <w:rStyle w:val="Hyperlink"/>
                <w:highlight w:val="red"/>
              </w:rPr>
            </w:pPr>
          </w:p>
        </w:tc>
        <w:tc>
          <w:tcPr>
            <w:tcW w:w="492" w:type="pct"/>
          </w:tcPr>
          <w:p w14:paraId="15A8820A" w14:textId="763CA29A" w:rsidR="004A22B4" w:rsidRPr="00D948C1" w:rsidRDefault="004A22B4" w:rsidP="004A22B4">
            <w:pPr>
              <w:tabs>
                <w:tab w:val="decimal" w:pos="884"/>
              </w:tabs>
              <w:rPr>
                <w:rFonts w:cs="Arial"/>
                <w:highlight w:val="red"/>
              </w:rPr>
            </w:pPr>
          </w:p>
        </w:tc>
        <w:tc>
          <w:tcPr>
            <w:tcW w:w="399" w:type="pct"/>
          </w:tcPr>
          <w:p w14:paraId="7C916610" w14:textId="77777777" w:rsidR="004A22B4" w:rsidRPr="00D948C1" w:rsidRDefault="004A22B4" w:rsidP="004A22B4">
            <w:pPr>
              <w:tabs>
                <w:tab w:val="decimal" w:pos="884"/>
              </w:tabs>
              <w:rPr>
                <w:rFonts w:cs="Arial"/>
                <w:highlight w:val="red"/>
              </w:rPr>
            </w:pPr>
          </w:p>
        </w:tc>
        <w:tc>
          <w:tcPr>
            <w:tcW w:w="492" w:type="pct"/>
          </w:tcPr>
          <w:p w14:paraId="710568FF" w14:textId="22B8A5BE" w:rsidR="004A22B4" w:rsidRPr="00C70464" w:rsidRDefault="00C70464" w:rsidP="004A22B4">
            <w:pPr>
              <w:tabs>
                <w:tab w:val="decimal" w:pos="889"/>
              </w:tabs>
              <w:jc w:val="right"/>
              <w:rPr>
                <w:rFonts w:cs="Arial"/>
                <w:b/>
                <w:bCs/>
              </w:rPr>
            </w:pPr>
            <w:r w:rsidRPr="00C70464">
              <w:rPr>
                <w:rFonts w:cs="Arial"/>
                <w:b/>
                <w:bCs/>
              </w:rPr>
              <w:t>(12,990)</w:t>
            </w:r>
          </w:p>
        </w:tc>
        <w:tc>
          <w:tcPr>
            <w:tcW w:w="471" w:type="pct"/>
          </w:tcPr>
          <w:p w14:paraId="779A0222" w14:textId="7D7642D5" w:rsidR="004A22B4" w:rsidRPr="00D948C1" w:rsidRDefault="004A22B4" w:rsidP="004A22B4">
            <w:pPr>
              <w:tabs>
                <w:tab w:val="decimal" w:pos="885"/>
              </w:tabs>
              <w:rPr>
                <w:rFonts w:cs="Arial"/>
                <w:highlight w:val="red"/>
              </w:rPr>
            </w:pPr>
          </w:p>
        </w:tc>
        <w:tc>
          <w:tcPr>
            <w:tcW w:w="492" w:type="pct"/>
          </w:tcPr>
          <w:p w14:paraId="6A50CA29" w14:textId="77777777" w:rsidR="004A22B4" w:rsidRPr="00D948C1" w:rsidRDefault="004A22B4" w:rsidP="004A22B4">
            <w:pPr>
              <w:tabs>
                <w:tab w:val="decimal" w:pos="601"/>
              </w:tabs>
              <w:jc w:val="both"/>
              <w:rPr>
                <w:rFonts w:cs="Arial"/>
                <w:highlight w:val="red"/>
              </w:rPr>
            </w:pPr>
          </w:p>
        </w:tc>
        <w:tc>
          <w:tcPr>
            <w:tcW w:w="492" w:type="pct"/>
          </w:tcPr>
          <w:p w14:paraId="386871D1" w14:textId="6F44F54A" w:rsidR="004A22B4" w:rsidRPr="00C70464" w:rsidRDefault="004A22B4" w:rsidP="004A22B4">
            <w:pPr>
              <w:tabs>
                <w:tab w:val="decimal" w:pos="889"/>
              </w:tabs>
              <w:jc w:val="right"/>
              <w:rPr>
                <w:rFonts w:cs="Arial"/>
                <w:b/>
                <w:bCs/>
              </w:rPr>
            </w:pPr>
            <w:r w:rsidRPr="00C70464">
              <w:rPr>
                <w:rFonts w:cs="Arial"/>
                <w:b/>
                <w:bCs/>
              </w:rPr>
              <w:t>(70,845)</w:t>
            </w:r>
          </w:p>
        </w:tc>
      </w:tr>
      <w:tr w:rsidR="004A22B4" w:rsidRPr="00D948C1" w14:paraId="436605F0" w14:textId="77777777" w:rsidTr="6498351E">
        <w:tc>
          <w:tcPr>
            <w:tcW w:w="1814" w:type="pct"/>
          </w:tcPr>
          <w:p w14:paraId="1F797848" w14:textId="77777777" w:rsidR="004A22B4" w:rsidRPr="00C70464" w:rsidRDefault="004A22B4" w:rsidP="004A22B4">
            <w:pPr>
              <w:rPr>
                <w:rFonts w:cs="Arial"/>
                <w:b/>
                <w:bCs/>
              </w:rPr>
            </w:pPr>
            <w:r w:rsidRPr="00C70464">
              <w:rPr>
                <w:rFonts w:cs="Arial"/>
                <w:b/>
                <w:bCs/>
              </w:rPr>
              <w:t>Total Comprehensive Income and Expenditure</w:t>
            </w:r>
          </w:p>
        </w:tc>
        <w:tc>
          <w:tcPr>
            <w:tcW w:w="349" w:type="pct"/>
          </w:tcPr>
          <w:p w14:paraId="292CA78A" w14:textId="77777777" w:rsidR="004A22B4" w:rsidRPr="00D948C1" w:rsidRDefault="004A22B4" w:rsidP="004A22B4">
            <w:pPr>
              <w:jc w:val="center"/>
              <w:rPr>
                <w:rStyle w:val="Hyperlink"/>
                <w:highlight w:val="red"/>
              </w:rPr>
            </w:pPr>
          </w:p>
        </w:tc>
        <w:tc>
          <w:tcPr>
            <w:tcW w:w="492" w:type="pct"/>
          </w:tcPr>
          <w:p w14:paraId="1208351B" w14:textId="458F6543" w:rsidR="004A22B4" w:rsidRPr="00D948C1" w:rsidRDefault="004A22B4" w:rsidP="004A22B4">
            <w:pPr>
              <w:tabs>
                <w:tab w:val="decimal" w:pos="884"/>
              </w:tabs>
              <w:rPr>
                <w:rFonts w:cs="Arial"/>
                <w:highlight w:val="red"/>
              </w:rPr>
            </w:pPr>
          </w:p>
        </w:tc>
        <w:tc>
          <w:tcPr>
            <w:tcW w:w="399" w:type="pct"/>
          </w:tcPr>
          <w:p w14:paraId="5FEA0334" w14:textId="77777777" w:rsidR="004A22B4" w:rsidRPr="00D948C1" w:rsidRDefault="004A22B4" w:rsidP="004A22B4">
            <w:pPr>
              <w:tabs>
                <w:tab w:val="decimal" w:pos="884"/>
              </w:tabs>
              <w:rPr>
                <w:rFonts w:cs="Arial"/>
                <w:highlight w:val="red"/>
              </w:rPr>
            </w:pPr>
          </w:p>
        </w:tc>
        <w:tc>
          <w:tcPr>
            <w:tcW w:w="492" w:type="pct"/>
          </w:tcPr>
          <w:p w14:paraId="2F89DD26" w14:textId="15150021" w:rsidR="004A22B4" w:rsidRPr="006822CA" w:rsidRDefault="00C70464" w:rsidP="004A22B4">
            <w:pPr>
              <w:tabs>
                <w:tab w:val="decimal" w:pos="742"/>
              </w:tabs>
              <w:jc w:val="right"/>
              <w:rPr>
                <w:rFonts w:cs="Arial"/>
                <w:b/>
                <w:bCs/>
              </w:rPr>
            </w:pPr>
            <w:r>
              <w:rPr>
                <w:rFonts w:cs="Arial"/>
                <w:b/>
                <w:bCs/>
              </w:rPr>
              <w:t>(10,1</w:t>
            </w:r>
            <w:r w:rsidR="002261AB">
              <w:rPr>
                <w:rFonts w:cs="Arial"/>
                <w:b/>
                <w:bCs/>
              </w:rPr>
              <w:t>57</w:t>
            </w:r>
            <w:r>
              <w:rPr>
                <w:rFonts w:cs="Arial"/>
                <w:b/>
                <w:bCs/>
              </w:rPr>
              <w:t>)</w:t>
            </w:r>
          </w:p>
        </w:tc>
        <w:tc>
          <w:tcPr>
            <w:tcW w:w="471" w:type="pct"/>
          </w:tcPr>
          <w:p w14:paraId="56F5CCED" w14:textId="3E3C8CE9" w:rsidR="004A22B4" w:rsidRPr="00D948C1" w:rsidRDefault="004A22B4" w:rsidP="004A22B4">
            <w:pPr>
              <w:tabs>
                <w:tab w:val="decimal" w:pos="885"/>
              </w:tabs>
              <w:rPr>
                <w:rFonts w:cs="Arial"/>
                <w:b/>
                <w:bCs/>
                <w:highlight w:val="red"/>
              </w:rPr>
            </w:pPr>
          </w:p>
        </w:tc>
        <w:tc>
          <w:tcPr>
            <w:tcW w:w="492" w:type="pct"/>
          </w:tcPr>
          <w:p w14:paraId="2EC37CEF" w14:textId="77777777" w:rsidR="004A22B4" w:rsidRPr="00D948C1" w:rsidRDefault="004A22B4" w:rsidP="004A22B4">
            <w:pPr>
              <w:tabs>
                <w:tab w:val="decimal" w:pos="601"/>
              </w:tabs>
              <w:jc w:val="both"/>
              <w:rPr>
                <w:rFonts w:cs="Arial"/>
                <w:highlight w:val="red"/>
              </w:rPr>
            </w:pPr>
          </w:p>
        </w:tc>
        <w:tc>
          <w:tcPr>
            <w:tcW w:w="492" w:type="pct"/>
          </w:tcPr>
          <w:p w14:paraId="1C9CB8B0" w14:textId="12B3AA32" w:rsidR="004A22B4" w:rsidRPr="00853E26" w:rsidRDefault="004A22B4" w:rsidP="004A22B4">
            <w:pPr>
              <w:tabs>
                <w:tab w:val="decimal" w:pos="742"/>
              </w:tabs>
              <w:jc w:val="right"/>
              <w:rPr>
                <w:rFonts w:cs="Arial"/>
                <w:b/>
                <w:bCs/>
              </w:rPr>
            </w:pPr>
            <w:r w:rsidRPr="006822CA">
              <w:rPr>
                <w:rFonts w:cs="Arial"/>
                <w:b/>
                <w:bCs/>
              </w:rPr>
              <w:t>(67,791)</w:t>
            </w:r>
          </w:p>
        </w:tc>
      </w:tr>
    </w:tbl>
    <w:p w14:paraId="74DB2AFC" w14:textId="77777777" w:rsidR="00E216EE" w:rsidRPr="00D948C1" w:rsidRDefault="00E216EE" w:rsidP="095637AE">
      <w:pPr>
        <w:rPr>
          <w:highlight w:val="red"/>
        </w:rPr>
        <w:sectPr w:rsidR="00E216EE" w:rsidRPr="00D948C1" w:rsidSect="001C1966">
          <w:pgSz w:w="16840" w:h="11907" w:orient="landscape" w:code="9"/>
          <w:pgMar w:top="1134" w:right="851" w:bottom="851" w:left="737" w:header="720" w:footer="720" w:gutter="0"/>
          <w:cols w:space="720"/>
          <w:docGrid w:linePitch="326"/>
        </w:sectPr>
      </w:pPr>
    </w:p>
    <w:p w14:paraId="331C1265" w14:textId="4294BE1F" w:rsidR="00BC0AFA" w:rsidRPr="00D948C1" w:rsidRDefault="002618EE" w:rsidP="007461FD">
      <w:pPr>
        <w:pStyle w:val="Heading1"/>
        <w:rPr>
          <w:szCs w:val="24"/>
        </w:rPr>
      </w:pPr>
      <w:bookmarkStart w:id="12" w:name="MIRS"/>
      <w:bookmarkStart w:id="13" w:name="_Toc233717515"/>
      <w:bookmarkEnd w:id="12"/>
      <w:r w:rsidRPr="00D948C1">
        <w:rPr>
          <w:szCs w:val="24"/>
        </w:rPr>
        <w:lastRenderedPageBreak/>
        <w:t xml:space="preserve">Movement in Reserves Statement </w:t>
      </w:r>
      <w:r w:rsidR="001A42DD">
        <w:rPr>
          <w:szCs w:val="24"/>
        </w:rPr>
        <w:t>2025-26</w:t>
      </w:r>
      <w:bookmarkEnd w:id="13"/>
    </w:p>
    <w:p w14:paraId="56FA8C73" w14:textId="77777777" w:rsidR="001C2B3D" w:rsidRPr="00D948C1" w:rsidRDefault="001C2B3D" w:rsidP="007461FD">
      <w:pPr>
        <w:tabs>
          <w:tab w:val="left" w:pos="720"/>
          <w:tab w:val="right" w:pos="5760"/>
        </w:tabs>
        <w:rPr>
          <w:b/>
          <w:szCs w:val="24"/>
        </w:rPr>
      </w:pPr>
    </w:p>
    <w:tbl>
      <w:tblPr>
        <w:tblW w:w="4668" w:type="pct"/>
        <w:tblLook w:val="01E0" w:firstRow="1" w:lastRow="1" w:firstColumn="1" w:lastColumn="1" w:noHBand="0" w:noVBand="0"/>
      </w:tblPr>
      <w:tblGrid>
        <w:gridCol w:w="4141"/>
        <w:gridCol w:w="1218"/>
        <w:gridCol w:w="1392"/>
        <w:gridCol w:w="1218"/>
        <w:gridCol w:w="1275"/>
        <w:gridCol w:w="1218"/>
        <w:gridCol w:w="1218"/>
        <w:gridCol w:w="1275"/>
        <w:gridCol w:w="1275"/>
      </w:tblGrid>
      <w:tr w:rsidR="000850E2" w:rsidRPr="00D948C1" w14:paraId="60E4372C" w14:textId="77777777" w:rsidTr="00E952A1">
        <w:trPr>
          <w:tblHeader/>
        </w:trPr>
        <w:tc>
          <w:tcPr>
            <w:tcW w:w="1455" w:type="pct"/>
            <w:tcBorders>
              <w:top w:val="single" w:sz="4" w:space="0" w:color="auto"/>
              <w:left w:val="single" w:sz="4" w:space="0" w:color="auto"/>
              <w:bottom w:val="single" w:sz="4" w:space="0" w:color="auto"/>
              <w:right w:val="single" w:sz="4" w:space="0" w:color="auto"/>
            </w:tcBorders>
            <w:shd w:val="clear" w:color="auto" w:fill="BD2716"/>
            <w:vAlign w:val="center"/>
          </w:tcPr>
          <w:p w14:paraId="08D0DC47" w14:textId="19CEAB30" w:rsidR="00714A3E" w:rsidRPr="00D948C1" w:rsidRDefault="00714A3E" w:rsidP="00FA71D8">
            <w:pPr>
              <w:rPr>
                <w:rFonts w:cs="Arial"/>
                <w:color w:val="FFFFFF" w:themeColor="background1"/>
                <w:szCs w:val="24"/>
              </w:rPr>
            </w:pPr>
            <w:bookmarkStart w:id="14" w:name="_Hlk68095853"/>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33D8BDE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General fund</w:t>
            </w:r>
          </w:p>
          <w:p w14:paraId="4F9F51E1" w14:textId="3430C0A5"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89" w:type="pct"/>
            <w:tcBorders>
              <w:top w:val="single" w:sz="4" w:space="0" w:color="auto"/>
              <w:left w:val="single" w:sz="4" w:space="0" w:color="auto"/>
              <w:bottom w:val="single" w:sz="4" w:space="0" w:color="auto"/>
              <w:right w:val="single" w:sz="4" w:space="0" w:color="auto"/>
            </w:tcBorders>
            <w:shd w:val="clear" w:color="auto" w:fill="BD2716"/>
            <w:vAlign w:val="center"/>
          </w:tcPr>
          <w:p w14:paraId="4314780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Earmarked reserves</w:t>
            </w:r>
          </w:p>
          <w:p w14:paraId="2E150685" w14:textId="1199E508"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7D58B5F7"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General Fund Balance</w:t>
            </w:r>
          </w:p>
          <w:p w14:paraId="77A7F7BA" w14:textId="6D9D120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48CBE3AC"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grant unapplied reserve</w:t>
            </w:r>
          </w:p>
          <w:p w14:paraId="450F0A0F" w14:textId="7A13A8A9"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06E931C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receipts reserve</w:t>
            </w:r>
          </w:p>
          <w:p w14:paraId="6D01BE83" w14:textId="3B28678E"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25D6F2A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usable reserves</w:t>
            </w:r>
          </w:p>
          <w:p w14:paraId="76F688FE" w14:textId="42280E78"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7C0BB1C6"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Unusable reserves</w:t>
            </w:r>
          </w:p>
          <w:p w14:paraId="6AF27D92" w14:textId="67AFE80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7D97D35D"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Authority reserves</w:t>
            </w:r>
          </w:p>
          <w:p w14:paraId="73C82945" w14:textId="4494A4ED"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r>
      <w:tr w:rsidR="00F41CB4" w:rsidRPr="00D948C1" w14:paraId="471E4A0D" w14:textId="77777777" w:rsidTr="00E952A1">
        <w:trPr>
          <w:trHeight w:val="601"/>
        </w:trPr>
        <w:tc>
          <w:tcPr>
            <w:tcW w:w="1455" w:type="pct"/>
            <w:tcBorders>
              <w:top w:val="single" w:sz="4" w:space="0" w:color="auto"/>
              <w:left w:val="single" w:sz="4" w:space="0" w:color="auto"/>
              <w:bottom w:val="single" w:sz="4" w:space="0" w:color="auto"/>
              <w:right w:val="single" w:sz="4" w:space="0" w:color="auto"/>
            </w:tcBorders>
            <w:vAlign w:val="center"/>
          </w:tcPr>
          <w:p w14:paraId="559493BB" w14:textId="4FF293D5" w:rsidR="00F41CB4" w:rsidRPr="00D948C1" w:rsidRDefault="00F41CB4" w:rsidP="00F41CB4">
            <w:pPr>
              <w:rPr>
                <w:rFonts w:cs="Arial"/>
                <w:b/>
                <w:bCs/>
                <w:highlight w:val="red"/>
              </w:rPr>
            </w:pPr>
            <w:r w:rsidRPr="00853E26">
              <w:rPr>
                <w:rFonts w:cs="Arial"/>
                <w:b/>
                <w:bCs/>
              </w:rPr>
              <w:t xml:space="preserve">Balance </w:t>
            </w:r>
            <w:proofErr w:type="gramStart"/>
            <w:r w:rsidRPr="00853E26">
              <w:rPr>
                <w:rFonts w:cs="Arial"/>
                <w:b/>
                <w:bCs/>
              </w:rPr>
              <w:t>at</w:t>
            </w:r>
            <w:proofErr w:type="gramEnd"/>
            <w:r w:rsidRPr="00853E26">
              <w:rPr>
                <w:rFonts w:cs="Arial"/>
                <w:b/>
                <w:bCs/>
              </w:rPr>
              <w:t xml:space="preserve"> 31 March 202</w:t>
            </w:r>
            <w:r>
              <w:rPr>
                <w:rFonts w:cs="Arial"/>
                <w:b/>
                <w:bCs/>
              </w:rPr>
              <w:t>5</w:t>
            </w:r>
            <w:r w:rsidRPr="00853E26">
              <w:rPr>
                <w:rFonts w:cs="Arial"/>
                <w:b/>
                <w:bCs/>
              </w:rPr>
              <w:t xml:space="preserve"> carried forwards</w:t>
            </w:r>
          </w:p>
        </w:tc>
        <w:tc>
          <w:tcPr>
            <w:tcW w:w="428" w:type="pct"/>
            <w:tcBorders>
              <w:top w:val="single" w:sz="4" w:space="0" w:color="auto"/>
              <w:left w:val="single" w:sz="4" w:space="0" w:color="auto"/>
              <w:bottom w:val="single" w:sz="4" w:space="0" w:color="auto"/>
              <w:right w:val="single" w:sz="4" w:space="0" w:color="auto"/>
            </w:tcBorders>
            <w:vAlign w:val="center"/>
          </w:tcPr>
          <w:p w14:paraId="3FF45B4E" w14:textId="3F63AEC7" w:rsidR="00F41CB4" w:rsidRPr="00853E26" w:rsidRDefault="00F41CB4" w:rsidP="00F41CB4">
            <w:pPr>
              <w:jc w:val="right"/>
              <w:rPr>
                <w:rFonts w:cs="Arial"/>
                <w:b/>
                <w:bCs/>
              </w:rPr>
            </w:pPr>
            <w:r w:rsidRPr="00BB7FAB">
              <w:rPr>
                <w:rFonts w:cs="Arial"/>
                <w:b/>
                <w:bCs/>
                <w:szCs w:val="24"/>
              </w:rPr>
              <w:t>6,564</w:t>
            </w:r>
          </w:p>
        </w:tc>
        <w:tc>
          <w:tcPr>
            <w:tcW w:w="489" w:type="pct"/>
            <w:tcBorders>
              <w:top w:val="single" w:sz="4" w:space="0" w:color="auto"/>
              <w:left w:val="single" w:sz="4" w:space="0" w:color="auto"/>
              <w:bottom w:val="single" w:sz="4" w:space="0" w:color="auto"/>
              <w:right w:val="single" w:sz="4" w:space="0" w:color="auto"/>
            </w:tcBorders>
            <w:vAlign w:val="center"/>
          </w:tcPr>
          <w:p w14:paraId="1C5F882B" w14:textId="6E34DFBB" w:rsidR="00F41CB4" w:rsidRPr="00853E26" w:rsidRDefault="00F41CB4" w:rsidP="00F41CB4">
            <w:pPr>
              <w:jc w:val="right"/>
              <w:rPr>
                <w:rFonts w:cs="Arial"/>
                <w:b/>
                <w:bCs/>
              </w:rPr>
            </w:pPr>
            <w:r>
              <w:rPr>
                <w:rFonts w:cs="Arial"/>
                <w:b/>
                <w:bCs/>
                <w:szCs w:val="24"/>
              </w:rPr>
              <w:t>29</w:t>
            </w:r>
            <w:r w:rsidRPr="00BB7FAB">
              <w:rPr>
                <w:rFonts w:cs="Arial"/>
                <w:b/>
                <w:bCs/>
                <w:szCs w:val="24"/>
              </w:rPr>
              <w:t>,</w:t>
            </w:r>
            <w:r>
              <w:rPr>
                <w:rFonts w:cs="Arial"/>
                <w:b/>
                <w:bCs/>
                <w:szCs w:val="24"/>
              </w:rPr>
              <w:t>012</w:t>
            </w:r>
          </w:p>
        </w:tc>
        <w:tc>
          <w:tcPr>
            <w:tcW w:w="428" w:type="pct"/>
            <w:tcBorders>
              <w:top w:val="single" w:sz="4" w:space="0" w:color="auto"/>
              <w:left w:val="single" w:sz="4" w:space="0" w:color="auto"/>
              <w:bottom w:val="single" w:sz="4" w:space="0" w:color="auto"/>
              <w:right w:val="single" w:sz="4" w:space="0" w:color="auto"/>
            </w:tcBorders>
            <w:vAlign w:val="center"/>
          </w:tcPr>
          <w:p w14:paraId="17F7A261" w14:textId="7D780829" w:rsidR="00F41CB4" w:rsidRPr="00853E26" w:rsidRDefault="00F41CB4" w:rsidP="00F41CB4">
            <w:pPr>
              <w:jc w:val="right"/>
              <w:rPr>
                <w:rFonts w:cs="Arial"/>
                <w:b/>
                <w:bCs/>
              </w:rPr>
            </w:pPr>
            <w:r>
              <w:rPr>
                <w:rFonts w:cs="Arial"/>
                <w:b/>
                <w:bCs/>
                <w:szCs w:val="24"/>
              </w:rPr>
              <w:t>35</w:t>
            </w:r>
            <w:r w:rsidRPr="00BB7FAB">
              <w:rPr>
                <w:rFonts w:cs="Arial"/>
                <w:b/>
                <w:bCs/>
                <w:szCs w:val="24"/>
              </w:rPr>
              <w:t>,</w:t>
            </w:r>
            <w:r>
              <w:rPr>
                <w:rFonts w:cs="Arial"/>
                <w:b/>
                <w:bCs/>
                <w:szCs w:val="24"/>
              </w:rPr>
              <w:t>576</w:t>
            </w:r>
          </w:p>
        </w:tc>
        <w:tc>
          <w:tcPr>
            <w:tcW w:w="448" w:type="pct"/>
            <w:tcBorders>
              <w:top w:val="single" w:sz="4" w:space="0" w:color="auto"/>
              <w:left w:val="single" w:sz="4" w:space="0" w:color="auto"/>
              <w:bottom w:val="single" w:sz="4" w:space="0" w:color="auto"/>
              <w:right w:val="single" w:sz="4" w:space="0" w:color="auto"/>
            </w:tcBorders>
            <w:vAlign w:val="center"/>
          </w:tcPr>
          <w:p w14:paraId="03224375" w14:textId="00DDF739" w:rsidR="00F41CB4" w:rsidRPr="00853E26" w:rsidRDefault="00F41CB4" w:rsidP="00F41CB4">
            <w:pPr>
              <w:jc w:val="right"/>
              <w:rPr>
                <w:rFonts w:cs="Arial"/>
                <w:b/>
                <w:bCs/>
              </w:rPr>
            </w:pPr>
            <w:r w:rsidRPr="00BB7FAB">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54827EAC" w14:textId="5E61EF97" w:rsidR="00F41CB4" w:rsidRPr="00853E26" w:rsidRDefault="00F41CB4" w:rsidP="00F41CB4">
            <w:pPr>
              <w:jc w:val="right"/>
              <w:rPr>
                <w:rFonts w:cs="Arial"/>
                <w:b/>
                <w:bCs/>
              </w:rPr>
            </w:pPr>
            <w:r w:rsidRPr="00BB7FAB">
              <w:rPr>
                <w:rFonts w:cs="Arial"/>
                <w:b/>
                <w:bCs/>
                <w:szCs w:val="24"/>
              </w:rPr>
              <w:t>194</w:t>
            </w:r>
          </w:p>
        </w:tc>
        <w:tc>
          <w:tcPr>
            <w:tcW w:w="428" w:type="pct"/>
            <w:tcBorders>
              <w:top w:val="single" w:sz="4" w:space="0" w:color="auto"/>
              <w:left w:val="single" w:sz="4" w:space="0" w:color="auto"/>
              <w:bottom w:val="single" w:sz="4" w:space="0" w:color="auto"/>
              <w:right w:val="single" w:sz="4" w:space="0" w:color="auto"/>
            </w:tcBorders>
            <w:vAlign w:val="center"/>
          </w:tcPr>
          <w:p w14:paraId="2D427BE8" w14:textId="6E31624C" w:rsidR="00F41CB4" w:rsidRPr="00853E26" w:rsidRDefault="00F41CB4" w:rsidP="00F41CB4">
            <w:pPr>
              <w:jc w:val="right"/>
              <w:rPr>
                <w:rFonts w:cs="Arial"/>
                <w:b/>
                <w:bCs/>
              </w:rPr>
            </w:pPr>
            <w:r w:rsidRPr="00BB7FAB">
              <w:rPr>
                <w:rFonts w:cs="Arial"/>
                <w:b/>
                <w:bCs/>
                <w:szCs w:val="24"/>
              </w:rPr>
              <w:t>35,770</w:t>
            </w:r>
          </w:p>
        </w:tc>
        <w:tc>
          <w:tcPr>
            <w:tcW w:w="448" w:type="pct"/>
            <w:tcBorders>
              <w:top w:val="single" w:sz="4" w:space="0" w:color="auto"/>
              <w:left w:val="single" w:sz="4" w:space="0" w:color="auto"/>
              <w:bottom w:val="single" w:sz="4" w:space="0" w:color="auto"/>
              <w:right w:val="single" w:sz="4" w:space="0" w:color="auto"/>
            </w:tcBorders>
            <w:vAlign w:val="center"/>
          </w:tcPr>
          <w:p w14:paraId="6A984194" w14:textId="7794FF3B" w:rsidR="00F41CB4" w:rsidRPr="00853E26" w:rsidRDefault="00F41CB4" w:rsidP="00F41CB4">
            <w:pPr>
              <w:jc w:val="right"/>
              <w:rPr>
                <w:rFonts w:cs="Arial"/>
                <w:b/>
                <w:bCs/>
              </w:rPr>
            </w:pPr>
            <w:r w:rsidRPr="00BB7FAB">
              <w:rPr>
                <w:rFonts w:cs="Arial"/>
                <w:b/>
                <w:bCs/>
                <w:szCs w:val="24"/>
              </w:rPr>
              <w:t>(470,932)</w:t>
            </w:r>
          </w:p>
        </w:tc>
        <w:tc>
          <w:tcPr>
            <w:tcW w:w="448" w:type="pct"/>
            <w:tcBorders>
              <w:top w:val="single" w:sz="4" w:space="0" w:color="auto"/>
              <w:left w:val="single" w:sz="4" w:space="0" w:color="auto"/>
              <w:bottom w:val="single" w:sz="4" w:space="0" w:color="auto"/>
              <w:right w:val="single" w:sz="4" w:space="0" w:color="auto"/>
            </w:tcBorders>
            <w:vAlign w:val="center"/>
          </w:tcPr>
          <w:p w14:paraId="6E18C3D9" w14:textId="2A1083EE" w:rsidR="00F41CB4" w:rsidRPr="00853E26" w:rsidRDefault="00F41CB4" w:rsidP="00F41CB4">
            <w:pPr>
              <w:jc w:val="right"/>
              <w:rPr>
                <w:rFonts w:cs="Arial"/>
                <w:b/>
                <w:bCs/>
              </w:rPr>
            </w:pPr>
            <w:r w:rsidRPr="00BB7FAB">
              <w:rPr>
                <w:rFonts w:cs="Arial"/>
                <w:b/>
                <w:bCs/>
                <w:szCs w:val="24"/>
              </w:rPr>
              <w:t>(435,162)</w:t>
            </w:r>
          </w:p>
        </w:tc>
      </w:tr>
    </w:tbl>
    <w:p w14:paraId="6A8DD33C" w14:textId="77777777" w:rsidR="005F5C59" w:rsidRPr="00D948C1" w:rsidRDefault="005F5C59" w:rsidP="095637AE">
      <w:pPr>
        <w:rPr>
          <w:highlight w:val="red"/>
        </w:rPr>
      </w:pPr>
      <w:bookmarkStart w:id="15" w:name="_Hlk96092102"/>
    </w:p>
    <w:tbl>
      <w:tblPr>
        <w:tblW w:w="4669" w:type="pct"/>
        <w:tblLook w:val="01E0" w:firstRow="1" w:lastRow="1" w:firstColumn="1" w:lastColumn="1" w:noHBand="0" w:noVBand="0"/>
      </w:tblPr>
      <w:tblGrid>
        <w:gridCol w:w="4140"/>
        <w:gridCol w:w="1219"/>
        <w:gridCol w:w="1389"/>
        <w:gridCol w:w="1218"/>
        <w:gridCol w:w="1278"/>
        <w:gridCol w:w="1218"/>
        <w:gridCol w:w="1218"/>
        <w:gridCol w:w="1275"/>
        <w:gridCol w:w="1278"/>
      </w:tblGrid>
      <w:tr w:rsidR="00AC1F4E" w:rsidRPr="00D948C1" w14:paraId="2D06ACCF" w14:textId="77777777" w:rsidTr="00AC1F4E">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B7866" w14:textId="62CDC2AF" w:rsidR="00AC1F4E" w:rsidRPr="00853E26" w:rsidRDefault="00AC1F4E" w:rsidP="095637AE">
            <w:pPr>
              <w:rPr>
                <w:rFonts w:cs="Arial"/>
                <w:b/>
                <w:bCs/>
              </w:rPr>
            </w:pPr>
            <w:r w:rsidRPr="00853E26">
              <w:rPr>
                <w:rFonts w:cs="Arial"/>
                <w:b/>
                <w:bCs/>
              </w:rPr>
              <w:t xml:space="preserve">Movement in reserves during </w:t>
            </w:r>
            <w:r w:rsidR="001A42DD">
              <w:rPr>
                <w:rFonts w:cs="Arial"/>
                <w:b/>
                <w:bCs/>
              </w:rPr>
              <w:t>2025-26</w:t>
            </w:r>
          </w:p>
        </w:tc>
      </w:tr>
      <w:tr w:rsidR="00E952A1" w:rsidRPr="00D948C1" w14:paraId="2946426D"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74204D2C" w14:textId="04D5520E" w:rsidR="00714A3E" w:rsidRPr="00853E26" w:rsidRDefault="00714A3E" w:rsidP="095637AE">
            <w:pPr>
              <w:rPr>
                <w:rFonts w:cs="Arial"/>
              </w:rPr>
            </w:pPr>
            <w:r w:rsidRPr="00853E26">
              <w:rPr>
                <w:rFonts w:cs="Arial"/>
              </w:rPr>
              <w:t>Surplus</w:t>
            </w:r>
            <w:r w:rsidR="007176B8">
              <w:rPr>
                <w:rFonts w:cs="Arial"/>
              </w:rPr>
              <w:t xml:space="preserve"> or </w:t>
            </w:r>
            <w:r w:rsidRPr="00853E26">
              <w:rPr>
                <w:rFonts w:cs="Arial"/>
              </w:rPr>
              <w:t>(</w:t>
            </w:r>
            <w:r w:rsidR="007176B8">
              <w:rPr>
                <w:rFonts w:cs="Arial"/>
              </w:rPr>
              <w:t>d</w:t>
            </w:r>
            <w:r w:rsidRPr="00853E26">
              <w:rPr>
                <w:rFonts w:cs="Arial"/>
              </w:rPr>
              <w:t>eficit) on provision of services</w:t>
            </w:r>
          </w:p>
        </w:tc>
        <w:tc>
          <w:tcPr>
            <w:tcW w:w="428" w:type="pct"/>
            <w:tcBorders>
              <w:top w:val="single" w:sz="4" w:space="0" w:color="auto"/>
              <w:left w:val="single" w:sz="4" w:space="0" w:color="auto"/>
              <w:bottom w:val="single" w:sz="4" w:space="0" w:color="auto"/>
              <w:right w:val="single" w:sz="4" w:space="0" w:color="auto"/>
            </w:tcBorders>
            <w:vAlign w:val="center"/>
          </w:tcPr>
          <w:p w14:paraId="163D983C" w14:textId="59478856" w:rsidR="00714A3E" w:rsidRPr="00853E26" w:rsidRDefault="00115FB1" w:rsidP="095637AE">
            <w:pPr>
              <w:jc w:val="right"/>
              <w:rPr>
                <w:rFonts w:cs="Arial"/>
              </w:rPr>
            </w:pPr>
            <w:r>
              <w:rPr>
                <w:rFonts w:cs="Arial"/>
              </w:rPr>
              <w:t>(2,8</w:t>
            </w:r>
            <w:r w:rsidR="004F30B6">
              <w:rPr>
                <w:rFonts w:cs="Arial"/>
              </w:rPr>
              <w:t>3</w:t>
            </w:r>
            <w:r>
              <w:rPr>
                <w:rFonts w:cs="Arial"/>
              </w:rPr>
              <w:t>4)</w:t>
            </w:r>
          </w:p>
        </w:tc>
        <w:tc>
          <w:tcPr>
            <w:tcW w:w="488" w:type="pct"/>
            <w:tcBorders>
              <w:top w:val="single" w:sz="4" w:space="0" w:color="auto"/>
              <w:left w:val="single" w:sz="4" w:space="0" w:color="auto"/>
              <w:bottom w:val="single" w:sz="4" w:space="0" w:color="auto"/>
              <w:right w:val="single" w:sz="4" w:space="0" w:color="auto"/>
            </w:tcBorders>
            <w:vAlign w:val="center"/>
          </w:tcPr>
          <w:p w14:paraId="5405E407" w14:textId="6CE1BF2E" w:rsidR="00714A3E" w:rsidRPr="00853E26" w:rsidRDefault="004E3414"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109BD29" w14:textId="28C6C8BF" w:rsidR="00714A3E" w:rsidRPr="00853E26" w:rsidRDefault="004E3414" w:rsidP="095637AE">
            <w:pPr>
              <w:jc w:val="right"/>
              <w:rPr>
                <w:rFonts w:cs="Arial"/>
              </w:rPr>
            </w:pPr>
            <w:r>
              <w:rPr>
                <w:rFonts w:cs="Arial"/>
              </w:rPr>
              <w:t>(2,8</w:t>
            </w:r>
            <w:r w:rsidR="004F30B6">
              <w:rPr>
                <w:rFonts w:cs="Arial"/>
              </w:rPr>
              <w:t>3</w:t>
            </w:r>
            <w:r>
              <w:rPr>
                <w:rFonts w:cs="Arial"/>
              </w:rPr>
              <w:t>4)</w:t>
            </w:r>
          </w:p>
        </w:tc>
        <w:tc>
          <w:tcPr>
            <w:tcW w:w="449" w:type="pct"/>
            <w:tcBorders>
              <w:top w:val="single" w:sz="4" w:space="0" w:color="auto"/>
              <w:left w:val="single" w:sz="4" w:space="0" w:color="auto"/>
              <w:bottom w:val="single" w:sz="4" w:space="0" w:color="auto"/>
              <w:right w:val="single" w:sz="4" w:space="0" w:color="auto"/>
            </w:tcBorders>
            <w:vAlign w:val="center"/>
          </w:tcPr>
          <w:p w14:paraId="3E5D8BC6" w14:textId="0D24D21A" w:rsidR="00714A3E" w:rsidRPr="00853E26" w:rsidRDefault="004E3414"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5C8128F" w14:textId="63B88618" w:rsidR="00714A3E" w:rsidRPr="00853E26" w:rsidRDefault="00CA5ABE"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77CB372" w14:textId="3F93845E" w:rsidR="00714A3E" w:rsidRPr="00853E26" w:rsidRDefault="000B2898" w:rsidP="095637AE">
            <w:pPr>
              <w:jc w:val="right"/>
              <w:rPr>
                <w:rFonts w:cs="Arial"/>
              </w:rPr>
            </w:pPr>
            <w:r>
              <w:rPr>
                <w:rFonts w:cs="Arial"/>
              </w:rPr>
              <w:t>(2,8</w:t>
            </w:r>
            <w:r w:rsidR="004F30B6">
              <w:rPr>
                <w:rFonts w:cs="Arial"/>
              </w:rPr>
              <w:t>3</w:t>
            </w:r>
            <w:r>
              <w:rPr>
                <w:rFonts w:cs="Arial"/>
              </w:rPr>
              <w:t>4)</w:t>
            </w:r>
          </w:p>
        </w:tc>
        <w:tc>
          <w:tcPr>
            <w:tcW w:w="448" w:type="pct"/>
            <w:tcBorders>
              <w:top w:val="single" w:sz="4" w:space="0" w:color="auto"/>
              <w:left w:val="single" w:sz="4" w:space="0" w:color="auto"/>
              <w:bottom w:val="single" w:sz="4" w:space="0" w:color="auto"/>
              <w:right w:val="single" w:sz="4" w:space="0" w:color="auto"/>
            </w:tcBorders>
            <w:vAlign w:val="center"/>
          </w:tcPr>
          <w:p w14:paraId="55FCD86E" w14:textId="03CC806C" w:rsidR="00714A3E" w:rsidRPr="00853E26" w:rsidRDefault="00552368" w:rsidP="095637AE">
            <w:pPr>
              <w:jc w:val="right"/>
              <w:rPr>
                <w:rFonts w:cs="Arial"/>
              </w:rPr>
            </w:pPr>
            <w:r>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007E0C1" w14:textId="4088CBEE" w:rsidR="00714A3E" w:rsidRPr="00853E26" w:rsidRDefault="00E864C6" w:rsidP="095637AE">
            <w:pPr>
              <w:jc w:val="right"/>
              <w:rPr>
                <w:rFonts w:cs="Arial"/>
              </w:rPr>
            </w:pPr>
            <w:r>
              <w:rPr>
                <w:rFonts w:cs="Arial"/>
              </w:rPr>
              <w:t>(2,8</w:t>
            </w:r>
            <w:r w:rsidR="004F30B6">
              <w:rPr>
                <w:rFonts w:cs="Arial"/>
              </w:rPr>
              <w:t>3</w:t>
            </w:r>
            <w:r>
              <w:rPr>
                <w:rFonts w:cs="Arial"/>
              </w:rPr>
              <w:t>4)</w:t>
            </w:r>
          </w:p>
        </w:tc>
      </w:tr>
      <w:tr w:rsidR="00E952A1" w:rsidRPr="00D948C1" w14:paraId="4E6865FE"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076F222C" w14:textId="77777777" w:rsidR="00714A3E" w:rsidRPr="007D2BA9" w:rsidRDefault="00714A3E" w:rsidP="095637AE">
            <w:pPr>
              <w:rPr>
                <w:rFonts w:cs="Arial"/>
              </w:rPr>
            </w:pPr>
            <w:r w:rsidRPr="007D2BA9">
              <w:rPr>
                <w:rFonts w:cs="Arial"/>
              </w:rPr>
              <w:t>Other comprehensive income and expenditure</w:t>
            </w:r>
          </w:p>
        </w:tc>
        <w:tc>
          <w:tcPr>
            <w:tcW w:w="428" w:type="pct"/>
            <w:tcBorders>
              <w:top w:val="single" w:sz="4" w:space="0" w:color="auto"/>
              <w:left w:val="single" w:sz="4" w:space="0" w:color="auto"/>
              <w:bottom w:val="single" w:sz="4" w:space="0" w:color="auto"/>
              <w:right w:val="single" w:sz="4" w:space="0" w:color="auto"/>
            </w:tcBorders>
            <w:vAlign w:val="center"/>
          </w:tcPr>
          <w:p w14:paraId="4D7EABE7" w14:textId="2587FC2B" w:rsidR="00714A3E" w:rsidRPr="007D2BA9" w:rsidRDefault="004E3414" w:rsidP="095637AE">
            <w:pPr>
              <w:jc w:val="right"/>
              <w:rPr>
                <w:rFonts w:cs="Arial"/>
              </w:rPr>
            </w:pPr>
            <w:r>
              <w:rPr>
                <w:rFonts w:cs="Arial"/>
              </w:rPr>
              <w:t>-</w:t>
            </w:r>
          </w:p>
        </w:tc>
        <w:tc>
          <w:tcPr>
            <w:tcW w:w="488" w:type="pct"/>
            <w:tcBorders>
              <w:top w:val="single" w:sz="4" w:space="0" w:color="auto"/>
              <w:left w:val="single" w:sz="4" w:space="0" w:color="auto"/>
              <w:bottom w:val="single" w:sz="4" w:space="0" w:color="auto"/>
              <w:right w:val="single" w:sz="4" w:space="0" w:color="auto"/>
            </w:tcBorders>
            <w:vAlign w:val="center"/>
          </w:tcPr>
          <w:p w14:paraId="0F95A66C" w14:textId="09E9E097" w:rsidR="00714A3E" w:rsidRPr="007D2BA9" w:rsidRDefault="00901054"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B1E271E" w14:textId="3AB8F57A" w:rsidR="00714A3E" w:rsidRPr="007D2BA9" w:rsidRDefault="00A35F6A" w:rsidP="095637AE">
            <w:pPr>
              <w:jc w:val="right"/>
              <w:rPr>
                <w:rFonts w:cs="Arial"/>
              </w:rPr>
            </w:pPr>
            <w:r>
              <w:rPr>
                <w:rFonts w:cs="Arial"/>
              </w:rPr>
              <w:t>-</w:t>
            </w:r>
          </w:p>
        </w:tc>
        <w:tc>
          <w:tcPr>
            <w:tcW w:w="449" w:type="pct"/>
            <w:tcBorders>
              <w:top w:val="single" w:sz="4" w:space="0" w:color="auto"/>
              <w:left w:val="single" w:sz="4" w:space="0" w:color="auto"/>
              <w:bottom w:val="single" w:sz="4" w:space="0" w:color="auto"/>
              <w:right w:val="single" w:sz="4" w:space="0" w:color="auto"/>
            </w:tcBorders>
            <w:vAlign w:val="center"/>
          </w:tcPr>
          <w:p w14:paraId="0D1437EC" w14:textId="64AE1D17"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BB204F1" w14:textId="069ED80C"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77471D5" w14:textId="3CF33FE8" w:rsidR="00714A3E" w:rsidRPr="007D2BA9" w:rsidRDefault="000B2898" w:rsidP="095637AE">
            <w:pPr>
              <w:jc w:val="right"/>
              <w:rPr>
                <w:rFonts w:cs="Arial"/>
              </w:rPr>
            </w:pPr>
            <w:r>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293FE1E1" w14:textId="7533F73E" w:rsidR="00714A3E" w:rsidRPr="007D2BA9" w:rsidRDefault="00552368" w:rsidP="095637AE">
            <w:pPr>
              <w:jc w:val="right"/>
              <w:rPr>
                <w:rFonts w:cs="Arial"/>
              </w:rPr>
            </w:pPr>
            <w:r>
              <w:rPr>
                <w:rFonts w:cs="Arial"/>
              </w:rPr>
              <w:t>12,990</w:t>
            </w:r>
          </w:p>
        </w:tc>
        <w:tc>
          <w:tcPr>
            <w:tcW w:w="448" w:type="pct"/>
            <w:tcBorders>
              <w:top w:val="single" w:sz="4" w:space="0" w:color="auto"/>
              <w:left w:val="single" w:sz="4" w:space="0" w:color="auto"/>
              <w:bottom w:val="single" w:sz="4" w:space="0" w:color="auto"/>
              <w:right w:val="single" w:sz="4" w:space="0" w:color="auto"/>
            </w:tcBorders>
            <w:vAlign w:val="center"/>
          </w:tcPr>
          <w:p w14:paraId="12C944FD" w14:textId="56F6CDFC" w:rsidR="00714A3E" w:rsidRPr="007D2BA9" w:rsidRDefault="00E864C6" w:rsidP="095637AE">
            <w:pPr>
              <w:jc w:val="right"/>
              <w:rPr>
                <w:rFonts w:cs="Arial"/>
              </w:rPr>
            </w:pPr>
            <w:r>
              <w:rPr>
                <w:rFonts w:cs="Arial"/>
              </w:rPr>
              <w:t>12,990</w:t>
            </w:r>
          </w:p>
        </w:tc>
      </w:tr>
      <w:tr w:rsidR="00E952A1" w:rsidRPr="00D948C1" w14:paraId="5BA82A1C"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161D9113" w14:textId="77777777" w:rsidR="00714A3E" w:rsidRPr="007D2BA9" w:rsidRDefault="00714A3E" w:rsidP="095637AE">
            <w:pPr>
              <w:rPr>
                <w:rFonts w:cs="Arial"/>
                <w:b/>
              </w:rPr>
            </w:pPr>
            <w:r w:rsidRPr="007D2BA9">
              <w:rPr>
                <w:rFonts w:cs="Arial"/>
                <w:b/>
              </w:rPr>
              <w:t>Total comprehensive income and expenditure</w:t>
            </w:r>
          </w:p>
        </w:tc>
        <w:tc>
          <w:tcPr>
            <w:tcW w:w="428" w:type="pct"/>
            <w:tcBorders>
              <w:top w:val="single" w:sz="4" w:space="0" w:color="auto"/>
              <w:left w:val="single" w:sz="4" w:space="0" w:color="auto"/>
              <w:bottom w:val="single" w:sz="4" w:space="0" w:color="auto"/>
              <w:right w:val="single" w:sz="4" w:space="0" w:color="auto"/>
            </w:tcBorders>
            <w:vAlign w:val="center"/>
          </w:tcPr>
          <w:p w14:paraId="07534A8A" w14:textId="4DD5EFCC" w:rsidR="00714A3E" w:rsidRPr="007D2BA9" w:rsidRDefault="00115FB1" w:rsidP="095637AE">
            <w:pPr>
              <w:jc w:val="right"/>
              <w:rPr>
                <w:rFonts w:cs="Arial"/>
                <w:b/>
              </w:rPr>
            </w:pPr>
            <w:r>
              <w:rPr>
                <w:rFonts w:cs="Arial"/>
                <w:b/>
              </w:rPr>
              <w:t>(2,8</w:t>
            </w:r>
            <w:r w:rsidR="004F30B6">
              <w:rPr>
                <w:rFonts w:cs="Arial"/>
                <w:b/>
              </w:rPr>
              <w:t>3</w:t>
            </w:r>
            <w:r>
              <w:rPr>
                <w:rFonts w:cs="Arial"/>
                <w:b/>
              </w:rPr>
              <w:t>4)</w:t>
            </w:r>
          </w:p>
        </w:tc>
        <w:tc>
          <w:tcPr>
            <w:tcW w:w="488" w:type="pct"/>
            <w:tcBorders>
              <w:top w:val="single" w:sz="4" w:space="0" w:color="auto"/>
              <w:left w:val="single" w:sz="4" w:space="0" w:color="auto"/>
              <w:bottom w:val="single" w:sz="4" w:space="0" w:color="auto"/>
              <w:right w:val="single" w:sz="4" w:space="0" w:color="auto"/>
            </w:tcBorders>
            <w:vAlign w:val="center"/>
          </w:tcPr>
          <w:p w14:paraId="215F524C" w14:textId="2F042B4F" w:rsidR="00714A3E" w:rsidRPr="007D2BA9" w:rsidRDefault="000E482A" w:rsidP="095637AE">
            <w:pPr>
              <w:jc w:val="right"/>
              <w:rPr>
                <w:rFonts w:cs="Arial"/>
                <w:b/>
              </w:rPr>
            </w:pPr>
            <w:r>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60E4EFFF" w14:textId="4EDC9890" w:rsidR="00714A3E" w:rsidRPr="007D2BA9" w:rsidRDefault="000E482A" w:rsidP="095637AE">
            <w:pPr>
              <w:jc w:val="right"/>
              <w:rPr>
                <w:rFonts w:cs="Arial"/>
                <w:b/>
              </w:rPr>
            </w:pPr>
            <w:r>
              <w:rPr>
                <w:rFonts w:cs="Arial"/>
                <w:b/>
              </w:rPr>
              <w:t>(2,8</w:t>
            </w:r>
            <w:r w:rsidR="004F30B6">
              <w:rPr>
                <w:rFonts w:cs="Arial"/>
                <w:b/>
              </w:rPr>
              <w:t>3</w:t>
            </w:r>
            <w:r>
              <w:rPr>
                <w:rFonts w:cs="Arial"/>
                <w:b/>
              </w:rPr>
              <w:t>4)</w:t>
            </w:r>
          </w:p>
        </w:tc>
        <w:tc>
          <w:tcPr>
            <w:tcW w:w="449" w:type="pct"/>
            <w:tcBorders>
              <w:top w:val="single" w:sz="4" w:space="0" w:color="auto"/>
              <w:left w:val="single" w:sz="4" w:space="0" w:color="auto"/>
              <w:bottom w:val="single" w:sz="4" w:space="0" w:color="auto"/>
              <w:right w:val="single" w:sz="4" w:space="0" w:color="auto"/>
            </w:tcBorders>
            <w:vAlign w:val="center"/>
          </w:tcPr>
          <w:p w14:paraId="79DCD563" w14:textId="16D2EBED" w:rsidR="00714A3E" w:rsidRPr="007D2BA9" w:rsidRDefault="00A35F6A" w:rsidP="095637AE">
            <w:pPr>
              <w:jc w:val="right"/>
              <w:rPr>
                <w:rFonts w:cs="Arial"/>
                <w:b/>
              </w:rPr>
            </w:pPr>
            <w:r>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27F32962" w14:textId="38FD4161" w:rsidR="00714A3E" w:rsidRPr="007D2BA9" w:rsidRDefault="00CA5ABE" w:rsidP="095637AE">
            <w:pPr>
              <w:jc w:val="right"/>
              <w:rPr>
                <w:rFonts w:cs="Arial"/>
                <w:b/>
              </w:rPr>
            </w:pPr>
            <w:r>
              <w:rPr>
                <w:rFonts w:cs="Arial"/>
                <w:b/>
              </w:rPr>
              <w:t>-</w:t>
            </w:r>
          </w:p>
        </w:tc>
        <w:tc>
          <w:tcPr>
            <w:tcW w:w="428" w:type="pct"/>
            <w:tcBorders>
              <w:top w:val="single" w:sz="4" w:space="0" w:color="auto"/>
              <w:left w:val="single" w:sz="4" w:space="0" w:color="auto"/>
              <w:bottom w:val="single" w:sz="4" w:space="0" w:color="auto"/>
              <w:right w:val="single" w:sz="4" w:space="0" w:color="auto"/>
            </w:tcBorders>
            <w:vAlign w:val="center"/>
          </w:tcPr>
          <w:p w14:paraId="3687562A" w14:textId="10E75209" w:rsidR="00714A3E" w:rsidRPr="007D2BA9" w:rsidRDefault="000B2898" w:rsidP="095637AE">
            <w:pPr>
              <w:jc w:val="right"/>
              <w:rPr>
                <w:rFonts w:cs="Arial"/>
                <w:b/>
              </w:rPr>
            </w:pPr>
            <w:r>
              <w:rPr>
                <w:rFonts w:cs="Arial"/>
                <w:b/>
              </w:rPr>
              <w:t>(2,8</w:t>
            </w:r>
            <w:r w:rsidR="00D445DA">
              <w:rPr>
                <w:rFonts w:cs="Arial"/>
                <w:b/>
              </w:rPr>
              <w:t>3</w:t>
            </w:r>
            <w:r>
              <w:rPr>
                <w:rFonts w:cs="Arial"/>
                <w:b/>
              </w:rPr>
              <w:t>4)</w:t>
            </w:r>
          </w:p>
        </w:tc>
        <w:tc>
          <w:tcPr>
            <w:tcW w:w="448" w:type="pct"/>
            <w:tcBorders>
              <w:top w:val="single" w:sz="4" w:space="0" w:color="auto"/>
              <w:left w:val="single" w:sz="4" w:space="0" w:color="auto"/>
              <w:bottom w:val="single" w:sz="4" w:space="0" w:color="auto"/>
              <w:right w:val="single" w:sz="4" w:space="0" w:color="auto"/>
            </w:tcBorders>
            <w:vAlign w:val="center"/>
          </w:tcPr>
          <w:p w14:paraId="010160A1" w14:textId="239D3FE0" w:rsidR="00714A3E" w:rsidRPr="007D2BA9" w:rsidRDefault="00E864C6" w:rsidP="095637AE">
            <w:pPr>
              <w:jc w:val="right"/>
              <w:rPr>
                <w:rFonts w:cs="Arial"/>
                <w:b/>
              </w:rPr>
            </w:pPr>
            <w:r>
              <w:rPr>
                <w:rFonts w:cs="Arial"/>
                <w:b/>
              </w:rPr>
              <w:t>12,990</w:t>
            </w:r>
          </w:p>
        </w:tc>
        <w:tc>
          <w:tcPr>
            <w:tcW w:w="448" w:type="pct"/>
            <w:tcBorders>
              <w:top w:val="single" w:sz="4" w:space="0" w:color="auto"/>
              <w:left w:val="single" w:sz="4" w:space="0" w:color="auto"/>
              <w:bottom w:val="single" w:sz="4" w:space="0" w:color="auto"/>
              <w:right w:val="single" w:sz="4" w:space="0" w:color="auto"/>
            </w:tcBorders>
            <w:vAlign w:val="center"/>
          </w:tcPr>
          <w:p w14:paraId="2CE4AC06" w14:textId="67B9C717" w:rsidR="00714A3E" w:rsidRPr="007D2BA9" w:rsidRDefault="00E864C6" w:rsidP="095637AE">
            <w:pPr>
              <w:jc w:val="right"/>
              <w:rPr>
                <w:rFonts w:cs="Arial"/>
                <w:b/>
              </w:rPr>
            </w:pPr>
            <w:r>
              <w:rPr>
                <w:rFonts w:cs="Arial"/>
                <w:b/>
              </w:rPr>
              <w:t>10,1</w:t>
            </w:r>
            <w:r w:rsidR="00737BAD">
              <w:rPr>
                <w:rFonts w:cs="Arial"/>
                <w:b/>
              </w:rPr>
              <w:t>57</w:t>
            </w:r>
          </w:p>
        </w:tc>
      </w:tr>
    </w:tbl>
    <w:p w14:paraId="1565F23A" w14:textId="77777777" w:rsidR="005F5C59" w:rsidRPr="00D948C1" w:rsidRDefault="005F5C59" w:rsidP="095637AE">
      <w:pPr>
        <w:rPr>
          <w:highlight w:val="red"/>
        </w:rPr>
      </w:pPr>
    </w:p>
    <w:tbl>
      <w:tblPr>
        <w:tblW w:w="4667" w:type="pct"/>
        <w:tblLook w:val="01E0" w:firstRow="1" w:lastRow="1" w:firstColumn="1" w:lastColumn="1" w:noHBand="0" w:noVBand="0"/>
      </w:tblPr>
      <w:tblGrid>
        <w:gridCol w:w="4139"/>
        <w:gridCol w:w="1221"/>
        <w:gridCol w:w="1391"/>
        <w:gridCol w:w="1215"/>
        <w:gridCol w:w="1275"/>
        <w:gridCol w:w="1218"/>
        <w:gridCol w:w="1218"/>
        <w:gridCol w:w="1275"/>
        <w:gridCol w:w="1275"/>
      </w:tblGrid>
      <w:tr w:rsidR="00AC1F4E" w:rsidRPr="00D948C1" w14:paraId="02EAAC60" w14:textId="77777777" w:rsidTr="00AC1F4E">
        <w:trPr>
          <w:trHeight w:val="231"/>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FC4B9" w14:textId="74F06FB2" w:rsidR="00AC1F4E" w:rsidRPr="007D2BA9" w:rsidRDefault="00AC1F4E" w:rsidP="095637AE">
            <w:pPr>
              <w:rPr>
                <w:rFonts w:cs="Arial"/>
                <w:b/>
              </w:rPr>
            </w:pPr>
            <w:r w:rsidRPr="007D2BA9">
              <w:rPr>
                <w:rFonts w:cs="Arial"/>
                <w:b/>
              </w:rPr>
              <w:t>Adjustments between accounting basis and funding basis under regulations</w:t>
            </w:r>
          </w:p>
        </w:tc>
      </w:tr>
      <w:tr w:rsidR="00C91BDD" w:rsidRPr="00D948C1" w14:paraId="70B24B03"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7FE39711" w14:textId="77777777" w:rsidR="00714A3E" w:rsidRPr="007D2BA9" w:rsidRDefault="00714A3E" w:rsidP="095637AE">
            <w:pPr>
              <w:rPr>
                <w:rFonts w:cs="Arial"/>
              </w:rPr>
            </w:pPr>
            <w:r w:rsidRPr="007D2BA9">
              <w:rPr>
                <w:rFonts w:cs="Arial"/>
              </w:rPr>
              <w:t>Charges for depreciation and impairment of non-current assets</w:t>
            </w:r>
          </w:p>
        </w:tc>
        <w:tc>
          <w:tcPr>
            <w:tcW w:w="429" w:type="pct"/>
            <w:tcBorders>
              <w:top w:val="single" w:sz="4" w:space="0" w:color="auto"/>
              <w:left w:val="single" w:sz="4" w:space="0" w:color="auto"/>
              <w:bottom w:val="single" w:sz="4" w:space="0" w:color="auto"/>
              <w:right w:val="single" w:sz="4" w:space="0" w:color="auto"/>
            </w:tcBorders>
            <w:vAlign w:val="center"/>
          </w:tcPr>
          <w:p w14:paraId="59277039" w14:textId="454A2C07" w:rsidR="00714A3E" w:rsidRPr="007D2BA9" w:rsidRDefault="00A11129" w:rsidP="095637AE">
            <w:pPr>
              <w:jc w:val="right"/>
              <w:rPr>
                <w:rFonts w:cs="Arial"/>
              </w:rPr>
            </w:pPr>
            <w:r>
              <w:rPr>
                <w:rFonts w:cs="Arial"/>
              </w:rPr>
              <w:t>6,682</w:t>
            </w:r>
          </w:p>
        </w:tc>
        <w:tc>
          <w:tcPr>
            <w:tcW w:w="489" w:type="pct"/>
            <w:tcBorders>
              <w:top w:val="single" w:sz="4" w:space="0" w:color="auto"/>
              <w:left w:val="single" w:sz="4" w:space="0" w:color="auto"/>
              <w:bottom w:val="single" w:sz="4" w:space="0" w:color="auto"/>
              <w:right w:val="single" w:sz="4" w:space="0" w:color="auto"/>
            </w:tcBorders>
            <w:vAlign w:val="center"/>
          </w:tcPr>
          <w:p w14:paraId="59090DA7" w14:textId="4987D2CC" w:rsidR="00714A3E" w:rsidRPr="007D2BA9" w:rsidRDefault="00A11129"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4B5D9C6E" w14:textId="16348F16" w:rsidR="00714A3E" w:rsidRPr="007D2BA9" w:rsidRDefault="00A11129" w:rsidP="095637AE">
            <w:pPr>
              <w:jc w:val="right"/>
              <w:rPr>
                <w:rFonts w:cs="Arial"/>
              </w:rPr>
            </w:pPr>
            <w:r>
              <w:rPr>
                <w:rFonts w:cs="Arial"/>
              </w:rPr>
              <w:t>6,682</w:t>
            </w:r>
          </w:p>
        </w:tc>
        <w:tc>
          <w:tcPr>
            <w:tcW w:w="448" w:type="pct"/>
            <w:tcBorders>
              <w:top w:val="single" w:sz="4" w:space="0" w:color="auto"/>
              <w:left w:val="single" w:sz="4" w:space="0" w:color="auto"/>
              <w:bottom w:val="single" w:sz="4" w:space="0" w:color="auto"/>
              <w:right w:val="single" w:sz="4" w:space="0" w:color="auto"/>
            </w:tcBorders>
            <w:vAlign w:val="center"/>
          </w:tcPr>
          <w:p w14:paraId="7B5F2FAD" w14:textId="34B192FA"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DB5030D" w14:textId="7961F3E3" w:rsidR="00714A3E" w:rsidRPr="007D2BA9" w:rsidRDefault="00A11129"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442BF4B" w14:textId="538CD599" w:rsidR="00714A3E" w:rsidRPr="007D2BA9" w:rsidRDefault="00A11129" w:rsidP="095637AE">
            <w:pPr>
              <w:jc w:val="right"/>
              <w:rPr>
                <w:rFonts w:cs="Arial"/>
              </w:rPr>
            </w:pPr>
            <w:r>
              <w:rPr>
                <w:rFonts w:cs="Arial"/>
              </w:rPr>
              <w:t>6,682</w:t>
            </w:r>
          </w:p>
        </w:tc>
        <w:tc>
          <w:tcPr>
            <w:tcW w:w="448" w:type="pct"/>
            <w:tcBorders>
              <w:top w:val="single" w:sz="4" w:space="0" w:color="auto"/>
              <w:left w:val="single" w:sz="4" w:space="0" w:color="auto"/>
              <w:bottom w:val="single" w:sz="4" w:space="0" w:color="auto"/>
              <w:right w:val="single" w:sz="4" w:space="0" w:color="auto"/>
            </w:tcBorders>
            <w:vAlign w:val="center"/>
          </w:tcPr>
          <w:p w14:paraId="3FB19B94" w14:textId="65170AB3" w:rsidR="00714A3E" w:rsidRPr="007D2BA9" w:rsidRDefault="00A11129" w:rsidP="095637AE">
            <w:pPr>
              <w:jc w:val="right"/>
              <w:rPr>
                <w:rFonts w:cs="Arial"/>
              </w:rPr>
            </w:pPr>
            <w:r>
              <w:rPr>
                <w:rFonts w:cs="Arial"/>
              </w:rPr>
              <w:t>(6,682)</w:t>
            </w:r>
          </w:p>
        </w:tc>
        <w:tc>
          <w:tcPr>
            <w:tcW w:w="448" w:type="pct"/>
            <w:tcBorders>
              <w:top w:val="single" w:sz="4" w:space="0" w:color="auto"/>
              <w:left w:val="single" w:sz="4" w:space="0" w:color="auto"/>
              <w:bottom w:val="single" w:sz="4" w:space="0" w:color="auto"/>
              <w:right w:val="single" w:sz="4" w:space="0" w:color="auto"/>
            </w:tcBorders>
            <w:vAlign w:val="center"/>
          </w:tcPr>
          <w:p w14:paraId="1BAA5602" w14:textId="40026558" w:rsidR="00714A3E" w:rsidRPr="007D2BA9" w:rsidRDefault="00A11129" w:rsidP="095637AE">
            <w:pPr>
              <w:jc w:val="right"/>
              <w:rPr>
                <w:rFonts w:cs="Arial"/>
              </w:rPr>
            </w:pPr>
            <w:r>
              <w:rPr>
                <w:rFonts w:cs="Arial"/>
              </w:rPr>
              <w:t>-</w:t>
            </w:r>
          </w:p>
        </w:tc>
      </w:tr>
      <w:tr w:rsidR="00C91BDD" w:rsidRPr="00D948C1" w14:paraId="46D287E0"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2F4AC74" w14:textId="77777777" w:rsidR="00714A3E" w:rsidRPr="007D2BA9" w:rsidRDefault="00714A3E" w:rsidP="095637AE">
            <w:pPr>
              <w:rPr>
                <w:rFonts w:cs="Arial"/>
              </w:rPr>
            </w:pPr>
            <w:r w:rsidRPr="007D2BA9">
              <w:rPr>
                <w:rFonts w:cs="Arial"/>
              </w:rPr>
              <w:t>Amortisation of intangible assets</w:t>
            </w:r>
          </w:p>
        </w:tc>
        <w:tc>
          <w:tcPr>
            <w:tcW w:w="429" w:type="pct"/>
            <w:tcBorders>
              <w:top w:val="single" w:sz="4" w:space="0" w:color="auto"/>
              <w:left w:val="single" w:sz="4" w:space="0" w:color="auto"/>
              <w:bottom w:val="single" w:sz="4" w:space="0" w:color="auto"/>
              <w:right w:val="single" w:sz="4" w:space="0" w:color="auto"/>
            </w:tcBorders>
            <w:vAlign w:val="center"/>
          </w:tcPr>
          <w:p w14:paraId="7F888314" w14:textId="72E6E795" w:rsidR="00714A3E" w:rsidRPr="007D2BA9" w:rsidRDefault="00AB2278" w:rsidP="095637AE">
            <w:pPr>
              <w:jc w:val="right"/>
              <w:rPr>
                <w:rFonts w:cs="Arial"/>
              </w:rPr>
            </w:pPr>
            <w:r>
              <w:rPr>
                <w:rFonts w:cs="Arial"/>
              </w:rPr>
              <w:t>1</w:t>
            </w:r>
            <w:r w:rsidR="00737BAD">
              <w:rPr>
                <w:rFonts w:cs="Arial"/>
              </w:rPr>
              <w:t>1</w:t>
            </w:r>
            <w:r>
              <w:rPr>
                <w:rFonts w:cs="Arial"/>
              </w:rPr>
              <w:t>1</w:t>
            </w:r>
          </w:p>
        </w:tc>
        <w:tc>
          <w:tcPr>
            <w:tcW w:w="489" w:type="pct"/>
            <w:tcBorders>
              <w:top w:val="single" w:sz="4" w:space="0" w:color="auto"/>
              <w:left w:val="single" w:sz="4" w:space="0" w:color="auto"/>
              <w:bottom w:val="single" w:sz="4" w:space="0" w:color="auto"/>
              <w:right w:val="single" w:sz="4" w:space="0" w:color="auto"/>
            </w:tcBorders>
            <w:vAlign w:val="center"/>
          </w:tcPr>
          <w:p w14:paraId="3319852A" w14:textId="03F74397" w:rsidR="00714A3E" w:rsidRPr="007D2BA9" w:rsidRDefault="00AB2278"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5166037" w14:textId="3EFB2917" w:rsidR="00714A3E" w:rsidRPr="007D2BA9" w:rsidRDefault="00AB2278" w:rsidP="095637AE">
            <w:pPr>
              <w:jc w:val="right"/>
              <w:rPr>
                <w:rFonts w:cs="Arial"/>
              </w:rPr>
            </w:pPr>
            <w:r>
              <w:rPr>
                <w:rFonts w:cs="Arial"/>
              </w:rPr>
              <w:t>1</w:t>
            </w:r>
            <w:r w:rsidR="00737BAD">
              <w:rPr>
                <w:rFonts w:cs="Arial"/>
              </w:rPr>
              <w:t>1</w:t>
            </w:r>
            <w:r>
              <w:rPr>
                <w:rFonts w:cs="Arial"/>
              </w:rPr>
              <w:t>1</w:t>
            </w:r>
          </w:p>
        </w:tc>
        <w:tc>
          <w:tcPr>
            <w:tcW w:w="448" w:type="pct"/>
            <w:tcBorders>
              <w:top w:val="single" w:sz="4" w:space="0" w:color="auto"/>
              <w:left w:val="single" w:sz="4" w:space="0" w:color="auto"/>
              <w:bottom w:val="single" w:sz="4" w:space="0" w:color="auto"/>
              <w:right w:val="single" w:sz="4" w:space="0" w:color="auto"/>
            </w:tcBorders>
            <w:vAlign w:val="center"/>
          </w:tcPr>
          <w:p w14:paraId="2AFDF395" w14:textId="1B605D49"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6B7656B2" w14:textId="7D58FAAC" w:rsidR="00714A3E" w:rsidRPr="007D2BA9" w:rsidRDefault="00AB2278"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5E8D404" w14:textId="5335F788" w:rsidR="00714A3E" w:rsidRPr="007D2BA9" w:rsidRDefault="00AB2278" w:rsidP="095637AE">
            <w:pPr>
              <w:jc w:val="right"/>
              <w:rPr>
                <w:rFonts w:cs="Arial"/>
              </w:rPr>
            </w:pPr>
            <w:r>
              <w:rPr>
                <w:rFonts w:cs="Arial"/>
              </w:rPr>
              <w:t>1</w:t>
            </w:r>
            <w:r w:rsidR="00737BAD">
              <w:rPr>
                <w:rFonts w:cs="Arial"/>
              </w:rPr>
              <w:t>1</w:t>
            </w:r>
            <w:r>
              <w:rPr>
                <w:rFonts w:cs="Arial"/>
              </w:rPr>
              <w:t>1</w:t>
            </w:r>
          </w:p>
        </w:tc>
        <w:tc>
          <w:tcPr>
            <w:tcW w:w="448" w:type="pct"/>
            <w:tcBorders>
              <w:top w:val="single" w:sz="4" w:space="0" w:color="auto"/>
              <w:left w:val="single" w:sz="4" w:space="0" w:color="auto"/>
              <w:bottom w:val="single" w:sz="4" w:space="0" w:color="auto"/>
              <w:right w:val="single" w:sz="4" w:space="0" w:color="auto"/>
            </w:tcBorders>
            <w:vAlign w:val="center"/>
          </w:tcPr>
          <w:p w14:paraId="401A5FEA" w14:textId="5E0019E3" w:rsidR="00714A3E" w:rsidRPr="007D2BA9" w:rsidRDefault="00AB2278" w:rsidP="095637AE">
            <w:pPr>
              <w:jc w:val="right"/>
              <w:rPr>
                <w:rFonts w:cs="Arial"/>
              </w:rPr>
            </w:pPr>
            <w:r>
              <w:rPr>
                <w:rFonts w:cs="Arial"/>
              </w:rPr>
              <w:t>(1</w:t>
            </w:r>
            <w:r w:rsidR="00737BAD">
              <w:rPr>
                <w:rFonts w:cs="Arial"/>
              </w:rPr>
              <w:t>1</w:t>
            </w:r>
            <w:r>
              <w:rPr>
                <w:rFonts w:cs="Arial"/>
              </w:rPr>
              <w:t>1)</w:t>
            </w:r>
          </w:p>
        </w:tc>
        <w:tc>
          <w:tcPr>
            <w:tcW w:w="448" w:type="pct"/>
            <w:tcBorders>
              <w:top w:val="single" w:sz="4" w:space="0" w:color="auto"/>
              <w:left w:val="single" w:sz="4" w:space="0" w:color="auto"/>
              <w:bottom w:val="single" w:sz="4" w:space="0" w:color="auto"/>
              <w:right w:val="single" w:sz="4" w:space="0" w:color="auto"/>
            </w:tcBorders>
            <w:vAlign w:val="center"/>
          </w:tcPr>
          <w:p w14:paraId="4EDE7244" w14:textId="64C4DE5B" w:rsidR="00714A3E" w:rsidRPr="007D2BA9" w:rsidRDefault="00A11129" w:rsidP="095637AE">
            <w:pPr>
              <w:jc w:val="right"/>
              <w:rPr>
                <w:rFonts w:cs="Arial"/>
              </w:rPr>
            </w:pPr>
            <w:r>
              <w:rPr>
                <w:rFonts w:cs="Arial"/>
              </w:rPr>
              <w:t>-</w:t>
            </w:r>
          </w:p>
        </w:tc>
      </w:tr>
      <w:tr w:rsidR="00C91BDD" w:rsidRPr="00D948C1" w14:paraId="3F28A79C"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15B368CE" w14:textId="77777777" w:rsidR="00714A3E" w:rsidRPr="007D2BA9" w:rsidRDefault="00714A3E" w:rsidP="095637AE">
            <w:pPr>
              <w:rPr>
                <w:rFonts w:cs="Arial"/>
              </w:rPr>
            </w:pPr>
            <w:r w:rsidRPr="007D2BA9">
              <w:rPr>
                <w:rFonts w:cs="Arial"/>
              </w:rPr>
              <w:t>Disposal of assets</w:t>
            </w:r>
          </w:p>
        </w:tc>
        <w:tc>
          <w:tcPr>
            <w:tcW w:w="429" w:type="pct"/>
            <w:tcBorders>
              <w:top w:val="single" w:sz="4" w:space="0" w:color="auto"/>
              <w:left w:val="single" w:sz="4" w:space="0" w:color="auto"/>
              <w:bottom w:val="single" w:sz="4" w:space="0" w:color="auto"/>
              <w:right w:val="single" w:sz="4" w:space="0" w:color="auto"/>
            </w:tcBorders>
            <w:vAlign w:val="center"/>
          </w:tcPr>
          <w:p w14:paraId="1EC864CE" w14:textId="3FE19196" w:rsidR="00714A3E" w:rsidRPr="007D2BA9" w:rsidRDefault="00AB2278" w:rsidP="095637AE">
            <w:pPr>
              <w:jc w:val="right"/>
              <w:rPr>
                <w:rFonts w:cs="Arial"/>
              </w:rPr>
            </w:pPr>
            <w:r>
              <w:rPr>
                <w:rFonts w:cs="Arial"/>
              </w:rPr>
              <w:t>(74)</w:t>
            </w:r>
          </w:p>
        </w:tc>
        <w:tc>
          <w:tcPr>
            <w:tcW w:w="489" w:type="pct"/>
            <w:tcBorders>
              <w:top w:val="single" w:sz="4" w:space="0" w:color="auto"/>
              <w:left w:val="single" w:sz="4" w:space="0" w:color="auto"/>
              <w:bottom w:val="single" w:sz="4" w:space="0" w:color="auto"/>
              <w:right w:val="single" w:sz="4" w:space="0" w:color="auto"/>
            </w:tcBorders>
            <w:vAlign w:val="center"/>
          </w:tcPr>
          <w:p w14:paraId="08CFEEA2" w14:textId="4B9AFD6F" w:rsidR="00714A3E" w:rsidRPr="007D2BA9" w:rsidRDefault="00AB2278"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2C026E61" w14:textId="2BDDD8E8" w:rsidR="00714A3E" w:rsidRPr="007D2BA9" w:rsidRDefault="00AB2278" w:rsidP="095637AE">
            <w:pPr>
              <w:jc w:val="right"/>
              <w:rPr>
                <w:rFonts w:cs="Arial"/>
              </w:rPr>
            </w:pPr>
            <w:r>
              <w:rPr>
                <w:rFonts w:cs="Arial"/>
              </w:rPr>
              <w:t>(74)</w:t>
            </w:r>
          </w:p>
        </w:tc>
        <w:tc>
          <w:tcPr>
            <w:tcW w:w="448" w:type="pct"/>
            <w:tcBorders>
              <w:top w:val="single" w:sz="4" w:space="0" w:color="auto"/>
              <w:left w:val="single" w:sz="4" w:space="0" w:color="auto"/>
              <w:bottom w:val="single" w:sz="4" w:space="0" w:color="auto"/>
              <w:right w:val="single" w:sz="4" w:space="0" w:color="auto"/>
            </w:tcBorders>
            <w:vAlign w:val="center"/>
          </w:tcPr>
          <w:p w14:paraId="703201AB" w14:textId="5AE7728A"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976E80B" w14:textId="5D4BD531" w:rsidR="00714A3E" w:rsidRPr="007D2BA9" w:rsidRDefault="00F169FC" w:rsidP="095637AE">
            <w:pPr>
              <w:jc w:val="right"/>
              <w:rPr>
                <w:rFonts w:cs="Arial"/>
              </w:rPr>
            </w:pPr>
            <w:r>
              <w:rPr>
                <w:rFonts w:cs="Arial"/>
              </w:rPr>
              <w:t>78</w:t>
            </w:r>
          </w:p>
        </w:tc>
        <w:tc>
          <w:tcPr>
            <w:tcW w:w="428" w:type="pct"/>
            <w:tcBorders>
              <w:top w:val="single" w:sz="4" w:space="0" w:color="auto"/>
              <w:left w:val="single" w:sz="4" w:space="0" w:color="auto"/>
              <w:bottom w:val="single" w:sz="4" w:space="0" w:color="auto"/>
              <w:right w:val="single" w:sz="4" w:space="0" w:color="auto"/>
            </w:tcBorders>
            <w:vAlign w:val="center"/>
          </w:tcPr>
          <w:p w14:paraId="71B0CFA0" w14:textId="413EB003" w:rsidR="00714A3E" w:rsidRPr="007D2BA9" w:rsidRDefault="00F169FC" w:rsidP="095637AE">
            <w:pPr>
              <w:jc w:val="right"/>
              <w:rPr>
                <w:rFonts w:cs="Arial"/>
              </w:rPr>
            </w:pPr>
            <w:r>
              <w:rPr>
                <w:rFonts w:cs="Arial"/>
              </w:rPr>
              <w:t>4</w:t>
            </w:r>
          </w:p>
        </w:tc>
        <w:tc>
          <w:tcPr>
            <w:tcW w:w="448" w:type="pct"/>
            <w:tcBorders>
              <w:top w:val="single" w:sz="4" w:space="0" w:color="auto"/>
              <w:left w:val="single" w:sz="4" w:space="0" w:color="auto"/>
              <w:bottom w:val="single" w:sz="4" w:space="0" w:color="auto"/>
              <w:right w:val="single" w:sz="4" w:space="0" w:color="auto"/>
            </w:tcBorders>
            <w:vAlign w:val="center"/>
          </w:tcPr>
          <w:p w14:paraId="271A20F7" w14:textId="18FD084A" w:rsidR="00714A3E" w:rsidRPr="007D2BA9" w:rsidRDefault="00F169FC" w:rsidP="095637AE">
            <w:pPr>
              <w:jc w:val="right"/>
              <w:rPr>
                <w:rFonts w:cs="Arial"/>
              </w:rPr>
            </w:pPr>
            <w:r>
              <w:rPr>
                <w:rFonts w:cs="Arial"/>
              </w:rPr>
              <w:t>(4)</w:t>
            </w:r>
          </w:p>
        </w:tc>
        <w:tc>
          <w:tcPr>
            <w:tcW w:w="448" w:type="pct"/>
            <w:tcBorders>
              <w:top w:val="single" w:sz="4" w:space="0" w:color="auto"/>
              <w:left w:val="single" w:sz="4" w:space="0" w:color="auto"/>
              <w:bottom w:val="single" w:sz="4" w:space="0" w:color="auto"/>
              <w:right w:val="single" w:sz="4" w:space="0" w:color="auto"/>
            </w:tcBorders>
            <w:vAlign w:val="center"/>
          </w:tcPr>
          <w:p w14:paraId="306F76AD" w14:textId="6F93406B" w:rsidR="00714A3E" w:rsidRPr="007D2BA9" w:rsidRDefault="00A11129" w:rsidP="095637AE">
            <w:pPr>
              <w:jc w:val="right"/>
              <w:rPr>
                <w:rFonts w:cs="Arial"/>
              </w:rPr>
            </w:pPr>
            <w:r>
              <w:rPr>
                <w:rFonts w:cs="Arial"/>
              </w:rPr>
              <w:t>-</w:t>
            </w:r>
          </w:p>
        </w:tc>
      </w:tr>
      <w:tr w:rsidR="00C91BDD" w:rsidRPr="00D948C1" w14:paraId="2AD01712"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15B2E092" w14:textId="77777777" w:rsidR="00714A3E" w:rsidRPr="007D2BA9" w:rsidRDefault="00714A3E" w:rsidP="095637AE">
            <w:pPr>
              <w:rPr>
                <w:rFonts w:cs="Arial"/>
              </w:rPr>
            </w:pPr>
            <w:r w:rsidRPr="007D2BA9">
              <w:rPr>
                <w:rFonts w:cs="Arial"/>
              </w:rPr>
              <w:t>Capital grants unapplied</w:t>
            </w:r>
          </w:p>
        </w:tc>
        <w:tc>
          <w:tcPr>
            <w:tcW w:w="429" w:type="pct"/>
            <w:tcBorders>
              <w:top w:val="single" w:sz="4" w:space="0" w:color="auto"/>
              <w:left w:val="single" w:sz="4" w:space="0" w:color="auto"/>
              <w:bottom w:val="single" w:sz="4" w:space="0" w:color="auto"/>
              <w:right w:val="single" w:sz="4" w:space="0" w:color="auto"/>
            </w:tcBorders>
            <w:vAlign w:val="center"/>
          </w:tcPr>
          <w:p w14:paraId="0A5DECCD" w14:textId="3E33CB3C" w:rsidR="00714A3E" w:rsidRPr="007D2BA9" w:rsidRDefault="00F169FC" w:rsidP="095637AE">
            <w:pPr>
              <w:jc w:val="right"/>
              <w:rPr>
                <w:rFonts w:cs="Arial"/>
              </w:rPr>
            </w:pPr>
            <w:r>
              <w:rPr>
                <w:rFonts w:cs="Arial"/>
              </w:rPr>
              <w:t>-</w:t>
            </w:r>
          </w:p>
        </w:tc>
        <w:tc>
          <w:tcPr>
            <w:tcW w:w="489" w:type="pct"/>
            <w:tcBorders>
              <w:top w:val="single" w:sz="4" w:space="0" w:color="auto"/>
              <w:left w:val="single" w:sz="4" w:space="0" w:color="auto"/>
              <w:bottom w:val="single" w:sz="4" w:space="0" w:color="auto"/>
              <w:right w:val="single" w:sz="4" w:space="0" w:color="auto"/>
            </w:tcBorders>
            <w:vAlign w:val="center"/>
          </w:tcPr>
          <w:p w14:paraId="50522AF2" w14:textId="64089A28" w:rsidR="00714A3E" w:rsidRPr="007D2BA9" w:rsidRDefault="00F169FC"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B4661C6" w14:textId="390ED6CF" w:rsidR="00714A3E" w:rsidRPr="007D2BA9" w:rsidRDefault="00F169FC" w:rsidP="095637AE">
            <w:pPr>
              <w:jc w:val="right"/>
              <w:rPr>
                <w:rFonts w:cs="Arial"/>
              </w:rPr>
            </w:pPr>
            <w:r>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C336388" w14:textId="2815C3A9"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A7E37B8" w14:textId="09539AB8" w:rsidR="00714A3E" w:rsidRPr="007D2BA9" w:rsidRDefault="00F169FC"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72C431F" w14:textId="67633E50" w:rsidR="00714A3E" w:rsidRPr="007D2BA9" w:rsidRDefault="00F169FC" w:rsidP="095637AE">
            <w:pPr>
              <w:jc w:val="right"/>
              <w:rPr>
                <w:rFonts w:cs="Arial"/>
              </w:rPr>
            </w:pPr>
            <w:r>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6817B55B" w14:textId="655A691D" w:rsidR="00714A3E" w:rsidRPr="007D2BA9" w:rsidRDefault="00F169FC" w:rsidP="095637AE">
            <w:pPr>
              <w:jc w:val="right"/>
              <w:rPr>
                <w:rFonts w:cs="Arial"/>
              </w:rPr>
            </w:pPr>
            <w:r>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70954DA1" w14:textId="7F1B3045" w:rsidR="00714A3E" w:rsidRPr="007D2BA9" w:rsidRDefault="00A11129" w:rsidP="095637AE">
            <w:pPr>
              <w:jc w:val="right"/>
              <w:rPr>
                <w:rFonts w:cs="Arial"/>
              </w:rPr>
            </w:pPr>
            <w:r>
              <w:rPr>
                <w:rFonts w:cs="Arial"/>
              </w:rPr>
              <w:t>-</w:t>
            </w:r>
          </w:p>
        </w:tc>
      </w:tr>
      <w:tr w:rsidR="00C91BDD" w:rsidRPr="00D948C1" w14:paraId="743B9017"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C11D181" w14:textId="77777777" w:rsidR="00714A3E" w:rsidRPr="007D2BA9" w:rsidRDefault="00714A3E" w:rsidP="095637AE">
            <w:pPr>
              <w:rPr>
                <w:rFonts w:cs="Arial"/>
              </w:rPr>
            </w:pPr>
            <w:r w:rsidRPr="007D2BA9">
              <w:rPr>
                <w:rFonts w:cs="Arial"/>
              </w:rPr>
              <w:t>Provision for the repayment of debt</w:t>
            </w:r>
          </w:p>
        </w:tc>
        <w:tc>
          <w:tcPr>
            <w:tcW w:w="429" w:type="pct"/>
            <w:tcBorders>
              <w:top w:val="single" w:sz="4" w:space="0" w:color="auto"/>
              <w:left w:val="single" w:sz="4" w:space="0" w:color="auto"/>
              <w:bottom w:val="single" w:sz="4" w:space="0" w:color="auto"/>
              <w:right w:val="single" w:sz="4" w:space="0" w:color="auto"/>
            </w:tcBorders>
            <w:vAlign w:val="center"/>
          </w:tcPr>
          <w:p w14:paraId="229EEBAD" w14:textId="34FACC29" w:rsidR="00714A3E" w:rsidRPr="007D2BA9" w:rsidRDefault="00481714" w:rsidP="095637AE">
            <w:pPr>
              <w:jc w:val="right"/>
              <w:rPr>
                <w:rFonts w:cs="Arial"/>
              </w:rPr>
            </w:pPr>
            <w:r>
              <w:rPr>
                <w:rFonts w:cs="Arial"/>
              </w:rPr>
              <w:t>(670)</w:t>
            </w:r>
          </w:p>
        </w:tc>
        <w:tc>
          <w:tcPr>
            <w:tcW w:w="489" w:type="pct"/>
            <w:tcBorders>
              <w:top w:val="single" w:sz="4" w:space="0" w:color="auto"/>
              <w:left w:val="single" w:sz="4" w:space="0" w:color="auto"/>
              <w:bottom w:val="single" w:sz="4" w:space="0" w:color="auto"/>
              <w:right w:val="single" w:sz="4" w:space="0" w:color="auto"/>
            </w:tcBorders>
            <w:vAlign w:val="center"/>
          </w:tcPr>
          <w:p w14:paraId="45C40CF6" w14:textId="147719B0" w:rsidR="00714A3E" w:rsidRPr="007D2BA9" w:rsidRDefault="00481714"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0D320D4A" w14:textId="3977DC2E" w:rsidR="00714A3E" w:rsidRPr="007D2BA9" w:rsidRDefault="00481714" w:rsidP="095637AE">
            <w:pPr>
              <w:jc w:val="right"/>
              <w:rPr>
                <w:rFonts w:cs="Arial"/>
              </w:rPr>
            </w:pPr>
            <w:r>
              <w:rPr>
                <w:rFonts w:cs="Arial"/>
              </w:rPr>
              <w:t>(670)</w:t>
            </w:r>
          </w:p>
        </w:tc>
        <w:tc>
          <w:tcPr>
            <w:tcW w:w="448" w:type="pct"/>
            <w:tcBorders>
              <w:top w:val="single" w:sz="4" w:space="0" w:color="auto"/>
              <w:left w:val="single" w:sz="4" w:space="0" w:color="auto"/>
              <w:bottom w:val="single" w:sz="4" w:space="0" w:color="auto"/>
              <w:right w:val="single" w:sz="4" w:space="0" w:color="auto"/>
            </w:tcBorders>
            <w:vAlign w:val="center"/>
          </w:tcPr>
          <w:p w14:paraId="00241521" w14:textId="6600050E"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34B439F" w14:textId="46469618" w:rsidR="00714A3E" w:rsidRPr="007D2BA9" w:rsidRDefault="00481714"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96DD9D1" w14:textId="55D00C15" w:rsidR="00714A3E" w:rsidRPr="007D2BA9" w:rsidRDefault="00481714" w:rsidP="095637AE">
            <w:pPr>
              <w:jc w:val="right"/>
              <w:rPr>
                <w:rFonts w:cs="Arial"/>
              </w:rPr>
            </w:pPr>
            <w:r>
              <w:rPr>
                <w:rFonts w:cs="Arial"/>
              </w:rPr>
              <w:t>(670)</w:t>
            </w:r>
          </w:p>
        </w:tc>
        <w:tc>
          <w:tcPr>
            <w:tcW w:w="448" w:type="pct"/>
            <w:tcBorders>
              <w:top w:val="single" w:sz="4" w:space="0" w:color="auto"/>
              <w:left w:val="single" w:sz="4" w:space="0" w:color="auto"/>
              <w:bottom w:val="single" w:sz="4" w:space="0" w:color="auto"/>
              <w:right w:val="single" w:sz="4" w:space="0" w:color="auto"/>
            </w:tcBorders>
            <w:vAlign w:val="center"/>
          </w:tcPr>
          <w:p w14:paraId="064A11D7" w14:textId="2356F04B" w:rsidR="00714A3E" w:rsidRPr="007D2BA9" w:rsidRDefault="00481714" w:rsidP="095637AE">
            <w:pPr>
              <w:jc w:val="right"/>
              <w:rPr>
                <w:rFonts w:cs="Arial"/>
              </w:rPr>
            </w:pPr>
            <w:r>
              <w:rPr>
                <w:rFonts w:cs="Arial"/>
              </w:rPr>
              <w:t>670</w:t>
            </w:r>
          </w:p>
        </w:tc>
        <w:tc>
          <w:tcPr>
            <w:tcW w:w="448" w:type="pct"/>
            <w:tcBorders>
              <w:top w:val="single" w:sz="4" w:space="0" w:color="auto"/>
              <w:left w:val="single" w:sz="4" w:space="0" w:color="auto"/>
              <w:bottom w:val="single" w:sz="4" w:space="0" w:color="auto"/>
              <w:right w:val="single" w:sz="4" w:space="0" w:color="auto"/>
            </w:tcBorders>
            <w:vAlign w:val="center"/>
          </w:tcPr>
          <w:p w14:paraId="629B2086" w14:textId="5117BA61" w:rsidR="00714A3E" w:rsidRPr="007D2BA9" w:rsidRDefault="00A11129" w:rsidP="095637AE">
            <w:pPr>
              <w:jc w:val="right"/>
              <w:rPr>
                <w:rFonts w:cs="Arial"/>
              </w:rPr>
            </w:pPr>
            <w:r>
              <w:rPr>
                <w:rFonts w:cs="Arial"/>
              </w:rPr>
              <w:t>-</w:t>
            </w:r>
          </w:p>
        </w:tc>
      </w:tr>
      <w:tr w:rsidR="00C91BDD" w:rsidRPr="00D948C1" w14:paraId="5744B3B6"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2C13B346" w14:textId="77777777" w:rsidR="00714A3E" w:rsidRPr="007D2BA9" w:rsidRDefault="00714A3E" w:rsidP="095637AE">
            <w:pPr>
              <w:rPr>
                <w:rFonts w:cs="Arial"/>
              </w:rPr>
            </w:pPr>
            <w:r w:rsidRPr="007D2BA9">
              <w:rPr>
                <w:rFonts w:cs="Arial"/>
              </w:rPr>
              <w:t>Capital expenditure charged against General Fund Balance</w:t>
            </w:r>
          </w:p>
        </w:tc>
        <w:tc>
          <w:tcPr>
            <w:tcW w:w="429" w:type="pct"/>
            <w:tcBorders>
              <w:top w:val="single" w:sz="4" w:space="0" w:color="auto"/>
              <w:left w:val="single" w:sz="4" w:space="0" w:color="auto"/>
              <w:bottom w:val="single" w:sz="4" w:space="0" w:color="auto"/>
              <w:right w:val="single" w:sz="4" w:space="0" w:color="auto"/>
            </w:tcBorders>
            <w:vAlign w:val="center"/>
          </w:tcPr>
          <w:p w14:paraId="0AD15415" w14:textId="7D19569C" w:rsidR="00714A3E" w:rsidRPr="007D2BA9" w:rsidRDefault="00481714" w:rsidP="095637AE">
            <w:pPr>
              <w:jc w:val="right"/>
              <w:rPr>
                <w:rFonts w:cs="Arial"/>
              </w:rPr>
            </w:pPr>
            <w:r>
              <w:rPr>
                <w:rFonts w:cs="Arial"/>
              </w:rPr>
              <w:t>(6,105)</w:t>
            </w:r>
          </w:p>
        </w:tc>
        <w:tc>
          <w:tcPr>
            <w:tcW w:w="489" w:type="pct"/>
            <w:tcBorders>
              <w:top w:val="single" w:sz="4" w:space="0" w:color="auto"/>
              <w:left w:val="single" w:sz="4" w:space="0" w:color="auto"/>
              <w:bottom w:val="single" w:sz="4" w:space="0" w:color="auto"/>
              <w:right w:val="single" w:sz="4" w:space="0" w:color="auto"/>
            </w:tcBorders>
            <w:vAlign w:val="center"/>
          </w:tcPr>
          <w:p w14:paraId="1B936054" w14:textId="501CA398" w:rsidR="00714A3E" w:rsidRPr="007D2BA9" w:rsidRDefault="00481714"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7FE340EA" w14:textId="0D99F2DB" w:rsidR="00714A3E" w:rsidRPr="007D2BA9" w:rsidRDefault="00481714" w:rsidP="095637AE">
            <w:pPr>
              <w:jc w:val="right"/>
              <w:rPr>
                <w:rFonts w:cs="Arial"/>
              </w:rPr>
            </w:pPr>
            <w:r>
              <w:rPr>
                <w:rFonts w:cs="Arial"/>
              </w:rPr>
              <w:t>(6,105)</w:t>
            </w:r>
          </w:p>
        </w:tc>
        <w:tc>
          <w:tcPr>
            <w:tcW w:w="448" w:type="pct"/>
            <w:tcBorders>
              <w:top w:val="single" w:sz="4" w:space="0" w:color="auto"/>
              <w:left w:val="single" w:sz="4" w:space="0" w:color="auto"/>
              <w:bottom w:val="single" w:sz="4" w:space="0" w:color="auto"/>
              <w:right w:val="single" w:sz="4" w:space="0" w:color="auto"/>
            </w:tcBorders>
            <w:vAlign w:val="center"/>
          </w:tcPr>
          <w:p w14:paraId="0FDD9DDA" w14:textId="29CEE20C"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3FD5B9C" w14:textId="6606861C" w:rsidR="00714A3E" w:rsidRPr="007D2BA9" w:rsidRDefault="00481714"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69B037FA" w14:textId="79171C75" w:rsidR="00714A3E" w:rsidRPr="007D2BA9" w:rsidRDefault="00481714" w:rsidP="095637AE">
            <w:pPr>
              <w:jc w:val="right"/>
              <w:rPr>
                <w:rFonts w:cs="Arial"/>
              </w:rPr>
            </w:pPr>
            <w:r>
              <w:rPr>
                <w:rFonts w:cs="Arial"/>
              </w:rPr>
              <w:t>(6,105)</w:t>
            </w:r>
          </w:p>
        </w:tc>
        <w:tc>
          <w:tcPr>
            <w:tcW w:w="448" w:type="pct"/>
            <w:tcBorders>
              <w:top w:val="single" w:sz="4" w:space="0" w:color="auto"/>
              <w:left w:val="single" w:sz="4" w:space="0" w:color="auto"/>
              <w:bottom w:val="single" w:sz="4" w:space="0" w:color="auto"/>
              <w:right w:val="single" w:sz="4" w:space="0" w:color="auto"/>
            </w:tcBorders>
            <w:vAlign w:val="center"/>
          </w:tcPr>
          <w:p w14:paraId="28605687" w14:textId="29B503F8" w:rsidR="00714A3E" w:rsidRPr="007D2BA9" w:rsidRDefault="00481714" w:rsidP="095637AE">
            <w:pPr>
              <w:jc w:val="right"/>
              <w:rPr>
                <w:rFonts w:cs="Arial"/>
              </w:rPr>
            </w:pPr>
            <w:r>
              <w:rPr>
                <w:rFonts w:cs="Arial"/>
              </w:rPr>
              <w:t>6,105</w:t>
            </w:r>
          </w:p>
        </w:tc>
        <w:tc>
          <w:tcPr>
            <w:tcW w:w="448" w:type="pct"/>
            <w:tcBorders>
              <w:top w:val="single" w:sz="4" w:space="0" w:color="auto"/>
              <w:left w:val="single" w:sz="4" w:space="0" w:color="auto"/>
              <w:bottom w:val="single" w:sz="4" w:space="0" w:color="auto"/>
              <w:right w:val="single" w:sz="4" w:space="0" w:color="auto"/>
            </w:tcBorders>
            <w:vAlign w:val="center"/>
          </w:tcPr>
          <w:p w14:paraId="12E43151" w14:textId="16560A0F" w:rsidR="00714A3E" w:rsidRPr="007D2BA9" w:rsidRDefault="00A11129" w:rsidP="095637AE">
            <w:pPr>
              <w:jc w:val="right"/>
              <w:rPr>
                <w:rFonts w:cs="Arial"/>
              </w:rPr>
            </w:pPr>
            <w:r>
              <w:rPr>
                <w:rFonts w:cs="Arial"/>
              </w:rPr>
              <w:t>-</w:t>
            </w:r>
          </w:p>
        </w:tc>
      </w:tr>
      <w:tr w:rsidR="00C91BDD" w:rsidRPr="00D948C1" w14:paraId="67A1C7F6" w14:textId="77777777" w:rsidTr="00AC1F4E">
        <w:tc>
          <w:tcPr>
            <w:tcW w:w="1455" w:type="pct"/>
            <w:tcBorders>
              <w:top w:val="single" w:sz="4" w:space="0" w:color="auto"/>
              <w:left w:val="single" w:sz="4" w:space="0" w:color="auto"/>
              <w:bottom w:val="single" w:sz="4" w:space="0" w:color="auto"/>
              <w:right w:val="single" w:sz="4" w:space="0" w:color="auto"/>
            </w:tcBorders>
            <w:vAlign w:val="center"/>
          </w:tcPr>
          <w:p w14:paraId="01AF2B4E" w14:textId="77777777" w:rsidR="00714A3E" w:rsidRPr="007D2BA9" w:rsidRDefault="00714A3E" w:rsidP="095637AE">
            <w:pPr>
              <w:rPr>
                <w:rFonts w:cs="Arial"/>
              </w:rPr>
            </w:pPr>
            <w:r w:rsidRPr="007D2BA9">
              <w:rPr>
                <w:rFonts w:cs="Arial"/>
              </w:rPr>
              <w:t>Amount by which the Code and the statutory pension costs differ</w:t>
            </w:r>
          </w:p>
        </w:tc>
        <w:tc>
          <w:tcPr>
            <w:tcW w:w="429" w:type="pct"/>
            <w:tcBorders>
              <w:top w:val="single" w:sz="4" w:space="0" w:color="auto"/>
              <w:left w:val="single" w:sz="4" w:space="0" w:color="auto"/>
              <w:bottom w:val="single" w:sz="4" w:space="0" w:color="auto"/>
              <w:right w:val="single" w:sz="4" w:space="0" w:color="auto"/>
            </w:tcBorders>
            <w:vAlign w:val="center"/>
          </w:tcPr>
          <w:p w14:paraId="381D0F2D" w14:textId="6971BC73" w:rsidR="00714A3E" w:rsidRPr="007D2BA9" w:rsidRDefault="00481714" w:rsidP="095637AE">
            <w:pPr>
              <w:jc w:val="right"/>
              <w:rPr>
                <w:rFonts w:cs="Arial"/>
              </w:rPr>
            </w:pPr>
            <w:r>
              <w:rPr>
                <w:rFonts w:cs="Arial"/>
              </w:rPr>
              <w:t>2,589</w:t>
            </w:r>
          </w:p>
        </w:tc>
        <w:tc>
          <w:tcPr>
            <w:tcW w:w="489" w:type="pct"/>
            <w:tcBorders>
              <w:top w:val="single" w:sz="4" w:space="0" w:color="auto"/>
              <w:left w:val="single" w:sz="4" w:space="0" w:color="auto"/>
              <w:bottom w:val="single" w:sz="4" w:space="0" w:color="auto"/>
              <w:right w:val="single" w:sz="4" w:space="0" w:color="auto"/>
            </w:tcBorders>
            <w:vAlign w:val="center"/>
          </w:tcPr>
          <w:p w14:paraId="4DDC01E6" w14:textId="4B576F1A" w:rsidR="00714A3E" w:rsidRPr="007D2BA9" w:rsidRDefault="00481714" w:rsidP="095637AE">
            <w:pPr>
              <w:jc w:val="right"/>
              <w:rPr>
                <w:rFonts w:cs="Arial"/>
              </w:rPr>
            </w:pPr>
            <w:r>
              <w:rPr>
                <w:rFonts w:cs="Arial"/>
              </w:rPr>
              <w:t>-</w:t>
            </w:r>
          </w:p>
        </w:tc>
        <w:tc>
          <w:tcPr>
            <w:tcW w:w="427" w:type="pct"/>
            <w:tcBorders>
              <w:top w:val="single" w:sz="4" w:space="0" w:color="auto"/>
              <w:left w:val="single" w:sz="4" w:space="0" w:color="auto"/>
              <w:bottom w:val="single" w:sz="4" w:space="0" w:color="auto"/>
              <w:right w:val="single" w:sz="4" w:space="0" w:color="auto"/>
            </w:tcBorders>
            <w:vAlign w:val="center"/>
          </w:tcPr>
          <w:p w14:paraId="0C41A927" w14:textId="1685B134" w:rsidR="00714A3E" w:rsidRPr="007D2BA9" w:rsidRDefault="00481714" w:rsidP="095637AE">
            <w:pPr>
              <w:jc w:val="right"/>
              <w:rPr>
                <w:rFonts w:cs="Arial"/>
              </w:rPr>
            </w:pPr>
            <w:r>
              <w:rPr>
                <w:rFonts w:cs="Arial"/>
              </w:rPr>
              <w:t>2,589</w:t>
            </w:r>
          </w:p>
        </w:tc>
        <w:tc>
          <w:tcPr>
            <w:tcW w:w="448" w:type="pct"/>
            <w:tcBorders>
              <w:top w:val="single" w:sz="4" w:space="0" w:color="auto"/>
              <w:left w:val="single" w:sz="4" w:space="0" w:color="auto"/>
              <w:bottom w:val="single" w:sz="4" w:space="0" w:color="auto"/>
              <w:right w:val="single" w:sz="4" w:space="0" w:color="auto"/>
            </w:tcBorders>
            <w:vAlign w:val="center"/>
          </w:tcPr>
          <w:p w14:paraId="624116D4" w14:textId="00C2B8C9" w:rsidR="00714A3E" w:rsidRPr="007D2BA9" w:rsidRDefault="00A35F6A"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6159D60" w14:textId="1FF2BC01" w:rsidR="00714A3E" w:rsidRPr="007D2BA9" w:rsidRDefault="009E03BD" w:rsidP="095637AE">
            <w:pPr>
              <w:jc w:val="right"/>
              <w:rPr>
                <w:rFonts w:cs="Arial"/>
              </w:rPr>
            </w:pPr>
            <w:r>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6436E53" w14:textId="74A71EA7" w:rsidR="00714A3E" w:rsidRPr="007D2BA9" w:rsidRDefault="009E03BD" w:rsidP="095637AE">
            <w:pPr>
              <w:jc w:val="right"/>
              <w:rPr>
                <w:rFonts w:cs="Arial"/>
              </w:rPr>
            </w:pPr>
            <w:r>
              <w:rPr>
                <w:rFonts w:cs="Arial"/>
              </w:rPr>
              <w:t>2,589</w:t>
            </w:r>
          </w:p>
        </w:tc>
        <w:tc>
          <w:tcPr>
            <w:tcW w:w="448" w:type="pct"/>
            <w:tcBorders>
              <w:top w:val="single" w:sz="4" w:space="0" w:color="auto"/>
              <w:left w:val="single" w:sz="4" w:space="0" w:color="auto"/>
              <w:bottom w:val="single" w:sz="4" w:space="0" w:color="auto"/>
              <w:right w:val="single" w:sz="4" w:space="0" w:color="auto"/>
            </w:tcBorders>
            <w:vAlign w:val="center"/>
          </w:tcPr>
          <w:p w14:paraId="53EC4922" w14:textId="4467735C" w:rsidR="00714A3E" w:rsidRPr="007D2BA9" w:rsidRDefault="009E03BD" w:rsidP="095637AE">
            <w:pPr>
              <w:jc w:val="right"/>
              <w:rPr>
                <w:rFonts w:cs="Arial"/>
              </w:rPr>
            </w:pPr>
            <w:r>
              <w:rPr>
                <w:rFonts w:cs="Arial"/>
              </w:rPr>
              <w:t>(2,589)</w:t>
            </w:r>
          </w:p>
        </w:tc>
        <w:tc>
          <w:tcPr>
            <w:tcW w:w="448" w:type="pct"/>
            <w:tcBorders>
              <w:top w:val="single" w:sz="4" w:space="0" w:color="auto"/>
              <w:left w:val="single" w:sz="4" w:space="0" w:color="auto"/>
              <w:bottom w:val="single" w:sz="4" w:space="0" w:color="auto"/>
              <w:right w:val="single" w:sz="4" w:space="0" w:color="auto"/>
            </w:tcBorders>
            <w:vAlign w:val="center"/>
          </w:tcPr>
          <w:p w14:paraId="2ABE752B" w14:textId="7DCCADB9" w:rsidR="00714A3E" w:rsidRPr="007D2BA9" w:rsidRDefault="00A11129" w:rsidP="095637AE">
            <w:pPr>
              <w:jc w:val="right"/>
              <w:rPr>
                <w:rFonts w:cs="Arial"/>
              </w:rPr>
            </w:pPr>
            <w:r>
              <w:rPr>
                <w:rFonts w:cs="Arial"/>
              </w:rPr>
              <w:t>-</w:t>
            </w:r>
          </w:p>
        </w:tc>
      </w:tr>
    </w:tbl>
    <w:p w14:paraId="596C7F8A" w14:textId="2E86E568" w:rsidR="00AC1F4E" w:rsidRDefault="00AC1F4E"/>
    <w:p w14:paraId="081B849A" w14:textId="77777777" w:rsidR="00AC1F4E" w:rsidRDefault="00AC1F4E">
      <w:r>
        <w:br w:type="page"/>
      </w:r>
    </w:p>
    <w:tbl>
      <w:tblPr>
        <w:tblW w:w="4670" w:type="pct"/>
        <w:tblLook w:val="01E0" w:firstRow="1" w:lastRow="1" w:firstColumn="1" w:lastColumn="1" w:noHBand="0" w:noVBand="0"/>
      </w:tblPr>
      <w:tblGrid>
        <w:gridCol w:w="4141"/>
        <w:gridCol w:w="1219"/>
        <w:gridCol w:w="1392"/>
        <w:gridCol w:w="1219"/>
        <w:gridCol w:w="1276"/>
        <w:gridCol w:w="1219"/>
        <w:gridCol w:w="1219"/>
        <w:gridCol w:w="1278"/>
        <w:gridCol w:w="1273"/>
      </w:tblGrid>
      <w:tr w:rsidR="007A241A" w:rsidRPr="00D948C1" w14:paraId="4A0CABEF" w14:textId="77777777" w:rsidTr="00AC1F4E">
        <w:trPr>
          <w:trHeight w:val="287"/>
        </w:trPr>
        <w:tc>
          <w:tcPr>
            <w:tcW w:w="1454" w:type="pct"/>
            <w:tcBorders>
              <w:top w:val="single" w:sz="4" w:space="0" w:color="auto"/>
              <w:left w:val="single" w:sz="4" w:space="0" w:color="auto"/>
              <w:bottom w:val="single" w:sz="4" w:space="0" w:color="auto"/>
              <w:right w:val="single" w:sz="4" w:space="0" w:color="auto"/>
            </w:tcBorders>
            <w:shd w:val="clear" w:color="auto" w:fill="BD2716"/>
            <w:vAlign w:val="center"/>
          </w:tcPr>
          <w:p w14:paraId="280347FD" w14:textId="075C0D7A" w:rsidR="00714A3E" w:rsidRPr="00D948C1" w:rsidRDefault="002C5DD1" w:rsidP="002C5DD1">
            <w:pPr>
              <w:rPr>
                <w:rFonts w:cs="Arial"/>
                <w:color w:val="FFFFFF" w:themeColor="background1"/>
                <w:szCs w:val="24"/>
              </w:rPr>
            </w:pPr>
            <w:r w:rsidRPr="00D948C1">
              <w:lastRenderedPageBreak/>
              <w:br w:type="page"/>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46B3698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General fund</w:t>
            </w:r>
          </w:p>
          <w:p w14:paraId="20ED74D4" w14:textId="7D15C1A9"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89" w:type="pct"/>
            <w:tcBorders>
              <w:top w:val="single" w:sz="4" w:space="0" w:color="auto"/>
              <w:left w:val="single" w:sz="4" w:space="0" w:color="auto"/>
              <w:bottom w:val="single" w:sz="4" w:space="0" w:color="auto"/>
              <w:right w:val="single" w:sz="4" w:space="0" w:color="auto"/>
            </w:tcBorders>
            <w:shd w:val="clear" w:color="auto" w:fill="BD2716"/>
            <w:vAlign w:val="center"/>
          </w:tcPr>
          <w:p w14:paraId="6B3449C9"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Earmarked reserves</w:t>
            </w:r>
          </w:p>
          <w:p w14:paraId="50A79A2B" w14:textId="4FFFA712"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1DB92B8B"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General Fund Balance</w:t>
            </w:r>
          </w:p>
          <w:p w14:paraId="48D24374" w14:textId="63C82A57"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8" w:type="pct"/>
            <w:tcBorders>
              <w:top w:val="single" w:sz="4" w:space="0" w:color="auto"/>
              <w:left w:val="single" w:sz="4" w:space="0" w:color="auto"/>
              <w:bottom w:val="single" w:sz="4" w:space="0" w:color="auto"/>
              <w:right w:val="single" w:sz="4" w:space="0" w:color="auto"/>
            </w:tcBorders>
            <w:shd w:val="clear" w:color="auto" w:fill="BD2716"/>
            <w:vAlign w:val="center"/>
          </w:tcPr>
          <w:p w14:paraId="072D9F97"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grant unapplied reserve</w:t>
            </w:r>
          </w:p>
          <w:p w14:paraId="595203C6" w14:textId="7C502A96"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2A7EA851"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Capital receipts reserve</w:t>
            </w:r>
          </w:p>
          <w:p w14:paraId="3A67AF20" w14:textId="580BED96"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28" w:type="pct"/>
            <w:tcBorders>
              <w:top w:val="single" w:sz="4" w:space="0" w:color="auto"/>
              <w:left w:val="single" w:sz="4" w:space="0" w:color="auto"/>
              <w:bottom w:val="single" w:sz="4" w:space="0" w:color="auto"/>
              <w:right w:val="single" w:sz="4" w:space="0" w:color="auto"/>
            </w:tcBorders>
            <w:shd w:val="clear" w:color="auto" w:fill="BD2716"/>
            <w:vAlign w:val="center"/>
          </w:tcPr>
          <w:p w14:paraId="5CA67C3E"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usable reserves</w:t>
            </w:r>
          </w:p>
          <w:p w14:paraId="36B6438E" w14:textId="79F92DD0"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9" w:type="pct"/>
            <w:tcBorders>
              <w:top w:val="single" w:sz="4" w:space="0" w:color="auto"/>
              <w:left w:val="single" w:sz="4" w:space="0" w:color="auto"/>
              <w:bottom w:val="single" w:sz="4" w:space="0" w:color="auto"/>
              <w:right w:val="single" w:sz="4" w:space="0" w:color="auto"/>
            </w:tcBorders>
            <w:shd w:val="clear" w:color="auto" w:fill="BD2716"/>
            <w:vAlign w:val="center"/>
          </w:tcPr>
          <w:p w14:paraId="675F75DA"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Unusable reserves</w:t>
            </w:r>
          </w:p>
          <w:p w14:paraId="094A6BC4" w14:textId="54391E9C"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c>
          <w:tcPr>
            <w:tcW w:w="447" w:type="pct"/>
            <w:tcBorders>
              <w:top w:val="single" w:sz="4" w:space="0" w:color="auto"/>
              <w:left w:val="single" w:sz="4" w:space="0" w:color="auto"/>
              <w:bottom w:val="single" w:sz="4" w:space="0" w:color="auto"/>
              <w:right w:val="single" w:sz="4" w:space="0" w:color="auto"/>
            </w:tcBorders>
            <w:shd w:val="clear" w:color="auto" w:fill="BD2716"/>
            <w:vAlign w:val="center"/>
          </w:tcPr>
          <w:p w14:paraId="2E582E86" w14:textId="77777777" w:rsidR="00714A3E" w:rsidRPr="00D948C1" w:rsidRDefault="00714A3E" w:rsidP="00611673">
            <w:pPr>
              <w:jc w:val="right"/>
              <w:rPr>
                <w:rFonts w:cs="Arial"/>
                <w:color w:val="FFFFFF" w:themeColor="background1"/>
                <w:szCs w:val="24"/>
              </w:rPr>
            </w:pPr>
            <w:r w:rsidRPr="00D948C1">
              <w:rPr>
                <w:rFonts w:cs="Arial"/>
                <w:color w:val="FFFFFF" w:themeColor="background1"/>
                <w:szCs w:val="24"/>
              </w:rPr>
              <w:t>Total Authority reserves</w:t>
            </w:r>
          </w:p>
          <w:p w14:paraId="0714F521" w14:textId="07FD9B15" w:rsidR="00714A3E" w:rsidRPr="00D948C1" w:rsidRDefault="00714A3E" w:rsidP="00611673">
            <w:pPr>
              <w:jc w:val="right"/>
              <w:rPr>
                <w:rFonts w:cs="Arial"/>
                <w:color w:val="FFFFFF" w:themeColor="background1"/>
                <w:szCs w:val="24"/>
              </w:rPr>
            </w:pPr>
            <w:r w:rsidRPr="00D948C1">
              <w:rPr>
                <w:rFonts w:cs="Arial"/>
                <w:color w:val="FFFFFF" w:themeColor="background1"/>
                <w:szCs w:val="24"/>
              </w:rPr>
              <w:t>£000</w:t>
            </w:r>
          </w:p>
        </w:tc>
      </w:tr>
      <w:tr w:rsidR="007A241A" w:rsidRPr="00D948C1" w14:paraId="6963C0DD" w14:textId="77777777" w:rsidTr="00AC1F4E">
        <w:trPr>
          <w:trHeight w:val="287"/>
        </w:trPr>
        <w:tc>
          <w:tcPr>
            <w:tcW w:w="1454" w:type="pct"/>
            <w:tcBorders>
              <w:top w:val="single" w:sz="4" w:space="0" w:color="auto"/>
              <w:left w:val="single" w:sz="4" w:space="0" w:color="auto"/>
              <w:bottom w:val="single" w:sz="4" w:space="0" w:color="auto"/>
              <w:right w:val="single" w:sz="4" w:space="0" w:color="auto"/>
            </w:tcBorders>
            <w:vAlign w:val="center"/>
          </w:tcPr>
          <w:p w14:paraId="4481244C" w14:textId="77777777" w:rsidR="00714A3E" w:rsidRPr="00D948C1" w:rsidRDefault="00714A3E" w:rsidP="002C5DD1">
            <w:pPr>
              <w:rPr>
                <w:rFonts w:cs="Arial"/>
                <w:szCs w:val="24"/>
              </w:rPr>
            </w:pPr>
            <w:r w:rsidRPr="00D948C1">
              <w:rPr>
                <w:rFonts w:cs="Arial"/>
                <w:szCs w:val="24"/>
              </w:rPr>
              <w:t>Amount by which the Code and the statutory collection fund income differ</w:t>
            </w:r>
          </w:p>
        </w:tc>
        <w:tc>
          <w:tcPr>
            <w:tcW w:w="428" w:type="pct"/>
            <w:tcBorders>
              <w:top w:val="single" w:sz="4" w:space="0" w:color="auto"/>
              <w:left w:val="single" w:sz="4" w:space="0" w:color="auto"/>
              <w:bottom w:val="single" w:sz="4" w:space="0" w:color="auto"/>
              <w:right w:val="single" w:sz="4" w:space="0" w:color="auto"/>
            </w:tcBorders>
            <w:vAlign w:val="center"/>
          </w:tcPr>
          <w:p w14:paraId="295A6216" w14:textId="3233150D" w:rsidR="00714A3E" w:rsidRPr="00BB7FAB" w:rsidRDefault="009E03BD" w:rsidP="00233A66">
            <w:pPr>
              <w:jc w:val="right"/>
              <w:rPr>
                <w:rFonts w:cs="Arial"/>
                <w:szCs w:val="24"/>
              </w:rPr>
            </w:pPr>
            <w:r>
              <w:rPr>
                <w:rFonts w:cs="Arial"/>
                <w:szCs w:val="24"/>
              </w:rPr>
              <w:t>41</w:t>
            </w:r>
          </w:p>
        </w:tc>
        <w:tc>
          <w:tcPr>
            <w:tcW w:w="489" w:type="pct"/>
            <w:tcBorders>
              <w:top w:val="single" w:sz="4" w:space="0" w:color="auto"/>
              <w:left w:val="single" w:sz="4" w:space="0" w:color="auto"/>
              <w:bottom w:val="single" w:sz="4" w:space="0" w:color="auto"/>
              <w:right w:val="single" w:sz="4" w:space="0" w:color="auto"/>
            </w:tcBorders>
            <w:vAlign w:val="center"/>
          </w:tcPr>
          <w:p w14:paraId="20BD3AE5" w14:textId="6CBB6CA9" w:rsidR="00714A3E" w:rsidRPr="00BB7FAB" w:rsidRDefault="009E03BD" w:rsidP="00233A66">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68937DD" w14:textId="7803EC65" w:rsidR="00714A3E" w:rsidRPr="00BB7FAB" w:rsidRDefault="009E03BD" w:rsidP="00233A66">
            <w:pPr>
              <w:jc w:val="right"/>
              <w:rPr>
                <w:rFonts w:cs="Arial"/>
                <w:szCs w:val="24"/>
              </w:rPr>
            </w:pPr>
            <w:r>
              <w:rPr>
                <w:rFonts w:cs="Arial"/>
                <w:szCs w:val="24"/>
              </w:rPr>
              <w:t>41</w:t>
            </w:r>
          </w:p>
        </w:tc>
        <w:tc>
          <w:tcPr>
            <w:tcW w:w="448" w:type="pct"/>
            <w:tcBorders>
              <w:top w:val="single" w:sz="4" w:space="0" w:color="auto"/>
              <w:left w:val="single" w:sz="4" w:space="0" w:color="auto"/>
              <w:bottom w:val="single" w:sz="4" w:space="0" w:color="auto"/>
              <w:right w:val="single" w:sz="4" w:space="0" w:color="auto"/>
            </w:tcBorders>
            <w:vAlign w:val="center"/>
          </w:tcPr>
          <w:p w14:paraId="59934DC4" w14:textId="4937A301" w:rsidR="00714A3E" w:rsidRPr="00BB7FAB" w:rsidRDefault="00A35F6A" w:rsidP="00233A66">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960B35E" w14:textId="4990DCCC" w:rsidR="00714A3E" w:rsidRPr="00BB7FAB" w:rsidRDefault="009E03BD" w:rsidP="00233A66">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DCE0B5F" w14:textId="434CEA9B" w:rsidR="00714A3E" w:rsidRPr="00BB7FAB" w:rsidRDefault="009E03BD" w:rsidP="00233A66">
            <w:pPr>
              <w:jc w:val="right"/>
              <w:rPr>
                <w:rFonts w:cs="Arial"/>
                <w:szCs w:val="24"/>
              </w:rPr>
            </w:pPr>
            <w:r>
              <w:rPr>
                <w:rFonts w:cs="Arial"/>
                <w:szCs w:val="24"/>
              </w:rPr>
              <w:t>41</w:t>
            </w:r>
          </w:p>
        </w:tc>
        <w:tc>
          <w:tcPr>
            <w:tcW w:w="449" w:type="pct"/>
            <w:tcBorders>
              <w:top w:val="single" w:sz="4" w:space="0" w:color="auto"/>
              <w:left w:val="single" w:sz="4" w:space="0" w:color="auto"/>
              <w:bottom w:val="single" w:sz="4" w:space="0" w:color="auto"/>
              <w:right w:val="single" w:sz="4" w:space="0" w:color="auto"/>
            </w:tcBorders>
            <w:vAlign w:val="center"/>
          </w:tcPr>
          <w:p w14:paraId="04970D6A" w14:textId="2B2D1B31" w:rsidR="00714A3E" w:rsidRPr="00BB7FAB" w:rsidRDefault="009E03BD" w:rsidP="00233A66">
            <w:pPr>
              <w:jc w:val="right"/>
              <w:rPr>
                <w:rFonts w:cs="Arial"/>
                <w:szCs w:val="24"/>
              </w:rPr>
            </w:pPr>
            <w:r>
              <w:rPr>
                <w:rFonts w:cs="Arial"/>
                <w:szCs w:val="24"/>
              </w:rPr>
              <w:t>(41)</w:t>
            </w:r>
          </w:p>
        </w:tc>
        <w:tc>
          <w:tcPr>
            <w:tcW w:w="447" w:type="pct"/>
            <w:tcBorders>
              <w:top w:val="single" w:sz="4" w:space="0" w:color="auto"/>
              <w:left w:val="single" w:sz="4" w:space="0" w:color="auto"/>
              <w:bottom w:val="single" w:sz="4" w:space="0" w:color="auto"/>
              <w:right w:val="single" w:sz="4" w:space="0" w:color="auto"/>
            </w:tcBorders>
            <w:vAlign w:val="center"/>
          </w:tcPr>
          <w:p w14:paraId="0235EA22" w14:textId="3B5711CB" w:rsidR="00714A3E" w:rsidRPr="00BB7FAB" w:rsidRDefault="00C06CE7" w:rsidP="00233A66">
            <w:pPr>
              <w:jc w:val="right"/>
              <w:rPr>
                <w:rFonts w:cs="Arial"/>
                <w:szCs w:val="24"/>
              </w:rPr>
            </w:pPr>
            <w:r>
              <w:rPr>
                <w:rFonts w:cs="Arial"/>
                <w:szCs w:val="24"/>
              </w:rPr>
              <w:t>-</w:t>
            </w:r>
          </w:p>
        </w:tc>
      </w:tr>
      <w:tr w:rsidR="00431CDB" w:rsidRPr="00D948C1" w14:paraId="74FCB40D" w14:textId="77777777" w:rsidTr="00AC1F4E">
        <w:trPr>
          <w:trHeight w:val="269"/>
        </w:trPr>
        <w:tc>
          <w:tcPr>
            <w:tcW w:w="1454" w:type="pct"/>
            <w:tcBorders>
              <w:top w:val="single" w:sz="4" w:space="0" w:color="auto"/>
              <w:left w:val="single" w:sz="4" w:space="0" w:color="auto"/>
              <w:bottom w:val="single" w:sz="4" w:space="0" w:color="auto"/>
              <w:right w:val="single" w:sz="4" w:space="0" w:color="auto"/>
            </w:tcBorders>
            <w:vAlign w:val="center"/>
          </w:tcPr>
          <w:p w14:paraId="26223A25" w14:textId="299E784D" w:rsidR="00FD1DF8" w:rsidRPr="00AD3B8A" w:rsidRDefault="00FD1DF8" w:rsidP="00FD1DF8">
            <w:pPr>
              <w:rPr>
                <w:rFonts w:cs="Arial"/>
                <w:szCs w:val="24"/>
              </w:rPr>
            </w:pPr>
            <w:r>
              <w:rPr>
                <w:rFonts w:cs="Arial"/>
                <w:szCs w:val="24"/>
              </w:rPr>
              <w:t>Accumulated absences</w:t>
            </w:r>
          </w:p>
        </w:tc>
        <w:tc>
          <w:tcPr>
            <w:tcW w:w="428" w:type="pct"/>
            <w:tcBorders>
              <w:top w:val="single" w:sz="4" w:space="0" w:color="auto"/>
              <w:left w:val="single" w:sz="4" w:space="0" w:color="auto"/>
              <w:bottom w:val="single" w:sz="4" w:space="0" w:color="auto"/>
              <w:right w:val="single" w:sz="4" w:space="0" w:color="auto"/>
            </w:tcBorders>
            <w:vAlign w:val="center"/>
          </w:tcPr>
          <w:p w14:paraId="0A1D6347" w14:textId="71D82610" w:rsidR="00FD1DF8" w:rsidRPr="00FD1DF8" w:rsidRDefault="009E03BD" w:rsidP="00FD1DF8">
            <w:pPr>
              <w:jc w:val="right"/>
              <w:rPr>
                <w:rFonts w:cs="Arial"/>
                <w:szCs w:val="24"/>
              </w:rPr>
            </w:pPr>
            <w:r>
              <w:rPr>
                <w:rFonts w:cs="Arial"/>
                <w:szCs w:val="24"/>
              </w:rPr>
              <w:t>(43)</w:t>
            </w:r>
          </w:p>
        </w:tc>
        <w:tc>
          <w:tcPr>
            <w:tcW w:w="489" w:type="pct"/>
            <w:tcBorders>
              <w:top w:val="single" w:sz="4" w:space="0" w:color="auto"/>
              <w:left w:val="single" w:sz="4" w:space="0" w:color="auto"/>
              <w:bottom w:val="single" w:sz="4" w:space="0" w:color="auto"/>
              <w:right w:val="single" w:sz="4" w:space="0" w:color="auto"/>
            </w:tcBorders>
            <w:vAlign w:val="center"/>
          </w:tcPr>
          <w:p w14:paraId="2476595C" w14:textId="0C392D93" w:rsidR="00FD1DF8" w:rsidRPr="00FD1DF8" w:rsidRDefault="009E03BD" w:rsidP="00FD1DF8">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6B4EEB98" w14:textId="4AB9586F" w:rsidR="00FD1DF8" w:rsidRPr="00FD1DF8" w:rsidRDefault="009E03BD" w:rsidP="00FD1DF8">
            <w:pPr>
              <w:jc w:val="right"/>
              <w:rPr>
                <w:rFonts w:cs="Arial"/>
                <w:szCs w:val="24"/>
              </w:rPr>
            </w:pPr>
            <w:r>
              <w:rPr>
                <w:rFonts w:cs="Arial"/>
                <w:szCs w:val="24"/>
              </w:rPr>
              <w:t>(43)</w:t>
            </w:r>
          </w:p>
        </w:tc>
        <w:tc>
          <w:tcPr>
            <w:tcW w:w="448" w:type="pct"/>
            <w:tcBorders>
              <w:top w:val="single" w:sz="4" w:space="0" w:color="auto"/>
              <w:left w:val="single" w:sz="4" w:space="0" w:color="auto"/>
              <w:bottom w:val="single" w:sz="4" w:space="0" w:color="auto"/>
              <w:right w:val="single" w:sz="4" w:space="0" w:color="auto"/>
            </w:tcBorders>
            <w:vAlign w:val="center"/>
          </w:tcPr>
          <w:p w14:paraId="4DB129DE" w14:textId="740C402A" w:rsidR="00FD1DF8" w:rsidRPr="00FD1DF8" w:rsidRDefault="00A35F6A" w:rsidP="00FD1DF8">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20A00909" w14:textId="438275A0" w:rsidR="00FD1DF8" w:rsidRPr="00FD1DF8" w:rsidRDefault="009E03BD" w:rsidP="00FD1DF8">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6875A83" w14:textId="07BB7AA8" w:rsidR="00FD1DF8" w:rsidRPr="00FD1DF8" w:rsidRDefault="009E03BD" w:rsidP="00FD1DF8">
            <w:pPr>
              <w:jc w:val="right"/>
              <w:rPr>
                <w:rFonts w:cs="Arial"/>
                <w:szCs w:val="24"/>
              </w:rPr>
            </w:pPr>
            <w:r>
              <w:rPr>
                <w:rFonts w:cs="Arial"/>
                <w:szCs w:val="24"/>
              </w:rPr>
              <w:t>(43)</w:t>
            </w:r>
          </w:p>
        </w:tc>
        <w:tc>
          <w:tcPr>
            <w:tcW w:w="449" w:type="pct"/>
            <w:tcBorders>
              <w:top w:val="single" w:sz="4" w:space="0" w:color="auto"/>
              <w:left w:val="single" w:sz="4" w:space="0" w:color="auto"/>
              <w:bottom w:val="single" w:sz="4" w:space="0" w:color="auto"/>
              <w:right w:val="single" w:sz="4" w:space="0" w:color="auto"/>
            </w:tcBorders>
            <w:vAlign w:val="center"/>
          </w:tcPr>
          <w:p w14:paraId="01A82EEE" w14:textId="1B58A085" w:rsidR="00FD1DF8" w:rsidRPr="00FD1DF8" w:rsidRDefault="009E03BD" w:rsidP="00FD1DF8">
            <w:pPr>
              <w:jc w:val="right"/>
              <w:rPr>
                <w:rFonts w:cs="Arial"/>
                <w:szCs w:val="24"/>
              </w:rPr>
            </w:pPr>
            <w:r>
              <w:rPr>
                <w:rFonts w:cs="Arial"/>
                <w:szCs w:val="24"/>
              </w:rPr>
              <w:t>43</w:t>
            </w:r>
          </w:p>
        </w:tc>
        <w:tc>
          <w:tcPr>
            <w:tcW w:w="447" w:type="pct"/>
            <w:tcBorders>
              <w:top w:val="single" w:sz="4" w:space="0" w:color="auto"/>
              <w:left w:val="single" w:sz="4" w:space="0" w:color="auto"/>
              <w:bottom w:val="single" w:sz="4" w:space="0" w:color="auto"/>
              <w:right w:val="single" w:sz="4" w:space="0" w:color="auto"/>
            </w:tcBorders>
            <w:vAlign w:val="center"/>
          </w:tcPr>
          <w:p w14:paraId="2C1D240C" w14:textId="1652700A" w:rsidR="00FD1DF8" w:rsidRPr="00FD1DF8" w:rsidRDefault="00C06CE7" w:rsidP="00FD1DF8">
            <w:pPr>
              <w:jc w:val="right"/>
              <w:rPr>
                <w:rFonts w:cs="Arial"/>
                <w:szCs w:val="24"/>
              </w:rPr>
            </w:pPr>
            <w:r>
              <w:rPr>
                <w:rFonts w:cs="Arial"/>
                <w:szCs w:val="24"/>
              </w:rPr>
              <w:t>-</w:t>
            </w:r>
          </w:p>
        </w:tc>
      </w:tr>
      <w:tr w:rsidR="007A241A" w:rsidRPr="00D948C1" w14:paraId="57544245" w14:textId="77777777" w:rsidTr="00AC1F4E">
        <w:trPr>
          <w:trHeight w:val="269"/>
        </w:trPr>
        <w:tc>
          <w:tcPr>
            <w:tcW w:w="1454" w:type="pct"/>
            <w:tcBorders>
              <w:top w:val="single" w:sz="4" w:space="0" w:color="auto"/>
              <w:left w:val="single" w:sz="4" w:space="0" w:color="auto"/>
              <w:bottom w:val="single" w:sz="4" w:space="0" w:color="auto"/>
              <w:right w:val="single" w:sz="4" w:space="0" w:color="auto"/>
            </w:tcBorders>
            <w:vAlign w:val="center"/>
          </w:tcPr>
          <w:p w14:paraId="32EAC610" w14:textId="49EE3817" w:rsidR="00FD1DF8" w:rsidRPr="00D948C1" w:rsidRDefault="00FD1DF8" w:rsidP="00FD1DF8">
            <w:pPr>
              <w:rPr>
                <w:rFonts w:cs="Arial"/>
                <w:b/>
                <w:bCs/>
                <w:szCs w:val="24"/>
              </w:rPr>
            </w:pPr>
            <w:r w:rsidRPr="00D948C1">
              <w:rPr>
                <w:rFonts w:cs="Arial"/>
                <w:b/>
                <w:bCs/>
                <w:szCs w:val="24"/>
              </w:rPr>
              <w:t>Adjustments total</w:t>
            </w:r>
          </w:p>
        </w:tc>
        <w:tc>
          <w:tcPr>
            <w:tcW w:w="428" w:type="pct"/>
            <w:tcBorders>
              <w:top w:val="single" w:sz="4" w:space="0" w:color="auto"/>
              <w:left w:val="single" w:sz="4" w:space="0" w:color="auto"/>
              <w:bottom w:val="single" w:sz="4" w:space="0" w:color="auto"/>
              <w:right w:val="single" w:sz="4" w:space="0" w:color="auto"/>
            </w:tcBorders>
            <w:vAlign w:val="center"/>
          </w:tcPr>
          <w:p w14:paraId="73BD343E" w14:textId="01D95682" w:rsidR="00FD1DF8" w:rsidRPr="00BB7FAB" w:rsidRDefault="0035232B" w:rsidP="00FD1DF8">
            <w:pPr>
              <w:jc w:val="right"/>
              <w:rPr>
                <w:rFonts w:cs="Arial"/>
                <w:b/>
                <w:bCs/>
                <w:szCs w:val="24"/>
              </w:rPr>
            </w:pPr>
            <w:r>
              <w:rPr>
                <w:rFonts w:cs="Arial"/>
                <w:b/>
                <w:bCs/>
                <w:szCs w:val="24"/>
              </w:rPr>
              <w:t>2,5</w:t>
            </w:r>
            <w:r w:rsidR="00737BAD">
              <w:rPr>
                <w:rFonts w:cs="Arial"/>
                <w:b/>
                <w:bCs/>
                <w:szCs w:val="24"/>
              </w:rPr>
              <w:t>31</w:t>
            </w:r>
          </w:p>
        </w:tc>
        <w:tc>
          <w:tcPr>
            <w:tcW w:w="489" w:type="pct"/>
            <w:tcBorders>
              <w:top w:val="single" w:sz="4" w:space="0" w:color="auto"/>
              <w:left w:val="single" w:sz="4" w:space="0" w:color="auto"/>
              <w:bottom w:val="single" w:sz="4" w:space="0" w:color="auto"/>
              <w:right w:val="single" w:sz="4" w:space="0" w:color="auto"/>
            </w:tcBorders>
            <w:vAlign w:val="center"/>
          </w:tcPr>
          <w:p w14:paraId="3C8A25F6" w14:textId="08154B97" w:rsidR="00FD1DF8" w:rsidRPr="00BB7FAB" w:rsidRDefault="0035232B"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ADF1687" w14:textId="1F7D969C" w:rsidR="00FD1DF8" w:rsidRPr="00BB7FAB" w:rsidRDefault="0035232B" w:rsidP="00FD1DF8">
            <w:pPr>
              <w:jc w:val="right"/>
              <w:rPr>
                <w:rFonts w:cs="Arial"/>
                <w:b/>
                <w:bCs/>
                <w:szCs w:val="24"/>
              </w:rPr>
            </w:pPr>
            <w:r>
              <w:rPr>
                <w:rFonts w:cs="Arial"/>
                <w:b/>
                <w:bCs/>
                <w:szCs w:val="24"/>
              </w:rPr>
              <w:t>2,5</w:t>
            </w:r>
            <w:r w:rsidR="00737BAD">
              <w:rPr>
                <w:rFonts w:cs="Arial"/>
                <w:b/>
                <w:bCs/>
                <w:szCs w:val="24"/>
              </w:rPr>
              <w:t>31</w:t>
            </w:r>
          </w:p>
        </w:tc>
        <w:tc>
          <w:tcPr>
            <w:tcW w:w="448" w:type="pct"/>
            <w:tcBorders>
              <w:top w:val="single" w:sz="4" w:space="0" w:color="auto"/>
              <w:left w:val="single" w:sz="4" w:space="0" w:color="auto"/>
              <w:bottom w:val="single" w:sz="4" w:space="0" w:color="auto"/>
              <w:right w:val="single" w:sz="4" w:space="0" w:color="auto"/>
            </w:tcBorders>
            <w:vAlign w:val="center"/>
          </w:tcPr>
          <w:p w14:paraId="0F5BA14B" w14:textId="1506817F" w:rsidR="00FD1DF8" w:rsidRPr="00BB7FAB" w:rsidRDefault="00A35F6A"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9477CDB" w14:textId="234730BE" w:rsidR="00FD1DF8" w:rsidRPr="00BB7FAB" w:rsidRDefault="0035232B" w:rsidP="00FD1DF8">
            <w:pPr>
              <w:jc w:val="right"/>
              <w:rPr>
                <w:rFonts w:cs="Arial"/>
                <w:b/>
                <w:bCs/>
                <w:szCs w:val="24"/>
              </w:rPr>
            </w:pPr>
            <w:r>
              <w:rPr>
                <w:rFonts w:cs="Arial"/>
                <w:b/>
                <w:bCs/>
                <w:szCs w:val="24"/>
              </w:rPr>
              <w:t>78</w:t>
            </w:r>
          </w:p>
        </w:tc>
        <w:tc>
          <w:tcPr>
            <w:tcW w:w="428" w:type="pct"/>
            <w:tcBorders>
              <w:top w:val="single" w:sz="4" w:space="0" w:color="auto"/>
              <w:left w:val="single" w:sz="4" w:space="0" w:color="auto"/>
              <w:bottom w:val="single" w:sz="4" w:space="0" w:color="auto"/>
              <w:right w:val="single" w:sz="4" w:space="0" w:color="auto"/>
            </w:tcBorders>
            <w:vAlign w:val="center"/>
          </w:tcPr>
          <w:p w14:paraId="568DC9C1" w14:textId="36901879" w:rsidR="00FD1DF8" w:rsidRPr="00BB7FAB" w:rsidRDefault="0035232B" w:rsidP="00FD1DF8">
            <w:pPr>
              <w:jc w:val="right"/>
              <w:rPr>
                <w:rFonts w:cs="Arial"/>
                <w:b/>
                <w:bCs/>
                <w:szCs w:val="24"/>
              </w:rPr>
            </w:pPr>
            <w:r>
              <w:rPr>
                <w:rFonts w:cs="Arial"/>
                <w:b/>
                <w:bCs/>
                <w:szCs w:val="24"/>
              </w:rPr>
              <w:t>2,6</w:t>
            </w:r>
            <w:r w:rsidR="000F4B71">
              <w:rPr>
                <w:rFonts w:cs="Arial"/>
                <w:b/>
                <w:bCs/>
                <w:szCs w:val="24"/>
              </w:rPr>
              <w:t>0</w:t>
            </w:r>
            <w:r>
              <w:rPr>
                <w:rFonts w:cs="Arial"/>
                <w:b/>
                <w:bCs/>
                <w:szCs w:val="24"/>
              </w:rPr>
              <w:t>9</w:t>
            </w:r>
          </w:p>
        </w:tc>
        <w:tc>
          <w:tcPr>
            <w:tcW w:w="449" w:type="pct"/>
            <w:tcBorders>
              <w:top w:val="single" w:sz="4" w:space="0" w:color="auto"/>
              <w:left w:val="single" w:sz="4" w:space="0" w:color="auto"/>
              <w:bottom w:val="single" w:sz="4" w:space="0" w:color="auto"/>
              <w:right w:val="single" w:sz="4" w:space="0" w:color="auto"/>
            </w:tcBorders>
            <w:vAlign w:val="center"/>
          </w:tcPr>
          <w:p w14:paraId="1881D60B" w14:textId="2E13BB98" w:rsidR="00FD1DF8" w:rsidRPr="00BB7FAB" w:rsidRDefault="0035232B" w:rsidP="00FD1DF8">
            <w:pPr>
              <w:jc w:val="right"/>
              <w:rPr>
                <w:rFonts w:cs="Arial"/>
                <w:b/>
                <w:bCs/>
                <w:szCs w:val="24"/>
              </w:rPr>
            </w:pPr>
            <w:r>
              <w:rPr>
                <w:rFonts w:cs="Arial"/>
                <w:b/>
                <w:bCs/>
                <w:szCs w:val="24"/>
              </w:rPr>
              <w:t>(2,6</w:t>
            </w:r>
            <w:r w:rsidR="000F4B71">
              <w:rPr>
                <w:rFonts w:cs="Arial"/>
                <w:b/>
                <w:bCs/>
                <w:szCs w:val="24"/>
              </w:rPr>
              <w:t>0</w:t>
            </w:r>
            <w:r>
              <w:rPr>
                <w:rFonts w:cs="Arial"/>
                <w:b/>
                <w:bCs/>
                <w:szCs w:val="24"/>
              </w:rPr>
              <w:t>9)</w:t>
            </w:r>
          </w:p>
        </w:tc>
        <w:tc>
          <w:tcPr>
            <w:tcW w:w="447" w:type="pct"/>
            <w:tcBorders>
              <w:top w:val="single" w:sz="4" w:space="0" w:color="auto"/>
              <w:left w:val="single" w:sz="4" w:space="0" w:color="auto"/>
              <w:bottom w:val="single" w:sz="4" w:space="0" w:color="auto"/>
              <w:right w:val="single" w:sz="4" w:space="0" w:color="auto"/>
            </w:tcBorders>
            <w:vAlign w:val="center"/>
          </w:tcPr>
          <w:p w14:paraId="47FD312C" w14:textId="73A0FA8F" w:rsidR="00FD1DF8" w:rsidRPr="00BB7FAB" w:rsidRDefault="00C06CE7" w:rsidP="00FD1DF8">
            <w:pPr>
              <w:jc w:val="right"/>
              <w:rPr>
                <w:rFonts w:cs="Arial"/>
                <w:b/>
                <w:bCs/>
                <w:szCs w:val="24"/>
              </w:rPr>
            </w:pPr>
            <w:r>
              <w:rPr>
                <w:rFonts w:cs="Arial"/>
                <w:b/>
                <w:bCs/>
                <w:szCs w:val="24"/>
              </w:rPr>
              <w:t>-</w:t>
            </w:r>
          </w:p>
        </w:tc>
      </w:tr>
      <w:tr w:rsidR="007A241A" w:rsidRPr="00D948C1" w14:paraId="0BEA7D72" w14:textId="77777777" w:rsidTr="00AC1F4E">
        <w:trPr>
          <w:trHeight w:val="243"/>
        </w:trPr>
        <w:tc>
          <w:tcPr>
            <w:tcW w:w="1454" w:type="pct"/>
            <w:tcBorders>
              <w:top w:val="single" w:sz="4" w:space="0" w:color="auto"/>
              <w:left w:val="single" w:sz="4" w:space="0" w:color="auto"/>
              <w:bottom w:val="single" w:sz="4" w:space="0" w:color="auto"/>
              <w:right w:val="single" w:sz="4" w:space="0" w:color="auto"/>
            </w:tcBorders>
            <w:vAlign w:val="center"/>
          </w:tcPr>
          <w:p w14:paraId="567F3060" w14:textId="1C2221CB" w:rsidR="00FD1DF8" w:rsidRPr="00D948C1" w:rsidRDefault="00FD1DF8" w:rsidP="00FD1DF8">
            <w:pPr>
              <w:rPr>
                <w:rFonts w:cs="Arial"/>
                <w:b/>
                <w:bCs/>
                <w:szCs w:val="24"/>
              </w:rPr>
            </w:pPr>
            <w:r w:rsidRPr="00D948C1">
              <w:rPr>
                <w:rFonts w:cs="Arial"/>
                <w:b/>
                <w:bCs/>
                <w:szCs w:val="24"/>
              </w:rPr>
              <w:t>Net increase</w:t>
            </w:r>
            <w:r w:rsidR="007176B8">
              <w:rPr>
                <w:rFonts w:cs="Arial"/>
                <w:b/>
                <w:bCs/>
                <w:szCs w:val="24"/>
              </w:rPr>
              <w:t xml:space="preserve"> or </w:t>
            </w:r>
            <w:r w:rsidRPr="00D948C1">
              <w:rPr>
                <w:rFonts w:cs="Arial"/>
                <w:b/>
                <w:bCs/>
                <w:szCs w:val="24"/>
              </w:rPr>
              <w:t>decrease before transfers to earmarked reserves</w:t>
            </w:r>
          </w:p>
        </w:tc>
        <w:tc>
          <w:tcPr>
            <w:tcW w:w="428" w:type="pct"/>
            <w:tcBorders>
              <w:top w:val="single" w:sz="4" w:space="0" w:color="auto"/>
              <w:left w:val="single" w:sz="4" w:space="0" w:color="auto"/>
              <w:bottom w:val="single" w:sz="4" w:space="0" w:color="auto"/>
              <w:right w:val="single" w:sz="4" w:space="0" w:color="auto"/>
            </w:tcBorders>
            <w:vAlign w:val="center"/>
          </w:tcPr>
          <w:p w14:paraId="686FAE83" w14:textId="27FB1A0F" w:rsidR="00FD1DF8" w:rsidRPr="00BB7FAB" w:rsidRDefault="0035232B" w:rsidP="00FD1DF8">
            <w:pPr>
              <w:jc w:val="right"/>
              <w:rPr>
                <w:rFonts w:cs="Arial"/>
                <w:b/>
                <w:bCs/>
                <w:szCs w:val="24"/>
              </w:rPr>
            </w:pPr>
            <w:r>
              <w:rPr>
                <w:rFonts w:cs="Arial"/>
                <w:b/>
                <w:bCs/>
                <w:szCs w:val="24"/>
              </w:rPr>
              <w:t>(302)</w:t>
            </w:r>
          </w:p>
        </w:tc>
        <w:tc>
          <w:tcPr>
            <w:tcW w:w="489" w:type="pct"/>
            <w:tcBorders>
              <w:top w:val="single" w:sz="4" w:space="0" w:color="auto"/>
              <w:left w:val="single" w:sz="4" w:space="0" w:color="auto"/>
              <w:bottom w:val="single" w:sz="4" w:space="0" w:color="auto"/>
              <w:right w:val="single" w:sz="4" w:space="0" w:color="auto"/>
            </w:tcBorders>
            <w:vAlign w:val="center"/>
          </w:tcPr>
          <w:p w14:paraId="1F86B70D" w14:textId="67237628" w:rsidR="00FD1DF8" w:rsidRPr="00BB7FAB" w:rsidRDefault="0035232B"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0E2930F0" w14:textId="293A4CA4" w:rsidR="00FD1DF8" w:rsidRPr="00BB7FAB" w:rsidRDefault="0035232B" w:rsidP="00FD1DF8">
            <w:pPr>
              <w:jc w:val="right"/>
              <w:rPr>
                <w:rFonts w:cs="Arial"/>
                <w:b/>
                <w:bCs/>
                <w:szCs w:val="24"/>
              </w:rPr>
            </w:pPr>
            <w:r>
              <w:rPr>
                <w:rFonts w:cs="Arial"/>
                <w:b/>
                <w:bCs/>
                <w:szCs w:val="24"/>
              </w:rPr>
              <w:t>(302)</w:t>
            </w:r>
          </w:p>
        </w:tc>
        <w:tc>
          <w:tcPr>
            <w:tcW w:w="448" w:type="pct"/>
            <w:tcBorders>
              <w:top w:val="single" w:sz="4" w:space="0" w:color="auto"/>
              <w:left w:val="single" w:sz="4" w:space="0" w:color="auto"/>
              <w:bottom w:val="single" w:sz="4" w:space="0" w:color="auto"/>
              <w:right w:val="single" w:sz="4" w:space="0" w:color="auto"/>
            </w:tcBorders>
            <w:vAlign w:val="center"/>
          </w:tcPr>
          <w:p w14:paraId="0B7221F6" w14:textId="35A2B0E4" w:rsidR="00FD1DF8" w:rsidRPr="00BB7FAB" w:rsidRDefault="00A35F6A"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348D842E" w14:textId="1E2A9492" w:rsidR="00FD1DF8" w:rsidRPr="00BB7FAB" w:rsidRDefault="0035232B" w:rsidP="00FD1DF8">
            <w:pPr>
              <w:jc w:val="right"/>
              <w:rPr>
                <w:rFonts w:cs="Arial"/>
                <w:b/>
                <w:bCs/>
                <w:szCs w:val="24"/>
              </w:rPr>
            </w:pPr>
            <w:r>
              <w:rPr>
                <w:rFonts w:cs="Arial"/>
                <w:b/>
                <w:bCs/>
                <w:szCs w:val="24"/>
              </w:rPr>
              <w:t>78</w:t>
            </w:r>
          </w:p>
        </w:tc>
        <w:tc>
          <w:tcPr>
            <w:tcW w:w="428" w:type="pct"/>
            <w:tcBorders>
              <w:top w:val="single" w:sz="4" w:space="0" w:color="auto"/>
              <w:left w:val="single" w:sz="4" w:space="0" w:color="auto"/>
              <w:bottom w:val="single" w:sz="4" w:space="0" w:color="auto"/>
              <w:right w:val="single" w:sz="4" w:space="0" w:color="auto"/>
            </w:tcBorders>
            <w:vAlign w:val="center"/>
          </w:tcPr>
          <w:p w14:paraId="341499D3" w14:textId="17F9245F" w:rsidR="00FD1DF8" w:rsidRPr="00BB7FAB" w:rsidRDefault="0035232B" w:rsidP="00FD1DF8">
            <w:pPr>
              <w:jc w:val="right"/>
              <w:rPr>
                <w:rFonts w:cs="Arial"/>
                <w:b/>
                <w:bCs/>
                <w:szCs w:val="24"/>
              </w:rPr>
            </w:pPr>
            <w:r>
              <w:rPr>
                <w:rFonts w:cs="Arial"/>
                <w:b/>
                <w:bCs/>
                <w:szCs w:val="24"/>
              </w:rPr>
              <w:t>(225)</w:t>
            </w:r>
          </w:p>
        </w:tc>
        <w:tc>
          <w:tcPr>
            <w:tcW w:w="449" w:type="pct"/>
            <w:tcBorders>
              <w:top w:val="single" w:sz="4" w:space="0" w:color="auto"/>
              <w:left w:val="single" w:sz="4" w:space="0" w:color="auto"/>
              <w:bottom w:val="single" w:sz="4" w:space="0" w:color="auto"/>
              <w:right w:val="single" w:sz="4" w:space="0" w:color="auto"/>
            </w:tcBorders>
            <w:vAlign w:val="center"/>
          </w:tcPr>
          <w:p w14:paraId="155E0793" w14:textId="042E643B" w:rsidR="00FD1DF8" w:rsidRPr="00BB7FAB" w:rsidRDefault="004106D6" w:rsidP="00FD1DF8">
            <w:pPr>
              <w:jc w:val="right"/>
              <w:rPr>
                <w:rFonts w:cs="Arial"/>
                <w:b/>
                <w:bCs/>
                <w:szCs w:val="24"/>
              </w:rPr>
            </w:pPr>
            <w:r>
              <w:rPr>
                <w:rFonts w:cs="Arial"/>
                <w:b/>
                <w:bCs/>
                <w:szCs w:val="24"/>
              </w:rPr>
              <w:t>10,3</w:t>
            </w:r>
            <w:r w:rsidR="000F4B71">
              <w:rPr>
                <w:rFonts w:cs="Arial"/>
                <w:b/>
                <w:bCs/>
                <w:szCs w:val="24"/>
              </w:rPr>
              <w:t>8</w:t>
            </w:r>
            <w:r>
              <w:rPr>
                <w:rFonts w:cs="Arial"/>
                <w:b/>
                <w:bCs/>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535556A9" w14:textId="07AE9AB5" w:rsidR="00FD1DF8" w:rsidRPr="00BB7FAB" w:rsidRDefault="00C06CE7" w:rsidP="00FD1DF8">
            <w:pPr>
              <w:jc w:val="right"/>
              <w:rPr>
                <w:rFonts w:cs="Arial"/>
                <w:b/>
                <w:bCs/>
                <w:szCs w:val="24"/>
              </w:rPr>
            </w:pPr>
            <w:r>
              <w:rPr>
                <w:rFonts w:cs="Arial"/>
                <w:b/>
                <w:bCs/>
                <w:szCs w:val="24"/>
              </w:rPr>
              <w:t>10,1</w:t>
            </w:r>
            <w:r w:rsidR="008317EB">
              <w:rPr>
                <w:rFonts w:cs="Arial"/>
                <w:b/>
                <w:bCs/>
                <w:szCs w:val="24"/>
              </w:rPr>
              <w:t>57</w:t>
            </w:r>
          </w:p>
        </w:tc>
      </w:tr>
      <w:tr w:rsidR="007A241A" w:rsidRPr="00D948C1" w14:paraId="2E062C85"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4163233F" w14:textId="48C40F27" w:rsidR="00FD1DF8" w:rsidRPr="00D948C1" w:rsidRDefault="00FD1DF8" w:rsidP="00FD1DF8">
            <w:pPr>
              <w:rPr>
                <w:rFonts w:cs="Arial"/>
                <w:szCs w:val="24"/>
              </w:rPr>
            </w:pPr>
            <w:r w:rsidRPr="00D948C1">
              <w:rPr>
                <w:rFonts w:cs="Arial"/>
                <w:szCs w:val="24"/>
              </w:rPr>
              <w:t>Transfers (to)</w:t>
            </w:r>
            <w:r w:rsidR="007176B8">
              <w:rPr>
                <w:rFonts w:cs="Arial"/>
                <w:szCs w:val="24"/>
              </w:rPr>
              <w:t xml:space="preserve"> or </w:t>
            </w:r>
            <w:r w:rsidRPr="00D948C1">
              <w:rPr>
                <w:rFonts w:cs="Arial"/>
                <w:szCs w:val="24"/>
              </w:rPr>
              <w:t>from earmarked reserves</w:t>
            </w:r>
          </w:p>
        </w:tc>
        <w:tc>
          <w:tcPr>
            <w:tcW w:w="428" w:type="pct"/>
            <w:tcBorders>
              <w:top w:val="single" w:sz="4" w:space="0" w:color="auto"/>
              <w:left w:val="single" w:sz="4" w:space="0" w:color="auto"/>
              <w:bottom w:val="single" w:sz="4" w:space="0" w:color="auto"/>
              <w:right w:val="single" w:sz="4" w:space="0" w:color="auto"/>
            </w:tcBorders>
            <w:vAlign w:val="center"/>
          </w:tcPr>
          <w:p w14:paraId="134C1091" w14:textId="382D20BB" w:rsidR="00FD1DF8" w:rsidRPr="00BB7FAB" w:rsidRDefault="008317EB" w:rsidP="00FD1DF8">
            <w:pPr>
              <w:jc w:val="right"/>
              <w:rPr>
                <w:rFonts w:cs="Arial"/>
                <w:szCs w:val="24"/>
              </w:rPr>
            </w:pPr>
            <w:r>
              <w:rPr>
                <w:rFonts w:cs="Arial"/>
                <w:szCs w:val="24"/>
              </w:rPr>
              <w:t>662</w:t>
            </w:r>
          </w:p>
        </w:tc>
        <w:tc>
          <w:tcPr>
            <w:tcW w:w="489" w:type="pct"/>
            <w:tcBorders>
              <w:top w:val="single" w:sz="4" w:space="0" w:color="auto"/>
              <w:left w:val="single" w:sz="4" w:space="0" w:color="auto"/>
              <w:bottom w:val="single" w:sz="4" w:space="0" w:color="auto"/>
              <w:right w:val="single" w:sz="4" w:space="0" w:color="auto"/>
            </w:tcBorders>
            <w:vAlign w:val="center"/>
          </w:tcPr>
          <w:p w14:paraId="682434A2" w14:textId="0456516B" w:rsidR="00FD1DF8" w:rsidRPr="00BB7FAB" w:rsidRDefault="004106D6" w:rsidP="00FD1DF8">
            <w:pPr>
              <w:jc w:val="right"/>
              <w:rPr>
                <w:rFonts w:cs="Arial"/>
                <w:szCs w:val="24"/>
              </w:rPr>
            </w:pPr>
            <w:r>
              <w:rPr>
                <w:rFonts w:cs="Arial"/>
                <w:szCs w:val="24"/>
              </w:rPr>
              <w:t>(</w:t>
            </w:r>
            <w:r w:rsidR="008317EB">
              <w:rPr>
                <w:rFonts w:cs="Arial"/>
                <w:szCs w:val="24"/>
              </w:rPr>
              <w:t>662</w:t>
            </w: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50042043" w14:textId="46086F5F" w:rsidR="00FD1DF8" w:rsidRPr="00BB7FAB" w:rsidRDefault="00C72D15" w:rsidP="00FD1DF8">
            <w:pPr>
              <w:jc w:val="right"/>
              <w:rPr>
                <w:rFonts w:cs="Arial"/>
                <w:szCs w:val="24"/>
              </w:rPr>
            </w:pPr>
            <w:r>
              <w:rPr>
                <w:rFonts w:cs="Arial"/>
                <w:szCs w:val="24"/>
              </w:rPr>
              <w:t>-</w:t>
            </w:r>
          </w:p>
        </w:tc>
        <w:tc>
          <w:tcPr>
            <w:tcW w:w="448" w:type="pct"/>
            <w:tcBorders>
              <w:top w:val="single" w:sz="4" w:space="0" w:color="auto"/>
              <w:left w:val="single" w:sz="4" w:space="0" w:color="auto"/>
              <w:bottom w:val="single" w:sz="4" w:space="0" w:color="auto"/>
              <w:right w:val="single" w:sz="4" w:space="0" w:color="auto"/>
            </w:tcBorders>
            <w:vAlign w:val="center"/>
          </w:tcPr>
          <w:p w14:paraId="1ABA209D" w14:textId="3D68E6CE" w:rsidR="00FD1DF8" w:rsidRPr="00BB7FAB" w:rsidRDefault="00A35F6A" w:rsidP="00FD1DF8">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7181E5AC" w14:textId="4CA56946" w:rsidR="00FD1DF8" w:rsidRPr="00BB7FAB" w:rsidRDefault="00C72D15" w:rsidP="00FD1DF8">
            <w:pPr>
              <w:jc w:val="right"/>
              <w:rPr>
                <w:rFonts w:cs="Arial"/>
                <w:szCs w:val="24"/>
              </w:rPr>
            </w:pPr>
            <w:r>
              <w:rPr>
                <w:rFonts w:cs="Arial"/>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F54F1FF" w14:textId="00C49380" w:rsidR="00FD1DF8" w:rsidRPr="00BB7FAB" w:rsidRDefault="00C72D15" w:rsidP="00FD1DF8">
            <w:pPr>
              <w:jc w:val="right"/>
              <w:rPr>
                <w:rFonts w:cs="Arial"/>
                <w:szCs w:val="24"/>
              </w:rPr>
            </w:pPr>
            <w:r>
              <w:rPr>
                <w:rFonts w:cs="Arial"/>
                <w:szCs w:val="24"/>
              </w:rPr>
              <w:t>-</w:t>
            </w:r>
          </w:p>
        </w:tc>
        <w:tc>
          <w:tcPr>
            <w:tcW w:w="449" w:type="pct"/>
            <w:tcBorders>
              <w:top w:val="single" w:sz="4" w:space="0" w:color="auto"/>
              <w:left w:val="single" w:sz="4" w:space="0" w:color="auto"/>
              <w:bottom w:val="single" w:sz="4" w:space="0" w:color="auto"/>
              <w:right w:val="single" w:sz="4" w:space="0" w:color="auto"/>
            </w:tcBorders>
            <w:vAlign w:val="center"/>
          </w:tcPr>
          <w:p w14:paraId="18D47684" w14:textId="105B4CA7" w:rsidR="00FD1DF8" w:rsidRPr="00BB7FAB" w:rsidRDefault="00C72D15" w:rsidP="00FD1DF8">
            <w:pPr>
              <w:jc w:val="right"/>
              <w:rPr>
                <w:rFonts w:cs="Arial"/>
                <w:szCs w:val="24"/>
              </w:rPr>
            </w:pPr>
            <w:r>
              <w:rPr>
                <w:rFonts w:cs="Arial"/>
                <w:szCs w:val="24"/>
              </w:rPr>
              <w:t>-</w:t>
            </w:r>
          </w:p>
        </w:tc>
        <w:tc>
          <w:tcPr>
            <w:tcW w:w="447" w:type="pct"/>
            <w:tcBorders>
              <w:top w:val="single" w:sz="4" w:space="0" w:color="auto"/>
              <w:left w:val="single" w:sz="4" w:space="0" w:color="auto"/>
              <w:bottom w:val="single" w:sz="4" w:space="0" w:color="auto"/>
              <w:right w:val="single" w:sz="4" w:space="0" w:color="auto"/>
            </w:tcBorders>
            <w:vAlign w:val="center"/>
          </w:tcPr>
          <w:p w14:paraId="29D3663E" w14:textId="094D50CB" w:rsidR="00FD1DF8" w:rsidRPr="00BB7FAB" w:rsidRDefault="00C06CE7" w:rsidP="00FD1DF8">
            <w:pPr>
              <w:jc w:val="right"/>
              <w:rPr>
                <w:rFonts w:cs="Arial"/>
                <w:szCs w:val="24"/>
              </w:rPr>
            </w:pPr>
            <w:r>
              <w:rPr>
                <w:rFonts w:cs="Arial"/>
                <w:szCs w:val="24"/>
              </w:rPr>
              <w:t>-</w:t>
            </w:r>
          </w:p>
        </w:tc>
      </w:tr>
      <w:tr w:rsidR="007A241A" w:rsidRPr="00D948C1" w14:paraId="230CAA49"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2F9811DF" w14:textId="793FC20A" w:rsidR="00FD1DF8" w:rsidRPr="00115FB1" w:rsidRDefault="00FD1DF8" w:rsidP="00FD1DF8">
            <w:pPr>
              <w:rPr>
                <w:rFonts w:cs="Arial"/>
                <w:b/>
                <w:bCs/>
                <w:szCs w:val="24"/>
              </w:rPr>
            </w:pPr>
            <w:r w:rsidRPr="00115FB1">
              <w:rPr>
                <w:rFonts w:cs="Arial"/>
                <w:b/>
                <w:bCs/>
                <w:szCs w:val="24"/>
              </w:rPr>
              <w:t>Increase</w:t>
            </w:r>
            <w:r w:rsidR="007176B8">
              <w:rPr>
                <w:rFonts w:cs="Arial"/>
                <w:b/>
                <w:bCs/>
                <w:szCs w:val="24"/>
              </w:rPr>
              <w:t xml:space="preserve"> or </w:t>
            </w:r>
            <w:r w:rsidRPr="00115FB1">
              <w:rPr>
                <w:rFonts w:cs="Arial"/>
                <w:b/>
                <w:bCs/>
                <w:szCs w:val="24"/>
              </w:rPr>
              <w:t>(</w:t>
            </w:r>
            <w:r w:rsidR="007176B8">
              <w:rPr>
                <w:rFonts w:cs="Arial"/>
                <w:b/>
                <w:bCs/>
                <w:szCs w:val="24"/>
              </w:rPr>
              <w:t>d</w:t>
            </w:r>
            <w:r w:rsidRPr="00115FB1">
              <w:rPr>
                <w:rFonts w:cs="Arial"/>
                <w:b/>
                <w:bCs/>
                <w:szCs w:val="24"/>
              </w:rPr>
              <w:t>ecrease) in the year</w:t>
            </w:r>
          </w:p>
        </w:tc>
        <w:tc>
          <w:tcPr>
            <w:tcW w:w="428" w:type="pct"/>
            <w:tcBorders>
              <w:top w:val="single" w:sz="4" w:space="0" w:color="auto"/>
              <w:left w:val="single" w:sz="4" w:space="0" w:color="auto"/>
              <w:bottom w:val="single" w:sz="4" w:space="0" w:color="auto"/>
              <w:right w:val="single" w:sz="4" w:space="0" w:color="auto"/>
            </w:tcBorders>
            <w:vAlign w:val="center"/>
          </w:tcPr>
          <w:p w14:paraId="77F2718C" w14:textId="7E3435E7" w:rsidR="00FD1DF8" w:rsidRPr="00115FB1" w:rsidRDefault="008317EB" w:rsidP="00FD1DF8">
            <w:pPr>
              <w:jc w:val="right"/>
              <w:rPr>
                <w:rFonts w:cs="Arial"/>
                <w:b/>
                <w:bCs/>
                <w:szCs w:val="24"/>
              </w:rPr>
            </w:pPr>
            <w:r>
              <w:rPr>
                <w:rFonts w:cs="Arial"/>
                <w:b/>
                <w:bCs/>
                <w:szCs w:val="24"/>
              </w:rPr>
              <w:t>359</w:t>
            </w:r>
          </w:p>
        </w:tc>
        <w:tc>
          <w:tcPr>
            <w:tcW w:w="489" w:type="pct"/>
            <w:tcBorders>
              <w:top w:val="single" w:sz="4" w:space="0" w:color="auto"/>
              <w:left w:val="single" w:sz="4" w:space="0" w:color="auto"/>
              <w:bottom w:val="single" w:sz="4" w:space="0" w:color="auto"/>
              <w:right w:val="single" w:sz="4" w:space="0" w:color="auto"/>
            </w:tcBorders>
            <w:vAlign w:val="center"/>
          </w:tcPr>
          <w:p w14:paraId="2AFB0A63" w14:textId="73B46262" w:rsidR="00FD1DF8" w:rsidRPr="00115FB1" w:rsidRDefault="00C72D15" w:rsidP="00FD1DF8">
            <w:pPr>
              <w:jc w:val="right"/>
              <w:rPr>
                <w:rFonts w:cs="Arial"/>
                <w:b/>
                <w:bCs/>
                <w:szCs w:val="24"/>
              </w:rPr>
            </w:pPr>
            <w:r>
              <w:rPr>
                <w:rFonts w:cs="Arial"/>
                <w:b/>
                <w:bCs/>
                <w:szCs w:val="24"/>
              </w:rPr>
              <w:t>(</w:t>
            </w:r>
            <w:r w:rsidR="008317EB">
              <w:rPr>
                <w:rFonts w:cs="Arial"/>
                <w:b/>
                <w:bCs/>
                <w:szCs w:val="24"/>
              </w:rPr>
              <w:t>662</w:t>
            </w: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7BCA3B9F" w14:textId="6A547A2F" w:rsidR="00FD1DF8" w:rsidRPr="00115FB1" w:rsidRDefault="00C72D15" w:rsidP="00FD1DF8">
            <w:pPr>
              <w:jc w:val="right"/>
              <w:rPr>
                <w:rFonts w:cs="Arial"/>
                <w:b/>
                <w:bCs/>
                <w:szCs w:val="24"/>
              </w:rPr>
            </w:pPr>
            <w:r>
              <w:rPr>
                <w:rFonts w:cs="Arial"/>
                <w:b/>
                <w:bCs/>
                <w:szCs w:val="24"/>
              </w:rPr>
              <w:t>(302)</w:t>
            </w:r>
          </w:p>
        </w:tc>
        <w:tc>
          <w:tcPr>
            <w:tcW w:w="448" w:type="pct"/>
            <w:tcBorders>
              <w:top w:val="single" w:sz="4" w:space="0" w:color="auto"/>
              <w:left w:val="single" w:sz="4" w:space="0" w:color="auto"/>
              <w:bottom w:val="single" w:sz="4" w:space="0" w:color="auto"/>
              <w:right w:val="single" w:sz="4" w:space="0" w:color="auto"/>
            </w:tcBorders>
            <w:vAlign w:val="center"/>
          </w:tcPr>
          <w:p w14:paraId="735B6E20" w14:textId="7C6B4DB7" w:rsidR="00FD1DF8" w:rsidRPr="00115FB1" w:rsidRDefault="00A35F6A"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159CC859" w14:textId="47CC87FA" w:rsidR="00FD1DF8" w:rsidRPr="00115FB1" w:rsidRDefault="00C72D15" w:rsidP="00FD1DF8">
            <w:pPr>
              <w:jc w:val="right"/>
              <w:rPr>
                <w:rFonts w:cs="Arial"/>
                <w:b/>
                <w:bCs/>
                <w:szCs w:val="24"/>
              </w:rPr>
            </w:pPr>
            <w:r>
              <w:rPr>
                <w:rFonts w:cs="Arial"/>
                <w:b/>
                <w:bCs/>
                <w:szCs w:val="24"/>
              </w:rPr>
              <w:t>78</w:t>
            </w:r>
          </w:p>
        </w:tc>
        <w:tc>
          <w:tcPr>
            <w:tcW w:w="428" w:type="pct"/>
            <w:tcBorders>
              <w:top w:val="single" w:sz="4" w:space="0" w:color="auto"/>
              <w:left w:val="single" w:sz="4" w:space="0" w:color="auto"/>
              <w:bottom w:val="single" w:sz="4" w:space="0" w:color="auto"/>
              <w:right w:val="single" w:sz="4" w:space="0" w:color="auto"/>
            </w:tcBorders>
            <w:vAlign w:val="center"/>
          </w:tcPr>
          <w:p w14:paraId="3ABEC896" w14:textId="7F63E298" w:rsidR="00FD1DF8" w:rsidRPr="00115FB1" w:rsidRDefault="00C72D15" w:rsidP="00FD1DF8">
            <w:pPr>
              <w:jc w:val="right"/>
              <w:rPr>
                <w:rFonts w:cs="Arial"/>
                <w:b/>
                <w:bCs/>
                <w:szCs w:val="24"/>
              </w:rPr>
            </w:pPr>
            <w:r>
              <w:rPr>
                <w:rFonts w:cs="Arial"/>
                <w:b/>
                <w:bCs/>
                <w:szCs w:val="24"/>
              </w:rPr>
              <w:t>(225)</w:t>
            </w:r>
          </w:p>
        </w:tc>
        <w:tc>
          <w:tcPr>
            <w:tcW w:w="449" w:type="pct"/>
            <w:tcBorders>
              <w:top w:val="single" w:sz="4" w:space="0" w:color="auto"/>
              <w:left w:val="single" w:sz="4" w:space="0" w:color="auto"/>
              <w:bottom w:val="single" w:sz="4" w:space="0" w:color="auto"/>
              <w:right w:val="single" w:sz="4" w:space="0" w:color="auto"/>
            </w:tcBorders>
            <w:vAlign w:val="center"/>
          </w:tcPr>
          <w:p w14:paraId="4421FC8E" w14:textId="3374CDC7" w:rsidR="00FD1DF8" w:rsidRPr="00115FB1" w:rsidRDefault="00C72D15" w:rsidP="00FD1DF8">
            <w:pPr>
              <w:jc w:val="right"/>
              <w:rPr>
                <w:rFonts w:cs="Arial"/>
                <w:b/>
                <w:bCs/>
                <w:szCs w:val="24"/>
              </w:rPr>
            </w:pPr>
            <w:r>
              <w:rPr>
                <w:rFonts w:cs="Arial"/>
                <w:b/>
                <w:bCs/>
                <w:szCs w:val="24"/>
              </w:rPr>
              <w:t>10,3</w:t>
            </w:r>
            <w:r w:rsidR="002E31D0">
              <w:rPr>
                <w:rFonts w:cs="Arial"/>
                <w:b/>
                <w:bCs/>
                <w:szCs w:val="24"/>
              </w:rPr>
              <w:t>8</w:t>
            </w:r>
            <w:r>
              <w:rPr>
                <w:rFonts w:cs="Arial"/>
                <w:b/>
                <w:bCs/>
                <w:szCs w:val="24"/>
              </w:rPr>
              <w:t>1</w:t>
            </w:r>
          </w:p>
        </w:tc>
        <w:tc>
          <w:tcPr>
            <w:tcW w:w="447" w:type="pct"/>
            <w:tcBorders>
              <w:top w:val="single" w:sz="4" w:space="0" w:color="auto"/>
              <w:left w:val="single" w:sz="4" w:space="0" w:color="auto"/>
              <w:bottom w:val="single" w:sz="4" w:space="0" w:color="auto"/>
              <w:right w:val="single" w:sz="4" w:space="0" w:color="auto"/>
            </w:tcBorders>
            <w:vAlign w:val="center"/>
          </w:tcPr>
          <w:p w14:paraId="66E2BA29" w14:textId="423424D7" w:rsidR="00FD1DF8" w:rsidRPr="00115FB1" w:rsidRDefault="00C06CE7" w:rsidP="00FD1DF8">
            <w:pPr>
              <w:jc w:val="right"/>
              <w:rPr>
                <w:rFonts w:cs="Arial"/>
                <w:b/>
                <w:bCs/>
                <w:szCs w:val="24"/>
              </w:rPr>
            </w:pPr>
            <w:r>
              <w:rPr>
                <w:rFonts w:cs="Arial"/>
                <w:b/>
                <w:bCs/>
                <w:szCs w:val="24"/>
              </w:rPr>
              <w:t>10,1</w:t>
            </w:r>
            <w:r w:rsidR="002E31D0">
              <w:rPr>
                <w:rFonts w:cs="Arial"/>
                <w:b/>
                <w:bCs/>
                <w:szCs w:val="24"/>
              </w:rPr>
              <w:t>57</w:t>
            </w:r>
          </w:p>
        </w:tc>
      </w:tr>
      <w:tr w:rsidR="007A241A" w:rsidRPr="00D948C1" w14:paraId="41422747" w14:textId="77777777" w:rsidTr="00AC1F4E">
        <w:tc>
          <w:tcPr>
            <w:tcW w:w="1454" w:type="pct"/>
            <w:tcBorders>
              <w:top w:val="single" w:sz="4" w:space="0" w:color="auto"/>
              <w:left w:val="single" w:sz="4" w:space="0" w:color="auto"/>
              <w:bottom w:val="single" w:sz="4" w:space="0" w:color="auto"/>
              <w:right w:val="single" w:sz="4" w:space="0" w:color="auto"/>
            </w:tcBorders>
            <w:vAlign w:val="center"/>
          </w:tcPr>
          <w:p w14:paraId="5441B83B" w14:textId="29F7A1FB" w:rsidR="00FD1DF8" w:rsidRPr="00D948C1" w:rsidRDefault="00FD1DF8" w:rsidP="00FD1DF8">
            <w:pPr>
              <w:rPr>
                <w:rFonts w:cs="Arial"/>
                <w:b/>
                <w:bCs/>
                <w:szCs w:val="24"/>
              </w:rPr>
            </w:pPr>
            <w:r w:rsidRPr="00D948C1">
              <w:rPr>
                <w:rFonts w:cs="Arial"/>
                <w:b/>
                <w:bCs/>
                <w:szCs w:val="24"/>
              </w:rPr>
              <w:t xml:space="preserve">Balance </w:t>
            </w:r>
            <w:proofErr w:type="gramStart"/>
            <w:r w:rsidRPr="00D948C1">
              <w:rPr>
                <w:rFonts w:cs="Arial"/>
                <w:b/>
                <w:bCs/>
                <w:szCs w:val="24"/>
              </w:rPr>
              <w:t>at</w:t>
            </w:r>
            <w:proofErr w:type="gramEnd"/>
            <w:r w:rsidRPr="00D948C1">
              <w:rPr>
                <w:rFonts w:cs="Arial"/>
                <w:b/>
                <w:bCs/>
                <w:szCs w:val="24"/>
              </w:rPr>
              <w:t xml:space="preserve"> 31 March 202</w:t>
            </w:r>
            <w:r w:rsidR="001E6757">
              <w:rPr>
                <w:rFonts w:cs="Arial"/>
                <w:b/>
                <w:bCs/>
                <w:szCs w:val="24"/>
              </w:rPr>
              <w:t>6</w:t>
            </w:r>
            <w:r w:rsidRPr="00D948C1">
              <w:rPr>
                <w:rFonts w:cs="Arial"/>
                <w:b/>
                <w:bCs/>
                <w:szCs w:val="24"/>
              </w:rPr>
              <w:t xml:space="preserve"> carried forwards</w:t>
            </w:r>
          </w:p>
        </w:tc>
        <w:tc>
          <w:tcPr>
            <w:tcW w:w="428" w:type="pct"/>
            <w:tcBorders>
              <w:top w:val="single" w:sz="4" w:space="0" w:color="auto"/>
              <w:left w:val="single" w:sz="4" w:space="0" w:color="auto"/>
              <w:bottom w:val="single" w:sz="4" w:space="0" w:color="auto"/>
              <w:right w:val="single" w:sz="4" w:space="0" w:color="auto"/>
            </w:tcBorders>
            <w:vAlign w:val="center"/>
          </w:tcPr>
          <w:p w14:paraId="78458479" w14:textId="04677D2B" w:rsidR="00FD1DF8" w:rsidRPr="00BB7FAB" w:rsidRDefault="002E31D0" w:rsidP="00FD1DF8">
            <w:pPr>
              <w:jc w:val="right"/>
              <w:rPr>
                <w:rFonts w:cs="Arial"/>
                <w:b/>
                <w:bCs/>
                <w:szCs w:val="24"/>
              </w:rPr>
            </w:pPr>
            <w:r>
              <w:rPr>
                <w:rFonts w:cs="Arial"/>
                <w:b/>
                <w:bCs/>
                <w:szCs w:val="24"/>
              </w:rPr>
              <w:t>6,923</w:t>
            </w:r>
          </w:p>
        </w:tc>
        <w:tc>
          <w:tcPr>
            <w:tcW w:w="489" w:type="pct"/>
            <w:tcBorders>
              <w:top w:val="single" w:sz="4" w:space="0" w:color="auto"/>
              <w:left w:val="single" w:sz="4" w:space="0" w:color="auto"/>
              <w:bottom w:val="single" w:sz="4" w:space="0" w:color="auto"/>
              <w:right w:val="single" w:sz="4" w:space="0" w:color="auto"/>
            </w:tcBorders>
            <w:vAlign w:val="center"/>
          </w:tcPr>
          <w:p w14:paraId="1DF81C61" w14:textId="06D03927" w:rsidR="00FD1DF8" w:rsidRPr="00BB7FAB" w:rsidRDefault="00E30856" w:rsidP="00FD1DF8">
            <w:pPr>
              <w:jc w:val="right"/>
              <w:rPr>
                <w:rFonts w:cs="Arial"/>
                <w:b/>
                <w:bCs/>
                <w:szCs w:val="24"/>
              </w:rPr>
            </w:pPr>
            <w:r>
              <w:rPr>
                <w:rFonts w:cs="Arial"/>
                <w:b/>
                <w:bCs/>
                <w:szCs w:val="24"/>
              </w:rPr>
              <w:t>2</w:t>
            </w:r>
            <w:r w:rsidR="002E31D0">
              <w:rPr>
                <w:rFonts w:cs="Arial"/>
                <w:b/>
                <w:bCs/>
                <w:szCs w:val="24"/>
              </w:rPr>
              <w:t>8,350</w:t>
            </w:r>
          </w:p>
        </w:tc>
        <w:tc>
          <w:tcPr>
            <w:tcW w:w="428" w:type="pct"/>
            <w:tcBorders>
              <w:top w:val="single" w:sz="4" w:space="0" w:color="auto"/>
              <w:left w:val="single" w:sz="4" w:space="0" w:color="auto"/>
              <w:bottom w:val="single" w:sz="4" w:space="0" w:color="auto"/>
              <w:right w:val="single" w:sz="4" w:space="0" w:color="auto"/>
            </w:tcBorders>
            <w:vAlign w:val="center"/>
          </w:tcPr>
          <w:p w14:paraId="526589FB" w14:textId="52831C83" w:rsidR="00FD1DF8" w:rsidRPr="00BB7FAB" w:rsidRDefault="00E30856" w:rsidP="00FD1DF8">
            <w:pPr>
              <w:jc w:val="right"/>
              <w:rPr>
                <w:rFonts w:cs="Arial"/>
                <w:b/>
                <w:bCs/>
                <w:szCs w:val="24"/>
              </w:rPr>
            </w:pPr>
            <w:r>
              <w:rPr>
                <w:rFonts w:cs="Arial"/>
                <w:b/>
                <w:bCs/>
                <w:szCs w:val="24"/>
              </w:rPr>
              <w:t>35,273</w:t>
            </w:r>
          </w:p>
        </w:tc>
        <w:tc>
          <w:tcPr>
            <w:tcW w:w="448" w:type="pct"/>
            <w:tcBorders>
              <w:top w:val="single" w:sz="4" w:space="0" w:color="auto"/>
              <w:left w:val="single" w:sz="4" w:space="0" w:color="auto"/>
              <w:bottom w:val="single" w:sz="4" w:space="0" w:color="auto"/>
              <w:right w:val="single" w:sz="4" w:space="0" w:color="auto"/>
            </w:tcBorders>
            <w:vAlign w:val="center"/>
          </w:tcPr>
          <w:p w14:paraId="5B6B8703" w14:textId="3B91605D" w:rsidR="00FD1DF8" w:rsidRPr="00BB7FAB" w:rsidRDefault="00A35F6A" w:rsidP="00FD1DF8">
            <w:pPr>
              <w:jc w:val="right"/>
              <w:rPr>
                <w:rFonts w:cs="Arial"/>
                <w:b/>
                <w:bCs/>
                <w:szCs w:val="24"/>
              </w:rPr>
            </w:pPr>
            <w:r>
              <w:rPr>
                <w:rFonts w:cs="Arial"/>
                <w:b/>
                <w:bCs/>
                <w:szCs w:val="24"/>
              </w:rPr>
              <w:t>-</w:t>
            </w:r>
          </w:p>
        </w:tc>
        <w:tc>
          <w:tcPr>
            <w:tcW w:w="428" w:type="pct"/>
            <w:tcBorders>
              <w:top w:val="single" w:sz="4" w:space="0" w:color="auto"/>
              <w:left w:val="single" w:sz="4" w:space="0" w:color="auto"/>
              <w:bottom w:val="single" w:sz="4" w:space="0" w:color="auto"/>
              <w:right w:val="single" w:sz="4" w:space="0" w:color="auto"/>
            </w:tcBorders>
            <w:vAlign w:val="center"/>
          </w:tcPr>
          <w:p w14:paraId="47275934" w14:textId="7E8CC752" w:rsidR="00FD1DF8" w:rsidRPr="00BB7FAB" w:rsidRDefault="00E30856" w:rsidP="00FD1DF8">
            <w:pPr>
              <w:jc w:val="right"/>
              <w:rPr>
                <w:rFonts w:cs="Arial"/>
                <w:b/>
                <w:bCs/>
                <w:szCs w:val="24"/>
              </w:rPr>
            </w:pPr>
            <w:r>
              <w:rPr>
                <w:rFonts w:cs="Arial"/>
                <w:b/>
                <w:bCs/>
                <w:szCs w:val="24"/>
              </w:rPr>
              <w:t>272</w:t>
            </w:r>
          </w:p>
        </w:tc>
        <w:tc>
          <w:tcPr>
            <w:tcW w:w="428" w:type="pct"/>
            <w:tcBorders>
              <w:top w:val="single" w:sz="4" w:space="0" w:color="auto"/>
              <w:left w:val="single" w:sz="4" w:space="0" w:color="auto"/>
              <w:bottom w:val="single" w:sz="4" w:space="0" w:color="auto"/>
              <w:right w:val="single" w:sz="4" w:space="0" w:color="auto"/>
            </w:tcBorders>
            <w:vAlign w:val="center"/>
          </w:tcPr>
          <w:p w14:paraId="4B95F4EF" w14:textId="667ABD17" w:rsidR="00FD1DF8" w:rsidRPr="00BB7FAB" w:rsidRDefault="00E30856" w:rsidP="00FD1DF8">
            <w:pPr>
              <w:jc w:val="right"/>
              <w:rPr>
                <w:rFonts w:cs="Arial"/>
                <w:b/>
                <w:bCs/>
                <w:szCs w:val="24"/>
              </w:rPr>
            </w:pPr>
            <w:r>
              <w:rPr>
                <w:rFonts w:cs="Arial"/>
                <w:b/>
                <w:bCs/>
                <w:szCs w:val="24"/>
              </w:rPr>
              <w:t>35,545</w:t>
            </w:r>
          </w:p>
        </w:tc>
        <w:tc>
          <w:tcPr>
            <w:tcW w:w="449" w:type="pct"/>
            <w:tcBorders>
              <w:top w:val="single" w:sz="4" w:space="0" w:color="auto"/>
              <w:left w:val="single" w:sz="4" w:space="0" w:color="auto"/>
              <w:bottom w:val="single" w:sz="4" w:space="0" w:color="auto"/>
              <w:right w:val="single" w:sz="4" w:space="0" w:color="auto"/>
            </w:tcBorders>
            <w:vAlign w:val="center"/>
          </w:tcPr>
          <w:p w14:paraId="52E254E2" w14:textId="1D27E926" w:rsidR="00FD1DF8" w:rsidRPr="00BB7FAB" w:rsidRDefault="00E30856" w:rsidP="00FD1DF8">
            <w:pPr>
              <w:jc w:val="right"/>
              <w:rPr>
                <w:rFonts w:cs="Arial"/>
                <w:b/>
                <w:bCs/>
                <w:szCs w:val="24"/>
              </w:rPr>
            </w:pPr>
            <w:r>
              <w:rPr>
                <w:rFonts w:cs="Arial"/>
                <w:b/>
                <w:bCs/>
                <w:szCs w:val="24"/>
              </w:rPr>
              <w:t>(460,5</w:t>
            </w:r>
            <w:r w:rsidR="004906C1">
              <w:rPr>
                <w:rFonts w:cs="Arial"/>
                <w:b/>
                <w:bCs/>
                <w:szCs w:val="24"/>
              </w:rPr>
              <w:t>50</w:t>
            </w:r>
            <w:r>
              <w:rPr>
                <w:rFonts w:cs="Arial"/>
                <w:b/>
                <w:bCs/>
                <w:szCs w:val="24"/>
              </w:rPr>
              <w:t>)</w:t>
            </w:r>
          </w:p>
        </w:tc>
        <w:tc>
          <w:tcPr>
            <w:tcW w:w="447" w:type="pct"/>
            <w:tcBorders>
              <w:top w:val="single" w:sz="4" w:space="0" w:color="auto"/>
              <w:left w:val="single" w:sz="4" w:space="0" w:color="auto"/>
              <w:bottom w:val="single" w:sz="4" w:space="0" w:color="auto"/>
              <w:right w:val="single" w:sz="4" w:space="0" w:color="auto"/>
            </w:tcBorders>
            <w:vAlign w:val="center"/>
          </w:tcPr>
          <w:p w14:paraId="4FDF36B2" w14:textId="36064018" w:rsidR="00FD1DF8" w:rsidRPr="00BB7FAB" w:rsidRDefault="00AB2278" w:rsidP="00FD1DF8">
            <w:pPr>
              <w:jc w:val="right"/>
              <w:rPr>
                <w:rFonts w:cs="Arial"/>
                <w:b/>
                <w:bCs/>
                <w:szCs w:val="24"/>
              </w:rPr>
            </w:pPr>
            <w:r>
              <w:rPr>
                <w:rFonts w:cs="Arial"/>
                <w:b/>
                <w:bCs/>
                <w:szCs w:val="24"/>
              </w:rPr>
              <w:t>(425,0</w:t>
            </w:r>
            <w:r w:rsidR="004906C1">
              <w:rPr>
                <w:rFonts w:cs="Arial"/>
                <w:b/>
                <w:bCs/>
                <w:szCs w:val="24"/>
              </w:rPr>
              <w:t>05</w:t>
            </w:r>
            <w:r>
              <w:rPr>
                <w:rFonts w:cs="Arial"/>
                <w:b/>
                <w:bCs/>
                <w:szCs w:val="24"/>
              </w:rPr>
              <w:t>)</w:t>
            </w:r>
          </w:p>
        </w:tc>
      </w:tr>
      <w:bookmarkEnd w:id="14"/>
      <w:bookmarkEnd w:id="15"/>
    </w:tbl>
    <w:p w14:paraId="7FAF9A33" w14:textId="62090017" w:rsidR="00B9618C" w:rsidRPr="00D948C1" w:rsidRDefault="00BC0AFA" w:rsidP="005C1944">
      <w:pPr>
        <w:rPr>
          <w:b/>
          <w:bCs/>
        </w:rPr>
      </w:pPr>
      <w:r w:rsidRPr="00D948C1">
        <w:rPr>
          <w:sz w:val="22"/>
        </w:rPr>
        <w:br w:type="page"/>
      </w:r>
      <w:r w:rsidR="002618EE" w:rsidRPr="00D948C1">
        <w:rPr>
          <w:b/>
          <w:bCs/>
        </w:rPr>
        <w:lastRenderedPageBreak/>
        <w:t>Movement in Reserves Statement</w:t>
      </w:r>
      <w:r w:rsidR="002618EE" w:rsidRPr="004A22B4">
        <w:rPr>
          <w:b/>
          <w:bCs/>
        </w:rPr>
        <w:t xml:space="preserve"> </w:t>
      </w:r>
      <w:r w:rsidR="001A42DD">
        <w:rPr>
          <w:b/>
          <w:bCs/>
          <w:szCs w:val="24"/>
        </w:rPr>
        <w:t>2024-25</w:t>
      </w:r>
    </w:p>
    <w:p w14:paraId="0EBB8CB1" w14:textId="77777777" w:rsidR="00B9618C" w:rsidRPr="00D948C1" w:rsidRDefault="00B9618C" w:rsidP="007461FD">
      <w:pPr>
        <w:tabs>
          <w:tab w:val="left" w:pos="720"/>
          <w:tab w:val="right" w:pos="5760"/>
        </w:tabs>
        <w:rPr>
          <w:b/>
          <w:szCs w:val="24"/>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1218"/>
        <w:gridCol w:w="1391"/>
        <w:gridCol w:w="1218"/>
        <w:gridCol w:w="1274"/>
        <w:gridCol w:w="1218"/>
        <w:gridCol w:w="1218"/>
        <w:gridCol w:w="1274"/>
        <w:gridCol w:w="1274"/>
      </w:tblGrid>
      <w:tr w:rsidR="005F7D2D" w:rsidRPr="00D948C1" w14:paraId="264A0BBD" w14:textId="77777777" w:rsidTr="004B699A">
        <w:trPr>
          <w:tblHeader/>
        </w:trPr>
        <w:tc>
          <w:tcPr>
            <w:tcW w:w="1455" w:type="pct"/>
            <w:shd w:val="clear" w:color="auto" w:fill="BD2716"/>
          </w:tcPr>
          <w:p w14:paraId="620EB3F8" w14:textId="7BF7C79B" w:rsidR="005F7D2D" w:rsidRPr="00D948C1" w:rsidRDefault="005F7D2D" w:rsidP="0089432E">
            <w:pPr>
              <w:jc w:val="both"/>
              <w:rPr>
                <w:rFonts w:cs="Arial"/>
                <w:color w:val="FFFFFF" w:themeColor="background1"/>
                <w:szCs w:val="24"/>
              </w:rPr>
            </w:pPr>
          </w:p>
        </w:tc>
        <w:tc>
          <w:tcPr>
            <w:tcW w:w="428" w:type="pct"/>
            <w:shd w:val="clear" w:color="auto" w:fill="BD2716"/>
            <w:vAlign w:val="center"/>
          </w:tcPr>
          <w:p w14:paraId="7B26C35C"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General fund</w:t>
            </w:r>
          </w:p>
          <w:p w14:paraId="691B2F1F" w14:textId="19218A99"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89" w:type="pct"/>
            <w:shd w:val="clear" w:color="auto" w:fill="BD2716"/>
            <w:vAlign w:val="center"/>
          </w:tcPr>
          <w:p w14:paraId="37570E84"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Earmarked reserves</w:t>
            </w:r>
          </w:p>
          <w:p w14:paraId="52EBA608" w14:textId="21D4AD0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01632A02"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General Fund Balance</w:t>
            </w:r>
          </w:p>
          <w:p w14:paraId="354D5EB8" w14:textId="544F4D7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38F2CE3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grant unapplied reserve</w:t>
            </w:r>
          </w:p>
          <w:p w14:paraId="0FA4BC0C" w14:textId="55DF1C3B"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3173BF79"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receipts reserve</w:t>
            </w:r>
          </w:p>
          <w:p w14:paraId="3DCED43A" w14:textId="40856324"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28" w:type="pct"/>
            <w:shd w:val="clear" w:color="auto" w:fill="BD2716"/>
            <w:vAlign w:val="center"/>
          </w:tcPr>
          <w:p w14:paraId="27B094B5"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usable reserves</w:t>
            </w:r>
          </w:p>
          <w:p w14:paraId="42B093EE" w14:textId="3C45A158"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2C45B070"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Unusable reserves</w:t>
            </w:r>
          </w:p>
          <w:p w14:paraId="0B27E9A8" w14:textId="088E9321"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37DF92F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Authority reserves</w:t>
            </w:r>
          </w:p>
          <w:p w14:paraId="153B7D7E" w14:textId="171711DD" w:rsidR="005F7D2D" w:rsidRPr="00D948C1" w:rsidRDefault="005F7D2D" w:rsidP="00611673">
            <w:pPr>
              <w:jc w:val="right"/>
              <w:rPr>
                <w:rFonts w:cs="Arial"/>
                <w:color w:val="FFFFFF" w:themeColor="background1"/>
                <w:szCs w:val="24"/>
              </w:rPr>
            </w:pPr>
            <w:r w:rsidRPr="00D948C1">
              <w:rPr>
                <w:rFonts w:cs="Arial"/>
                <w:color w:val="FFFFFF" w:themeColor="background1"/>
                <w:szCs w:val="24"/>
              </w:rPr>
              <w:t>£000</w:t>
            </w:r>
          </w:p>
        </w:tc>
      </w:tr>
      <w:tr w:rsidR="004B699A" w:rsidRPr="00D948C1" w14:paraId="73439B5F" w14:textId="77777777" w:rsidTr="004B699A">
        <w:trPr>
          <w:trHeight w:val="80"/>
        </w:trPr>
        <w:tc>
          <w:tcPr>
            <w:tcW w:w="1455" w:type="pct"/>
            <w:vAlign w:val="center"/>
          </w:tcPr>
          <w:p w14:paraId="6A7AAA8D" w14:textId="2C4DE3EC" w:rsidR="004B699A" w:rsidRPr="006822CA" w:rsidRDefault="004B699A" w:rsidP="004B699A">
            <w:pPr>
              <w:rPr>
                <w:rFonts w:cs="Arial"/>
                <w:b/>
                <w:bCs/>
                <w:szCs w:val="24"/>
              </w:rPr>
            </w:pPr>
            <w:r w:rsidRPr="00853E26">
              <w:rPr>
                <w:rFonts w:cs="Arial"/>
                <w:b/>
                <w:bCs/>
              </w:rPr>
              <w:t xml:space="preserve">Balance </w:t>
            </w:r>
            <w:proofErr w:type="gramStart"/>
            <w:r w:rsidRPr="00853E26">
              <w:rPr>
                <w:rFonts w:cs="Arial"/>
                <w:b/>
                <w:bCs/>
              </w:rPr>
              <w:t>at</w:t>
            </w:r>
            <w:proofErr w:type="gramEnd"/>
            <w:r w:rsidRPr="00853E26">
              <w:rPr>
                <w:rFonts w:cs="Arial"/>
                <w:b/>
                <w:bCs/>
              </w:rPr>
              <w:t xml:space="preserve"> 31 March 2024 carried forwards</w:t>
            </w:r>
          </w:p>
        </w:tc>
        <w:tc>
          <w:tcPr>
            <w:tcW w:w="428" w:type="pct"/>
            <w:vAlign w:val="center"/>
          </w:tcPr>
          <w:p w14:paraId="7EEDC766" w14:textId="49BA58A5" w:rsidR="004B699A" w:rsidRPr="006822CA" w:rsidRDefault="004B699A" w:rsidP="004B699A">
            <w:pPr>
              <w:jc w:val="right"/>
              <w:rPr>
                <w:rFonts w:cs="Arial"/>
                <w:b/>
                <w:bCs/>
                <w:szCs w:val="24"/>
              </w:rPr>
            </w:pPr>
            <w:r w:rsidRPr="00853E26">
              <w:rPr>
                <w:rFonts w:cs="Arial"/>
                <w:b/>
                <w:bCs/>
              </w:rPr>
              <w:t>5,662</w:t>
            </w:r>
          </w:p>
        </w:tc>
        <w:tc>
          <w:tcPr>
            <w:tcW w:w="489" w:type="pct"/>
            <w:vAlign w:val="center"/>
          </w:tcPr>
          <w:p w14:paraId="03078EA4" w14:textId="298E4D78" w:rsidR="004B699A" w:rsidRPr="006822CA" w:rsidRDefault="004B699A" w:rsidP="004B699A">
            <w:pPr>
              <w:jc w:val="right"/>
              <w:rPr>
                <w:rFonts w:cs="Arial"/>
                <w:b/>
                <w:bCs/>
                <w:szCs w:val="24"/>
              </w:rPr>
            </w:pPr>
            <w:r>
              <w:rPr>
                <w:rFonts w:cs="Arial"/>
                <w:b/>
                <w:bCs/>
              </w:rPr>
              <w:t>2</w:t>
            </w:r>
            <w:r w:rsidRPr="00853E26">
              <w:rPr>
                <w:rFonts w:cs="Arial"/>
                <w:b/>
                <w:bCs/>
              </w:rPr>
              <w:t>8,</w:t>
            </w:r>
            <w:r>
              <w:rPr>
                <w:rFonts w:cs="Arial"/>
                <w:b/>
                <w:bCs/>
              </w:rPr>
              <w:t>034</w:t>
            </w:r>
          </w:p>
        </w:tc>
        <w:tc>
          <w:tcPr>
            <w:tcW w:w="428" w:type="pct"/>
            <w:vAlign w:val="center"/>
          </w:tcPr>
          <w:p w14:paraId="53F7E359" w14:textId="28353005" w:rsidR="004B699A" w:rsidRPr="006822CA" w:rsidRDefault="004B699A" w:rsidP="004B699A">
            <w:pPr>
              <w:jc w:val="right"/>
              <w:rPr>
                <w:rFonts w:cs="Arial"/>
                <w:b/>
                <w:bCs/>
                <w:szCs w:val="24"/>
              </w:rPr>
            </w:pPr>
            <w:r>
              <w:rPr>
                <w:rFonts w:cs="Arial"/>
                <w:b/>
                <w:bCs/>
              </w:rPr>
              <w:t>33</w:t>
            </w:r>
            <w:r w:rsidRPr="00853E26">
              <w:rPr>
                <w:rFonts w:cs="Arial"/>
                <w:b/>
                <w:bCs/>
              </w:rPr>
              <w:t>,</w:t>
            </w:r>
            <w:r>
              <w:rPr>
                <w:rFonts w:cs="Arial"/>
                <w:b/>
                <w:bCs/>
              </w:rPr>
              <w:t>696</w:t>
            </w:r>
          </w:p>
        </w:tc>
        <w:tc>
          <w:tcPr>
            <w:tcW w:w="448" w:type="pct"/>
            <w:vAlign w:val="center"/>
          </w:tcPr>
          <w:p w14:paraId="243148B0" w14:textId="1786E028" w:rsidR="004B699A" w:rsidRPr="006822CA" w:rsidRDefault="004B699A" w:rsidP="004B699A">
            <w:pPr>
              <w:jc w:val="right"/>
              <w:rPr>
                <w:rFonts w:cs="Arial"/>
                <w:b/>
                <w:bCs/>
                <w:szCs w:val="24"/>
              </w:rPr>
            </w:pPr>
            <w:r w:rsidRPr="00853E26">
              <w:rPr>
                <w:rFonts w:cs="Arial"/>
                <w:b/>
                <w:bCs/>
              </w:rPr>
              <w:t>-</w:t>
            </w:r>
          </w:p>
        </w:tc>
        <w:tc>
          <w:tcPr>
            <w:tcW w:w="428" w:type="pct"/>
            <w:vAlign w:val="center"/>
          </w:tcPr>
          <w:p w14:paraId="11BE4635" w14:textId="671BBF45" w:rsidR="004B699A" w:rsidRPr="006822CA" w:rsidRDefault="004B699A" w:rsidP="004B699A">
            <w:pPr>
              <w:jc w:val="right"/>
              <w:rPr>
                <w:rFonts w:cs="Arial"/>
                <w:b/>
                <w:bCs/>
                <w:szCs w:val="24"/>
              </w:rPr>
            </w:pPr>
            <w:r w:rsidRPr="00853E26">
              <w:rPr>
                <w:rFonts w:cs="Arial"/>
                <w:b/>
                <w:bCs/>
              </w:rPr>
              <w:t>71</w:t>
            </w:r>
          </w:p>
        </w:tc>
        <w:tc>
          <w:tcPr>
            <w:tcW w:w="428" w:type="pct"/>
            <w:vAlign w:val="center"/>
          </w:tcPr>
          <w:p w14:paraId="4B98108E" w14:textId="5A4AC61E" w:rsidR="004B699A" w:rsidRPr="006822CA" w:rsidRDefault="004B699A" w:rsidP="004B699A">
            <w:pPr>
              <w:jc w:val="right"/>
              <w:rPr>
                <w:rFonts w:cs="Arial"/>
                <w:b/>
                <w:bCs/>
                <w:szCs w:val="24"/>
              </w:rPr>
            </w:pPr>
            <w:r w:rsidRPr="00853E26">
              <w:rPr>
                <w:rFonts w:cs="Arial"/>
                <w:b/>
                <w:bCs/>
              </w:rPr>
              <w:t>33,768</w:t>
            </w:r>
          </w:p>
        </w:tc>
        <w:tc>
          <w:tcPr>
            <w:tcW w:w="448" w:type="pct"/>
            <w:vAlign w:val="center"/>
          </w:tcPr>
          <w:p w14:paraId="23C0055C" w14:textId="58F3351A" w:rsidR="004B699A" w:rsidRPr="006822CA" w:rsidRDefault="004B699A" w:rsidP="004B699A">
            <w:pPr>
              <w:jc w:val="right"/>
              <w:rPr>
                <w:rFonts w:cs="Arial"/>
                <w:b/>
                <w:bCs/>
                <w:szCs w:val="24"/>
              </w:rPr>
            </w:pPr>
            <w:r w:rsidRPr="00853E26">
              <w:rPr>
                <w:rFonts w:cs="Arial"/>
                <w:b/>
                <w:bCs/>
              </w:rPr>
              <w:t>(536,720)</w:t>
            </w:r>
          </w:p>
        </w:tc>
        <w:tc>
          <w:tcPr>
            <w:tcW w:w="448" w:type="pct"/>
            <w:vAlign w:val="center"/>
          </w:tcPr>
          <w:p w14:paraId="189A51DF" w14:textId="60B31E94" w:rsidR="004B699A" w:rsidRPr="006822CA" w:rsidRDefault="004B699A" w:rsidP="004B699A">
            <w:pPr>
              <w:jc w:val="right"/>
              <w:rPr>
                <w:rFonts w:cs="Arial"/>
                <w:b/>
                <w:bCs/>
                <w:szCs w:val="24"/>
              </w:rPr>
            </w:pPr>
            <w:r w:rsidRPr="00853E26">
              <w:rPr>
                <w:rFonts w:cs="Arial"/>
                <w:b/>
                <w:bCs/>
              </w:rPr>
              <w:t>(502,953)</w:t>
            </w:r>
          </w:p>
        </w:tc>
      </w:tr>
    </w:tbl>
    <w:p w14:paraId="51D42E70" w14:textId="77777777" w:rsidR="00FA18E2" w:rsidRPr="00D948C1" w:rsidRDefault="00FA18E2"/>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1219"/>
        <w:gridCol w:w="1393"/>
        <w:gridCol w:w="1216"/>
        <w:gridCol w:w="1276"/>
        <w:gridCol w:w="1219"/>
        <w:gridCol w:w="1219"/>
        <w:gridCol w:w="1276"/>
        <w:gridCol w:w="1276"/>
      </w:tblGrid>
      <w:tr w:rsidR="004B699A" w:rsidRPr="00D948C1" w14:paraId="3EA1B9CA" w14:textId="77777777" w:rsidTr="004B699A">
        <w:tc>
          <w:tcPr>
            <w:tcW w:w="5000" w:type="pct"/>
            <w:gridSpan w:val="9"/>
            <w:shd w:val="clear" w:color="auto" w:fill="D9D9D9" w:themeFill="background1" w:themeFillShade="D9"/>
            <w:vAlign w:val="center"/>
          </w:tcPr>
          <w:p w14:paraId="5D4F19E8" w14:textId="7D2D1FBB" w:rsidR="004B699A" w:rsidRPr="00D948C1" w:rsidRDefault="004B699A" w:rsidP="004B699A">
            <w:pPr>
              <w:rPr>
                <w:rFonts w:cs="Arial"/>
                <w:b/>
                <w:bCs/>
                <w:szCs w:val="24"/>
              </w:rPr>
            </w:pPr>
            <w:r w:rsidRPr="00853E26">
              <w:rPr>
                <w:rFonts w:cs="Arial"/>
                <w:b/>
                <w:bCs/>
              </w:rPr>
              <w:t xml:space="preserve">Movement in reserves during </w:t>
            </w:r>
            <w:r w:rsidR="001A42DD">
              <w:rPr>
                <w:rFonts w:cs="Arial"/>
                <w:b/>
                <w:bCs/>
              </w:rPr>
              <w:t>2024-25</w:t>
            </w:r>
          </w:p>
        </w:tc>
      </w:tr>
      <w:tr w:rsidR="00A55F23" w:rsidRPr="00D948C1" w14:paraId="6B984610" w14:textId="77777777" w:rsidTr="004B699A">
        <w:tc>
          <w:tcPr>
            <w:tcW w:w="1456" w:type="pct"/>
            <w:vAlign w:val="center"/>
          </w:tcPr>
          <w:p w14:paraId="5D61526C" w14:textId="217B10CA" w:rsidR="00A55F23" w:rsidRPr="006822CA" w:rsidRDefault="00A55F23" w:rsidP="00A55F23">
            <w:pPr>
              <w:rPr>
                <w:rFonts w:cs="Arial"/>
                <w:szCs w:val="24"/>
              </w:rPr>
            </w:pPr>
            <w:r w:rsidRPr="00853E26">
              <w:rPr>
                <w:rFonts w:cs="Arial"/>
              </w:rPr>
              <w:t>Surplus</w:t>
            </w:r>
            <w:r w:rsidR="007176B8">
              <w:rPr>
                <w:rFonts w:cs="Arial"/>
              </w:rPr>
              <w:t xml:space="preserve"> or </w:t>
            </w:r>
            <w:r w:rsidRPr="00853E26">
              <w:rPr>
                <w:rFonts w:cs="Arial"/>
              </w:rPr>
              <w:t>(</w:t>
            </w:r>
            <w:r w:rsidR="007176B8">
              <w:rPr>
                <w:rFonts w:cs="Arial"/>
              </w:rPr>
              <w:t>d</w:t>
            </w:r>
            <w:r w:rsidRPr="00853E26">
              <w:rPr>
                <w:rFonts w:cs="Arial"/>
              </w:rPr>
              <w:t>eficit) on provision of services</w:t>
            </w:r>
          </w:p>
        </w:tc>
        <w:tc>
          <w:tcPr>
            <w:tcW w:w="428" w:type="pct"/>
            <w:vAlign w:val="center"/>
          </w:tcPr>
          <w:p w14:paraId="79A3E37B" w14:textId="6D338C01" w:rsidR="00A55F23" w:rsidRPr="006822CA" w:rsidRDefault="00A55F23" w:rsidP="00A55F23">
            <w:pPr>
              <w:jc w:val="right"/>
              <w:rPr>
                <w:rFonts w:cs="Arial"/>
                <w:szCs w:val="24"/>
              </w:rPr>
            </w:pPr>
            <w:r w:rsidRPr="00853E26">
              <w:rPr>
                <w:rFonts w:cs="Arial"/>
              </w:rPr>
              <w:t>(3,054)</w:t>
            </w:r>
          </w:p>
        </w:tc>
        <w:tc>
          <w:tcPr>
            <w:tcW w:w="489" w:type="pct"/>
            <w:vAlign w:val="center"/>
          </w:tcPr>
          <w:p w14:paraId="1F5AD541" w14:textId="1EA7F15C" w:rsidR="00A55F23" w:rsidRPr="006822CA" w:rsidRDefault="00A55F23" w:rsidP="00A55F23">
            <w:pPr>
              <w:jc w:val="right"/>
              <w:rPr>
                <w:rFonts w:cs="Arial"/>
                <w:szCs w:val="24"/>
              </w:rPr>
            </w:pPr>
            <w:r w:rsidRPr="00853E26">
              <w:rPr>
                <w:rFonts w:cs="Arial"/>
              </w:rPr>
              <w:t>-</w:t>
            </w:r>
          </w:p>
        </w:tc>
        <w:tc>
          <w:tcPr>
            <w:tcW w:w="427" w:type="pct"/>
            <w:vAlign w:val="center"/>
          </w:tcPr>
          <w:p w14:paraId="7AB3E3EB" w14:textId="44CDD6E0" w:rsidR="00A55F23" w:rsidRPr="006822CA" w:rsidRDefault="00A55F23" w:rsidP="00A55F23">
            <w:pPr>
              <w:jc w:val="right"/>
              <w:rPr>
                <w:rFonts w:cs="Arial"/>
                <w:szCs w:val="24"/>
              </w:rPr>
            </w:pPr>
            <w:r w:rsidRPr="00853E26">
              <w:rPr>
                <w:rFonts w:cs="Arial"/>
              </w:rPr>
              <w:t>(3,054)</w:t>
            </w:r>
          </w:p>
        </w:tc>
        <w:tc>
          <w:tcPr>
            <w:tcW w:w="448" w:type="pct"/>
            <w:vAlign w:val="center"/>
          </w:tcPr>
          <w:p w14:paraId="26BEEDEA" w14:textId="058033E1" w:rsidR="00A55F23" w:rsidRPr="006822CA" w:rsidRDefault="00A55F23" w:rsidP="00A55F23">
            <w:pPr>
              <w:jc w:val="right"/>
              <w:rPr>
                <w:rFonts w:cs="Arial"/>
                <w:szCs w:val="24"/>
              </w:rPr>
            </w:pPr>
            <w:r w:rsidRPr="00853E26">
              <w:rPr>
                <w:rFonts w:cs="Arial"/>
              </w:rPr>
              <w:t>-</w:t>
            </w:r>
          </w:p>
        </w:tc>
        <w:tc>
          <w:tcPr>
            <w:tcW w:w="428" w:type="pct"/>
            <w:vAlign w:val="center"/>
          </w:tcPr>
          <w:p w14:paraId="05B9DE50" w14:textId="651CE2E4" w:rsidR="00A55F23" w:rsidRPr="006822CA" w:rsidRDefault="00A55F23" w:rsidP="00A55F23">
            <w:pPr>
              <w:jc w:val="right"/>
              <w:rPr>
                <w:rFonts w:cs="Arial"/>
                <w:szCs w:val="24"/>
              </w:rPr>
            </w:pPr>
            <w:r w:rsidRPr="00853E26">
              <w:rPr>
                <w:rFonts w:cs="Arial"/>
              </w:rPr>
              <w:t>-</w:t>
            </w:r>
          </w:p>
        </w:tc>
        <w:tc>
          <w:tcPr>
            <w:tcW w:w="428" w:type="pct"/>
            <w:vAlign w:val="center"/>
          </w:tcPr>
          <w:p w14:paraId="46924E4C" w14:textId="4AD3125C" w:rsidR="00A55F23" w:rsidRPr="006822CA" w:rsidRDefault="00A55F23" w:rsidP="00A55F23">
            <w:pPr>
              <w:jc w:val="right"/>
              <w:rPr>
                <w:rFonts w:cs="Arial"/>
                <w:szCs w:val="24"/>
              </w:rPr>
            </w:pPr>
            <w:r w:rsidRPr="00853E26">
              <w:rPr>
                <w:rFonts w:cs="Arial"/>
              </w:rPr>
              <w:t>(3,054)</w:t>
            </w:r>
          </w:p>
        </w:tc>
        <w:tc>
          <w:tcPr>
            <w:tcW w:w="448" w:type="pct"/>
            <w:vAlign w:val="center"/>
          </w:tcPr>
          <w:p w14:paraId="75D28C07" w14:textId="6CB69574" w:rsidR="00A55F23" w:rsidRPr="006822CA" w:rsidRDefault="00A55F23" w:rsidP="00A55F23">
            <w:pPr>
              <w:jc w:val="right"/>
              <w:rPr>
                <w:rFonts w:cs="Arial"/>
                <w:szCs w:val="24"/>
              </w:rPr>
            </w:pPr>
            <w:r w:rsidRPr="00853E26">
              <w:rPr>
                <w:rFonts w:cs="Arial"/>
              </w:rPr>
              <w:t>-</w:t>
            </w:r>
          </w:p>
        </w:tc>
        <w:tc>
          <w:tcPr>
            <w:tcW w:w="448" w:type="pct"/>
            <w:vAlign w:val="center"/>
          </w:tcPr>
          <w:p w14:paraId="2952E141" w14:textId="48C3E775" w:rsidR="00A55F23" w:rsidRPr="006822CA" w:rsidRDefault="00A55F23" w:rsidP="00A55F23">
            <w:pPr>
              <w:jc w:val="right"/>
              <w:rPr>
                <w:rFonts w:cs="Arial"/>
                <w:szCs w:val="24"/>
              </w:rPr>
            </w:pPr>
            <w:r w:rsidRPr="00853E26">
              <w:rPr>
                <w:rFonts w:cs="Arial"/>
              </w:rPr>
              <w:t>(3,054)</w:t>
            </w:r>
          </w:p>
        </w:tc>
      </w:tr>
      <w:tr w:rsidR="00A55F23" w:rsidRPr="00D948C1" w14:paraId="231F4288" w14:textId="77777777" w:rsidTr="004B699A">
        <w:tc>
          <w:tcPr>
            <w:tcW w:w="1456" w:type="pct"/>
            <w:vAlign w:val="center"/>
          </w:tcPr>
          <w:p w14:paraId="4BC4D0A5" w14:textId="166F3F19" w:rsidR="00A55F23" w:rsidRPr="006822CA" w:rsidRDefault="00A55F23" w:rsidP="00A55F23">
            <w:pPr>
              <w:rPr>
                <w:rFonts w:cs="Arial"/>
                <w:szCs w:val="24"/>
              </w:rPr>
            </w:pPr>
            <w:r w:rsidRPr="007D2BA9">
              <w:rPr>
                <w:rFonts w:cs="Arial"/>
              </w:rPr>
              <w:t>Other comprehensive income and expenditure</w:t>
            </w:r>
          </w:p>
        </w:tc>
        <w:tc>
          <w:tcPr>
            <w:tcW w:w="428" w:type="pct"/>
            <w:vAlign w:val="center"/>
          </w:tcPr>
          <w:p w14:paraId="58851518" w14:textId="21813983" w:rsidR="00A55F23" w:rsidRPr="006822CA" w:rsidRDefault="00A55F23" w:rsidP="00A55F23">
            <w:pPr>
              <w:jc w:val="right"/>
              <w:rPr>
                <w:rFonts w:cs="Arial"/>
                <w:szCs w:val="24"/>
              </w:rPr>
            </w:pPr>
            <w:r w:rsidRPr="007D2BA9">
              <w:rPr>
                <w:rFonts w:cs="Arial"/>
              </w:rPr>
              <w:t>-</w:t>
            </w:r>
          </w:p>
        </w:tc>
        <w:tc>
          <w:tcPr>
            <w:tcW w:w="489" w:type="pct"/>
            <w:vAlign w:val="center"/>
          </w:tcPr>
          <w:p w14:paraId="04871AAE" w14:textId="7F6CDA8B" w:rsidR="00A55F23" w:rsidRPr="006822CA" w:rsidRDefault="00A55F23" w:rsidP="00A55F23">
            <w:pPr>
              <w:jc w:val="right"/>
              <w:rPr>
                <w:rFonts w:cs="Arial"/>
                <w:szCs w:val="24"/>
              </w:rPr>
            </w:pPr>
            <w:r w:rsidRPr="007D2BA9">
              <w:rPr>
                <w:rFonts w:cs="Arial"/>
              </w:rPr>
              <w:t>-</w:t>
            </w:r>
          </w:p>
        </w:tc>
        <w:tc>
          <w:tcPr>
            <w:tcW w:w="427" w:type="pct"/>
            <w:vAlign w:val="center"/>
          </w:tcPr>
          <w:p w14:paraId="4E173A56" w14:textId="08F16E32" w:rsidR="00A55F23" w:rsidRPr="006822CA" w:rsidRDefault="00A55F23" w:rsidP="00A55F23">
            <w:pPr>
              <w:jc w:val="right"/>
              <w:rPr>
                <w:rFonts w:cs="Arial"/>
                <w:szCs w:val="24"/>
              </w:rPr>
            </w:pPr>
            <w:r w:rsidRPr="007D2BA9">
              <w:rPr>
                <w:rFonts w:cs="Arial"/>
              </w:rPr>
              <w:t>-</w:t>
            </w:r>
          </w:p>
        </w:tc>
        <w:tc>
          <w:tcPr>
            <w:tcW w:w="448" w:type="pct"/>
            <w:vAlign w:val="center"/>
          </w:tcPr>
          <w:p w14:paraId="004718A9" w14:textId="46333400" w:rsidR="00A55F23" w:rsidRPr="006822CA" w:rsidRDefault="00A55F23" w:rsidP="00A55F23">
            <w:pPr>
              <w:jc w:val="right"/>
              <w:rPr>
                <w:rFonts w:cs="Arial"/>
                <w:szCs w:val="24"/>
              </w:rPr>
            </w:pPr>
            <w:r w:rsidRPr="007D2BA9">
              <w:rPr>
                <w:rFonts w:cs="Arial"/>
              </w:rPr>
              <w:t>-</w:t>
            </w:r>
          </w:p>
        </w:tc>
        <w:tc>
          <w:tcPr>
            <w:tcW w:w="428" w:type="pct"/>
            <w:vAlign w:val="center"/>
          </w:tcPr>
          <w:p w14:paraId="4289BB93" w14:textId="0F3E0BED" w:rsidR="00A55F23" w:rsidRPr="006822CA" w:rsidRDefault="00A55F23" w:rsidP="00A55F23">
            <w:pPr>
              <w:jc w:val="right"/>
              <w:rPr>
                <w:rFonts w:cs="Arial"/>
                <w:szCs w:val="24"/>
              </w:rPr>
            </w:pPr>
            <w:r w:rsidRPr="007D2BA9">
              <w:rPr>
                <w:rFonts w:cs="Arial"/>
              </w:rPr>
              <w:t>-</w:t>
            </w:r>
          </w:p>
        </w:tc>
        <w:tc>
          <w:tcPr>
            <w:tcW w:w="428" w:type="pct"/>
            <w:vAlign w:val="center"/>
          </w:tcPr>
          <w:p w14:paraId="38EDC860" w14:textId="2058838C" w:rsidR="00A55F23" w:rsidRPr="006822CA" w:rsidRDefault="00A55F23" w:rsidP="00A55F23">
            <w:pPr>
              <w:jc w:val="right"/>
              <w:rPr>
                <w:rFonts w:cs="Arial"/>
                <w:szCs w:val="24"/>
              </w:rPr>
            </w:pPr>
            <w:r w:rsidRPr="007D2BA9">
              <w:rPr>
                <w:rFonts w:cs="Arial"/>
              </w:rPr>
              <w:t>-</w:t>
            </w:r>
          </w:p>
        </w:tc>
        <w:tc>
          <w:tcPr>
            <w:tcW w:w="448" w:type="pct"/>
            <w:vAlign w:val="center"/>
          </w:tcPr>
          <w:p w14:paraId="152CE82A" w14:textId="75C97316" w:rsidR="00A55F23" w:rsidRPr="006822CA" w:rsidRDefault="00A55F23" w:rsidP="00A55F23">
            <w:pPr>
              <w:jc w:val="right"/>
              <w:rPr>
                <w:rFonts w:cs="Arial"/>
                <w:szCs w:val="24"/>
              </w:rPr>
            </w:pPr>
            <w:r w:rsidRPr="007D2BA9">
              <w:rPr>
                <w:rFonts w:cs="Arial"/>
              </w:rPr>
              <w:t>70,845</w:t>
            </w:r>
          </w:p>
        </w:tc>
        <w:tc>
          <w:tcPr>
            <w:tcW w:w="448" w:type="pct"/>
            <w:vAlign w:val="center"/>
          </w:tcPr>
          <w:p w14:paraId="76D34C33" w14:textId="5C0CC5E9" w:rsidR="00A55F23" w:rsidRPr="006822CA" w:rsidRDefault="00A55F23" w:rsidP="00A55F23">
            <w:pPr>
              <w:jc w:val="right"/>
              <w:rPr>
                <w:rFonts w:cs="Arial"/>
                <w:szCs w:val="24"/>
              </w:rPr>
            </w:pPr>
            <w:r w:rsidRPr="007D2BA9">
              <w:rPr>
                <w:rFonts w:cs="Arial"/>
              </w:rPr>
              <w:t>70,845</w:t>
            </w:r>
          </w:p>
        </w:tc>
      </w:tr>
      <w:tr w:rsidR="00A55F23" w:rsidRPr="00D948C1" w14:paraId="2D1EB13C" w14:textId="77777777" w:rsidTr="004B699A">
        <w:tc>
          <w:tcPr>
            <w:tcW w:w="1456" w:type="pct"/>
            <w:vAlign w:val="center"/>
          </w:tcPr>
          <w:p w14:paraId="01481495" w14:textId="44A9BDF2" w:rsidR="00A55F23" w:rsidRPr="006822CA" w:rsidRDefault="00A55F23" w:rsidP="00A55F23">
            <w:pPr>
              <w:rPr>
                <w:rFonts w:cs="Arial"/>
                <w:b/>
                <w:bCs/>
                <w:szCs w:val="24"/>
              </w:rPr>
            </w:pPr>
            <w:r w:rsidRPr="007D2BA9">
              <w:rPr>
                <w:rFonts w:cs="Arial"/>
                <w:b/>
              </w:rPr>
              <w:t>Total comprehensive income and expenditure</w:t>
            </w:r>
          </w:p>
        </w:tc>
        <w:tc>
          <w:tcPr>
            <w:tcW w:w="428" w:type="pct"/>
            <w:vAlign w:val="center"/>
          </w:tcPr>
          <w:p w14:paraId="454A3BF2" w14:textId="04CCD864" w:rsidR="00A55F23" w:rsidRPr="006822CA" w:rsidRDefault="00A55F23" w:rsidP="00A55F23">
            <w:pPr>
              <w:jc w:val="right"/>
              <w:rPr>
                <w:rFonts w:cs="Arial"/>
                <w:b/>
                <w:bCs/>
                <w:szCs w:val="24"/>
              </w:rPr>
            </w:pPr>
            <w:r w:rsidRPr="007D2BA9">
              <w:rPr>
                <w:rFonts w:cs="Arial"/>
                <w:b/>
              </w:rPr>
              <w:t>(3,054)</w:t>
            </w:r>
          </w:p>
        </w:tc>
        <w:tc>
          <w:tcPr>
            <w:tcW w:w="489" w:type="pct"/>
            <w:vAlign w:val="center"/>
          </w:tcPr>
          <w:p w14:paraId="4BEA8603" w14:textId="37C9E3C9" w:rsidR="00A55F23" w:rsidRPr="006822CA" w:rsidRDefault="00A55F23" w:rsidP="00A55F23">
            <w:pPr>
              <w:jc w:val="right"/>
              <w:rPr>
                <w:rFonts w:cs="Arial"/>
                <w:b/>
                <w:bCs/>
                <w:szCs w:val="24"/>
              </w:rPr>
            </w:pPr>
            <w:r w:rsidRPr="007D2BA9">
              <w:rPr>
                <w:rFonts w:cs="Arial"/>
                <w:b/>
              </w:rPr>
              <w:t>-</w:t>
            </w:r>
          </w:p>
        </w:tc>
        <w:tc>
          <w:tcPr>
            <w:tcW w:w="427" w:type="pct"/>
            <w:vAlign w:val="center"/>
          </w:tcPr>
          <w:p w14:paraId="7F23F0E3" w14:textId="10EAE5A6" w:rsidR="00A55F23" w:rsidRPr="006822CA" w:rsidRDefault="00A55F23" w:rsidP="00A55F23">
            <w:pPr>
              <w:jc w:val="right"/>
              <w:rPr>
                <w:rFonts w:cs="Arial"/>
                <w:b/>
                <w:bCs/>
                <w:szCs w:val="24"/>
              </w:rPr>
            </w:pPr>
            <w:r w:rsidRPr="007D2BA9">
              <w:rPr>
                <w:rFonts w:cs="Arial"/>
                <w:b/>
              </w:rPr>
              <w:t>(3,054)</w:t>
            </w:r>
          </w:p>
        </w:tc>
        <w:tc>
          <w:tcPr>
            <w:tcW w:w="448" w:type="pct"/>
            <w:vAlign w:val="center"/>
          </w:tcPr>
          <w:p w14:paraId="5E0CDA64" w14:textId="1D0D5CB5" w:rsidR="00A55F23" w:rsidRPr="006822CA" w:rsidRDefault="00A55F23" w:rsidP="00A55F23">
            <w:pPr>
              <w:jc w:val="right"/>
              <w:rPr>
                <w:rFonts w:cs="Arial"/>
                <w:b/>
                <w:bCs/>
                <w:szCs w:val="24"/>
              </w:rPr>
            </w:pPr>
            <w:r w:rsidRPr="007D2BA9">
              <w:rPr>
                <w:rFonts w:cs="Arial"/>
                <w:b/>
              </w:rPr>
              <w:t>-</w:t>
            </w:r>
          </w:p>
        </w:tc>
        <w:tc>
          <w:tcPr>
            <w:tcW w:w="428" w:type="pct"/>
            <w:vAlign w:val="center"/>
          </w:tcPr>
          <w:p w14:paraId="2E231714" w14:textId="329EC83A" w:rsidR="00A55F23" w:rsidRPr="006822CA" w:rsidRDefault="00A55F23" w:rsidP="00A55F23">
            <w:pPr>
              <w:jc w:val="right"/>
              <w:rPr>
                <w:rFonts w:cs="Arial"/>
                <w:b/>
                <w:bCs/>
                <w:szCs w:val="24"/>
              </w:rPr>
            </w:pPr>
            <w:r w:rsidRPr="007D2BA9">
              <w:rPr>
                <w:rFonts w:cs="Arial"/>
                <w:b/>
              </w:rPr>
              <w:t>-</w:t>
            </w:r>
          </w:p>
        </w:tc>
        <w:tc>
          <w:tcPr>
            <w:tcW w:w="428" w:type="pct"/>
            <w:vAlign w:val="center"/>
          </w:tcPr>
          <w:p w14:paraId="1339318F" w14:textId="5378F5D6" w:rsidR="00A55F23" w:rsidRPr="006822CA" w:rsidRDefault="00A55F23" w:rsidP="00A55F23">
            <w:pPr>
              <w:jc w:val="right"/>
              <w:rPr>
                <w:rFonts w:cs="Arial"/>
                <w:b/>
                <w:bCs/>
                <w:szCs w:val="24"/>
              </w:rPr>
            </w:pPr>
            <w:r w:rsidRPr="007D2BA9">
              <w:rPr>
                <w:rFonts w:cs="Arial"/>
                <w:b/>
              </w:rPr>
              <w:t>(3,054)</w:t>
            </w:r>
          </w:p>
        </w:tc>
        <w:tc>
          <w:tcPr>
            <w:tcW w:w="448" w:type="pct"/>
            <w:vAlign w:val="center"/>
          </w:tcPr>
          <w:p w14:paraId="142F05E1" w14:textId="467DA9D2" w:rsidR="00A55F23" w:rsidRPr="006822CA" w:rsidRDefault="00A55F23" w:rsidP="00A55F23">
            <w:pPr>
              <w:jc w:val="right"/>
              <w:rPr>
                <w:rFonts w:cs="Arial"/>
                <w:b/>
                <w:bCs/>
                <w:szCs w:val="24"/>
              </w:rPr>
            </w:pPr>
            <w:r w:rsidRPr="007D2BA9">
              <w:rPr>
                <w:rFonts w:cs="Arial"/>
                <w:b/>
              </w:rPr>
              <w:t>70,845</w:t>
            </w:r>
          </w:p>
        </w:tc>
        <w:tc>
          <w:tcPr>
            <w:tcW w:w="448" w:type="pct"/>
            <w:vAlign w:val="center"/>
          </w:tcPr>
          <w:p w14:paraId="6B0154CA" w14:textId="41C0D5F0" w:rsidR="00A55F23" w:rsidRPr="006822CA" w:rsidRDefault="00A55F23" w:rsidP="00A55F23">
            <w:pPr>
              <w:jc w:val="right"/>
              <w:rPr>
                <w:rFonts w:cs="Arial"/>
                <w:b/>
                <w:bCs/>
                <w:szCs w:val="24"/>
              </w:rPr>
            </w:pPr>
            <w:r w:rsidRPr="007D2BA9">
              <w:rPr>
                <w:rFonts w:cs="Arial"/>
                <w:b/>
              </w:rPr>
              <w:t>67,791</w:t>
            </w:r>
          </w:p>
        </w:tc>
      </w:tr>
    </w:tbl>
    <w:p w14:paraId="540656BA" w14:textId="77777777" w:rsidR="00FA18E2" w:rsidRPr="00D948C1" w:rsidRDefault="00FA18E2"/>
    <w:tbl>
      <w:tblPr>
        <w:tblW w:w="4671" w:type="pct"/>
        <w:tblLook w:val="01E0" w:firstRow="1" w:lastRow="1" w:firstColumn="1" w:lastColumn="1" w:noHBand="0" w:noVBand="0"/>
      </w:tblPr>
      <w:tblGrid>
        <w:gridCol w:w="4143"/>
        <w:gridCol w:w="1219"/>
        <w:gridCol w:w="1395"/>
        <w:gridCol w:w="1219"/>
        <w:gridCol w:w="1279"/>
        <w:gridCol w:w="1219"/>
        <w:gridCol w:w="1219"/>
        <w:gridCol w:w="1276"/>
        <w:gridCol w:w="1270"/>
      </w:tblGrid>
      <w:tr w:rsidR="004B699A" w:rsidRPr="00D948C1" w14:paraId="2EA996E3" w14:textId="77777777" w:rsidTr="004B699A">
        <w:trPr>
          <w:trHeight w:val="231"/>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3C1AB" w14:textId="1EE63B21" w:rsidR="004B699A" w:rsidRPr="00D948C1" w:rsidRDefault="004B699A" w:rsidP="00F7299E">
            <w:pPr>
              <w:rPr>
                <w:rFonts w:cs="Arial"/>
                <w:b/>
                <w:bCs/>
                <w:szCs w:val="24"/>
              </w:rPr>
            </w:pPr>
            <w:r w:rsidRPr="00D948C1">
              <w:rPr>
                <w:rFonts w:cs="Arial"/>
                <w:b/>
                <w:bCs/>
                <w:szCs w:val="24"/>
              </w:rPr>
              <w:t>Adjustments between accounting basis and funding basis under regulations</w:t>
            </w:r>
          </w:p>
        </w:tc>
      </w:tr>
      <w:tr w:rsidR="00A55F23" w:rsidRPr="00D948C1" w14:paraId="5C3D45DD"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3B0E4D2B" w14:textId="5EF04AAD" w:rsidR="00A55F23" w:rsidRPr="006822CA" w:rsidRDefault="00A55F23" w:rsidP="00A55F23">
            <w:pPr>
              <w:rPr>
                <w:rFonts w:cs="Arial"/>
                <w:szCs w:val="24"/>
              </w:rPr>
            </w:pPr>
            <w:r w:rsidRPr="007D2BA9">
              <w:rPr>
                <w:rFonts w:cs="Arial"/>
              </w:rPr>
              <w:t>Charges for depreciation and impairment of non-current assets</w:t>
            </w:r>
          </w:p>
        </w:tc>
        <w:tc>
          <w:tcPr>
            <w:tcW w:w="428" w:type="pct"/>
            <w:tcBorders>
              <w:top w:val="single" w:sz="4" w:space="0" w:color="auto"/>
              <w:left w:val="single" w:sz="4" w:space="0" w:color="auto"/>
              <w:bottom w:val="single" w:sz="4" w:space="0" w:color="auto"/>
              <w:right w:val="single" w:sz="4" w:space="0" w:color="auto"/>
            </w:tcBorders>
            <w:vAlign w:val="center"/>
          </w:tcPr>
          <w:p w14:paraId="2EB34822" w14:textId="6556E6C8" w:rsidR="00A55F23" w:rsidRPr="003F09DA" w:rsidRDefault="00A55F23" w:rsidP="00A55F23">
            <w:pPr>
              <w:jc w:val="right"/>
              <w:rPr>
                <w:rFonts w:cs="Arial"/>
                <w:szCs w:val="24"/>
              </w:rPr>
            </w:pPr>
            <w:r w:rsidRPr="007D2BA9">
              <w:rPr>
                <w:rFonts w:cs="Arial"/>
              </w:rPr>
              <w:t>6,719</w:t>
            </w:r>
          </w:p>
        </w:tc>
        <w:tc>
          <w:tcPr>
            <w:tcW w:w="490" w:type="pct"/>
            <w:tcBorders>
              <w:top w:val="single" w:sz="4" w:space="0" w:color="auto"/>
              <w:left w:val="single" w:sz="4" w:space="0" w:color="auto"/>
              <w:bottom w:val="single" w:sz="4" w:space="0" w:color="auto"/>
              <w:right w:val="single" w:sz="4" w:space="0" w:color="auto"/>
            </w:tcBorders>
            <w:vAlign w:val="center"/>
          </w:tcPr>
          <w:p w14:paraId="2EE30E34" w14:textId="2C5226BA"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7A4B02A" w14:textId="4E5F162C" w:rsidR="00A55F23" w:rsidRPr="003F09DA" w:rsidRDefault="00A55F23" w:rsidP="00A55F23">
            <w:pPr>
              <w:jc w:val="right"/>
              <w:rPr>
                <w:rFonts w:cs="Arial"/>
                <w:szCs w:val="24"/>
              </w:rPr>
            </w:pPr>
            <w:r w:rsidRPr="007D2BA9">
              <w:rPr>
                <w:rFonts w:cs="Arial"/>
              </w:rPr>
              <w:t>6,719</w:t>
            </w:r>
          </w:p>
        </w:tc>
        <w:tc>
          <w:tcPr>
            <w:tcW w:w="449" w:type="pct"/>
            <w:tcBorders>
              <w:top w:val="single" w:sz="4" w:space="0" w:color="auto"/>
              <w:left w:val="single" w:sz="4" w:space="0" w:color="auto"/>
              <w:bottom w:val="single" w:sz="4" w:space="0" w:color="auto"/>
              <w:right w:val="single" w:sz="4" w:space="0" w:color="auto"/>
            </w:tcBorders>
            <w:vAlign w:val="center"/>
          </w:tcPr>
          <w:p w14:paraId="7FC3E61C" w14:textId="7C0DCA9F"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195FCCAA" w14:textId="36CF1973"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B3B5F6A" w14:textId="01D25A7B" w:rsidR="00A55F23" w:rsidRPr="003F09DA" w:rsidRDefault="00A55F23" w:rsidP="00A55F23">
            <w:pPr>
              <w:jc w:val="right"/>
              <w:rPr>
                <w:rFonts w:cs="Arial"/>
                <w:szCs w:val="24"/>
              </w:rPr>
            </w:pPr>
            <w:r w:rsidRPr="007D2BA9">
              <w:rPr>
                <w:rFonts w:cs="Arial"/>
              </w:rPr>
              <w:t>6,719</w:t>
            </w:r>
          </w:p>
        </w:tc>
        <w:tc>
          <w:tcPr>
            <w:tcW w:w="448" w:type="pct"/>
            <w:tcBorders>
              <w:top w:val="single" w:sz="4" w:space="0" w:color="auto"/>
              <w:left w:val="single" w:sz="4" w:space="0" w:color="auto"/>
              <w:bottom w:val="single" w:sz="4" w:space="0" w:color="auto"/>
              <w:right w:val="single" w:sz="4" w:space="0" w:color="auto"/>
            </w:tcBorders>
            <w:vAlign w:val="center"/>
          </w:tcPr>
          <w:p w14:paraId="7FC82E2F" w14:textId="72377B07" w:rsidR="00A55F23" w:rsidRPr="003F09DA" w:rsidRDefault="00A55F23" w:rsidP="00A55F23">
            <w:pPr>
              <w:jc w:val="right"/>
              <w:rPr>
                <w:rFonts w:cs="Arial"/>
                <w:szCs w:val="24"/>
              </w:rPr>
            </w:pPr>
            <w:r w:rsidRPr="007D2BA9">
              <w:rPr>
                <w:rFonts w:cs="Arial"/>
              </w:rPr>
              <w:t>(6,719)</w:t>
            </w:r>
          </w:p>
        </w:tc>
        <w:tc>
          <w:tcPr>
            <w:tcW w:w="446" w:type="pct"/>
            <w:tcBorders>
              <w:top w:val="single" w:sz="4" w:space="0" w:color="auto"/>
              <w:left w:val="single" w:sz="4" w:space="0" w:color="auto"/>
              <w:bottom w:val="single" w:sz="4" w:space="0" w:color="auto"/>
              <w:right w:val="single" w:sz="4" w:space="0" w:color="auto"/>
            </w:tcBorders>
            <w:vAlign w:val="center"/>
          </w:tcPr>
          <w:p w14:paraId="3DA0C89F" w14:textId="6AD53DE0" w:rsidR="00A55F23" w:rsidRPr="003F09DA" w:rsidRDefault="00A55F23" w:rsidP="00A55F23">
            <w:pPr>
              <w:jc w:val="right"/>
              <w:rPr>
                <w:rFonts w:cs="Arial"/>
                <w:szCs w:val="24"/>
              </w:rPr>
            </w:pPr>
            <w:r w:rsidRPr="007D2BA9">
              <w:rPr>
                <w:rFonts w:cs="Arial"/>
              </w:rPr>
              <w:t>-</w:t>
            </w:r>
          </w:p>
        </w:tc>
      </w:tr>
      <w:tr w:rsidR="00A55F23" w:rsidRPr="00D948C1" w14:paraId="55CB25E7"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35AE21C7" w14:textId="36547996" w:rsidR="00A55F23" w:rsidRPr="006822CA" w:rsidRDefault="00A55F23" w:rsidP="00A55F23">
            <w:pPr>
              <w:rPr>
                <w:rFonts w:cs="Arial"/>
                <w:szCs w:val="24"/>
              </w:rPr>
            </w:pPr>
            <w:r w:rsidRPr="007D2BA9">
              <w:rPr>
                <w:rFonts w:cs="Arial"/>
              </w:rPr>
              <w:t>Amortisation of intangible assets</w:t>
            </w:r>
          </w:p>
        </w:tc>
        <w:tc>
          <w:tcPr>
            <w:tcW w:w="428" w:type="pct"/>
            <w:tcBorders>
              <w:top w:val="single" w:sz="4" w:space="0" w:color="auto"/>
              <w:left w:val="single" w:sz="4" w:space="0" w:color="auto"/>
              <w:bottom w:val="single" w:sz="4" w:space="0" w:color="auto"/>
              <w:right w:val="single" w:sz="4" w:space="0" w:color="auto"/>
            </w:tcBorders>
            <w:vAlign w:val="center"/>
          </w:tcPr>
          <w:p w14:paraId="745297BF" w14:textId="00A7C3B8" w:rsidR="00A55F23" w:rsidRPr="003F09DA" w:rsidRDefault="00A55F23" w:rsidP="00A55F23">
            <w:pPr>
              <w:jc w:val="right"/>
              <w:rPr>
                <w:rFonts w:cs="Arial"/>
                <w:szCs w:val="24"/>
              </w:rPr>
            </w:pPr>
            <w:r w:rsidRPr="007D2BA9">
              <w:rPr>
                <w:rFonts w:cs="Arial"/>
              </w:rPr>
              <w:t>219</w:t>
            </w:r>
          </w:p>
        </w:tc>
        <w:tc>
          <w:tcPr>
            <w:tcW w:w="490" w:type="pct"/>
            <w:tcBorders>
              <w:top w:val="single" w:sz="4" w:space="0" w:color="auto"/>
              <w:left w:val="single" w:sz="4" w:space="0" w:color="auto"/>
              <w:bottom w:val="single" w:sz="4" w:space="0" w:color="auto"/>
              <w:right w:val="single" w:sz="4" w:space="0" w:color="auto"/>
            </w:tcBorders>
            <w:vAlign w:val="center"/>
          </w:tcPr>
          <w:p w14:paraId="1F946D08" w14:textId="5131E8EA"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1C277C16" w14:textId="4B1E659B" w:rsidR="00A55F23" w:rsidRPr="003F09DA" w:rsidRDefault="00A55F23" w:rsidP="00A55F23">
            <w:pPr>
              <w:jc w:val="right"/>
              <w:rPr>
                <w:rFonts w:cs="Arial"/>
                <w:szCs w:val="24"/>
              </w:rPr>
            </w:pPr>
            <w:r w:rsidRPr="007D2BA9">
              <w:rPr>
                <w:rFonts w:cs="Arial"/>
              </w:rPr>
              <w:t>219</w:t>
            </w:r>
          </w:p>
        </w:tc>
        <w:tc>
          <w:tcPr>
            <w:tcW w:w="449" w:type="pct"/>
            <w:tcBorders>
              <w:top w:val="single" w:sz="4" w:space="0" w:color="auto"/>
              <w:left w:val="single" w:sz="4" w:space="0" w:color="auto"/>
              <w:bottom w:val="single" w:sz="4" w:space="0" w:color="auto"/>
              <w:right w:val="single" w:sz="4" w:space="0" w:color="auto"/>
            </w:tcBorders>
            <w:vAlign w:val="center"/>
          </w:tcPr>
          <w:p w14:paraId="19E6B7A2" w14:textId="16890305"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31F7F98" w14:textId="0594BCE0" w:rsidR="00A55F23" w:rsidRPr="003F09D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A6EB779" w14:textId="4F99167E" w:rsidR="00A55F23" w:rsidRPr="003F09DA" w:rsidRDefault="00A55F23" w:rsidP="00A55F23">
            <w:pPr>
              <w:jc w:val="right"/>
              <w:rPr>
                <w:rFonts w:cs="Arial"/>
                <w:szCs w:val="24"/>
              </w:rPr>
            </w:pPr>
            <w:r w:rsidRPr="007D2BA9">
              <w:rPr>
                <w:rFonts w:cs="Arial"/>
              </w:rPr>
              <w:t>219</w:t>
            </w:r>
          </w:p>
        </w:tc>
        <w:tc>
          <w:tcPr>
            <w:tcW w:w="448" w:type="pct"/>
            <w:tcBorders>
              <w:top w:val="single" w:sz="4" w:space="0" w:color="auto"/>
              <w:left w:val="single" w:sz="4" w:space="0" w:color="auto"/>
              <w:bottom w:val="single" w:sz="4" w:space="0" w:color="auto"/>
              <w:right w:val="single" w:sz="4" w:space="0" w:color="auto"/>
            </w:tcBorders>
            <w:vAlign w:val="center"/>
          </w:tcPr>
          <w:p w14:paraId="74815AD8" w14:textId="1C3092F0" w:rsidR="00A55F23" w:rsidRPr="003F09DA" w:rsidRDefault="00A55F23" w:rsidP="00A55F23">
            <w:pPr>
              <w:jc w:val="right"/>
              <w:rPr>
                <w:rFonts w:cs="Arial"/>
                <w:szCs w:val="24"/>
              </w:rPr>
            </w:pPr>
            <w:r w:rsidRPr="007D2BA9">
              <w:rPr>
                <w:rFonts w:cs="Arial"/>
              </w:rPr>
              <w:t>(219)</w:t>
            </w:r>
          </w:p>
        </w:tc>
        <w:tc>
          <w:tcPr>
            <w:tcW w:w="446" w:type="pct"/>
            <w:tcBorders>
              <w:top w:val="single" w:sz="4" w:space="0" w:color="auto"/>
              <w:left w:val="single" w:sz="4" w:space="0" w:color="auto"/>
              <w:bottom w:val="single" w:sz="4" w:space="0" w:color="auto"/>
              <w:right w:val="single" w:sz="4" w:space="0" w:color="auto"/>
            </w:tcBorders>
            <w:vAlign w:val="center"/>
          </w:tcPr>
          <w:p w14:paraId="21871206" w14:textId="254F5DA4" w:rsidR="00A55F23" w:rsidRPr="003F09DA" w:rsidRDefault="00A55F23" w:rsidP="00A55F23">
            <w:pPr>
              <w:jc w:val="right"/>
              <w:rPr>
                <w:rFonts w:cs="Arial"/>
                <w:szCs w:val="24"/>
              </w:rPr>
            </w:pPr>
            <w:r w:rsidRPr="007D2BA9">
              <w:rPr>
                <w:rFonts w:cs="Arial"/>
              </w:rPr>
              <w:t>-</w:t>
            </w:r>
          </w:p>
        </w:tc>
      </w:tr>
      <w:tr w:rsidR="00A55F23" w:rsidRPr="00D948C1" w14:paraId="47758CDF"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6D79F1D2" w14:textId="49BD30FC" w:rsidR="00A55F23" w:rsidRPr="006822CA" w:rsidRDefault="00A55F23" w:rsidP="00A55F23">
            <w:pPr>
              <w:rPr>
                <w:rFonts w:cs="Arial"/>
                <w:szCs w:val="24"/>
              </w:rPr>
            </w:pPr>
            <w:r w:rsidRPr="007D2BA9">
              <w:rPr>
                <w:rFonts w:cs="Arial"/>
              </w:rPr>
              <w:t>Disposal of assets</w:t>
            </w:r>
          </w:p>
        </w:tc>
        <w:tc>
          <w:tcPr>
            <w:tcW w:w="428" w:type="pct"/>
            <w:tcBorders>
              <w:top w:val="single" w:sz="4" w:space="0" w:color="auto"/>
              <w:left w:val="single" w:sz="4" w:space="0" w:color="auto"/>
              <w:bottom w:val="single" w:sz="4" w:space="0" w:color="auto"/>
              <w:right w:val="single" w:sz="4" w:space="0" w:color="auto"/>
            </w:tcBorders>
            <w:vAlign w:val="center"/>
          </w:tcPr>
          <w:p w14:paraId="7A3EFC7F" w14:textId="63768D3C" w:rsidR="00A55F23" w:rsidRPr="006822CA" w:rsidRDefault="00A55F23" w:rsidP="00A55F23">
            <w:pPr>
              <w:jc w:val="right"/>
              <w:rPr>
                <w:rFonts w:cs="Arial"/>
                <w:szCs w:val="24"/>
              </w:rPr>
            </w:pPr>
            <w:r w:rsidRPr="007D2BA9">
              <w:rPr>
                <w:rFonts w:cs="Arial"/>
              </w:rPr>
              <w:t>(116)</w:t>
            </w:r>
          </w:p>
        </w:tc>
        <w:tc>
          <w:tcPr>
            <w:tcW w:w="490" w:type="pct"/>
            <w:tcBorders>
              <w:top w:val="single" w:sz="4" w:space="0" w:color="auto"/>
              <w:left w:val="single" w:sz="4" w:space="0" w:color="auto"/>
              <w:bottom w:val="single" w:sz="4" w:space="0" w:color="auto"/>
              <w:right w:val="single" w:sz="4" w:space="0" w:color="auto"/>
            </w:tcBorders>
            <w:vAlign w:val="center"/>
          </w:tcPr>
          <w:p w14:paraId="5D69940A" w14:textId="0633D4F4"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6611FDF" w14:textId="197B41A0" w:rsidR="00A55F23" w:rsidRPr="006822CA" w:rsidRDefault="00A55F23" w:rsidP="00A55F23">
            <w:pPr>
              <w:jc w:val="right"/>
              <w:rPr>
                <w:rFonts w:cs="Arial"/>
                <w:szCs w:val="24"/>
              </w:rPr>
            </w:pPr>
            <w:r w:rsidRPr="007D2BA9">
              <w:rPr>
                <w:rFonts w:cs="Arial"/>
              </w:rPr>
              <w:t>(116)</w:t>
            </w:r>
          </w:p>
        </w:tc>
        <w:tc>
          <w:tcPr>
            <w:tcW w:w="449" w:type="pct"/>
            <w:tcBorders>
              <w:top w:val="single" w:sz="4" w:space="0" w:color="auto"/>
              <w:left w:val="single" w:sz="4" w:space="0" w:color="auto"/>
              <w:bottom w:val="single" w:sz="4" w:space="0" w:color="auto"/>
              <w:right w:val="single" w:sz="4" w:space="0" w:color="auto"/>
            </w:tcBorders>
            <w:vAlign w:val="center"/>
          </w:tcPr>
          <w:p w14:paraId="5DEB4261" w14:textId="6BD325FD"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55E5D74" w14:textId="31BB7567" w:rsidR="00A55F23" w:rsidRPr="006822CA" w:rsidRDefault="00A55F23" w:rsidP="00A55F23">
            <w:pPr>
              <w:jc w:val="right"/>
              <w:rPr>
                <w:rFonts w:cs="Arial"/>
                <w:szCs w:val="24"/>
              </w:rPr>
            </w:pPr>
            <w:r w:rsidRPr="007D2BA9">
              <w:rPr>
                <w:rFonts w:cs="Arial"/>
              </w:rPr>
              <w:t>1</w:t>
            </w:r>
            <w:r>
              <w:rPr>
                <w:rFonts w:cs="Arial"/>
              </w:rPr>
              <w:t>2</w:t>
            </w:r>
            <w:r w:rsidRPr="007D2BA9">
              <w:rPr>
                <w:rFonts w:cs="Arial"/>
              </w:rPr>
              <w:t>3</w:t>
            </w:r>
          </w:p>
        </w:tc>
        <w:tc>
          <w:tcPr>
            <w:tcW w:w="428" w:type="pct"/>
            <w:tcBorders>
              <w:top w:val="single" w:sz="4" w:space="0" w:color="auto"/>
              <w:left w:val="single" w:sz="4" w:space="0" w:color="auto"/>
              <w:bottom w:val="single" w:sz="4" w:space="0" w:color="auto"/>
              <w:right w:val="single" w:sz="4" w:space="0" w:color="auto"/>
            </w:tcBorders>
            <w:vAlign w:val="center"/>
          </w:tcPr>
          <w:p w14:paraId="3033F94B" w14:textId="63757B23" w:rsidR="00A55F23" w:rsidRPr="006822CA" w:rsidRDefault="00A55F23" w:rsidP="00A55F23">
            <w:pPr>
              <w:jc w:val="right"/>
              <w:rPr>
                <w:rFonts w:cs="Arial"/>
                <w:szCs w:val="24"/>
              </w:rPr>
            </w:pPr>
            <w:r w:rsidRPr="007D2BA9">
              <w:rPr>
                <w:rFonts w:cs="Arial"/>
              </w:rPr>
              <w:t>7</w:t>
            </w:r>
          </w:p>
        </w:tc>
        <w:tc>
          <w:tcPr>
            <w:tcW w:w="448" w:type="pct"/>
            <w:tcBorders>
              <w:top w:val="single" w:sz="4" w:space="0" w:color="auto"/>
              <w:left w:val="single" w:sz="4" w:space="0" w:color="auto"/>
              <w:bottom w:val="single" w:sz="4" w:space="0" w:color="auto"/>
              <w:right w:val="single" w:sz="4" w:space="0" w:color="auto"/>
            </w:tcBorders>
            <w:vAlign w:val="center"/>
          </w:tcPr>
          <w:p w14:paraId="54EF7708" w14:textId="3D702949" w:rsidR="00A55F23" w:rsidRPr="006822CA" w:rsidRDefault="00A55F23" w:rsidP="00A55F23">
            <w:pPr>
              <w:jc w:val="right"/>
              <w:rPr>
                <w:rFonts w:cs="Arial"/>
                <w:szCs w:val="24"/>
              </w:rPr>
            </w:pPr>
            <w:r w:rsidRPr="007D2BA9">
              <w:rPr>
                <w:rFonts w:cs="Arial"/>
              </w:rPr>
              <w:t>(7)</w:t>
            </w:r>
          </w:p>
        </w:tc>
        <w:tc>
          <w:tcPr>
            <w:tcW w:w="446" w:type="pct"/>
            <w:tcBorders>
              <w:top w:val="single" w:sz="4" w:space="0" w:color="auto"/>
              <w:left w:val="single" w:sz="4" w:space="0" w:color="auto"/>
              <w:bottom w:val="single" w:sz="4" w:space="0" w:color="auto"/>
              <w:right w:val="single" w:sz="4" w:space="0" w:color="auto"/>
            </w:tcBorders>
            <w:vAlign w:val="center"/>
          </w:tcPr>
          <w:p w14:paraId="01B63E02" w14:textId="1D15EDD6" w:rsidR="00A55F23" w:rsidRPr="006822CA" w:rsidRDefault="00A55F23" w:rsidP="00A55F23">
            <w:pPr>
              <w:jc w:val="right"/>
              <w:rPr>
                <w:rFonts w:cs="Arial"/>
                <w:szCs w:val="24"/>
              </w:rPr>
            </w:pPr>
            <w:r w:rsidRPr="007D2BA9">
              <w:rPr>
                <w:rFonts w:cs="Arial"/>
              </w:rPr>
              <w:t>-</w:t>
            </w:r>
          </w:p>
        </w:tc>
      </w:tr>
      <w:tr w:rsidR="00A55F23" w:rsidRPr="00D948C1" w14:paraId="05CF900F"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03AA1F0F" w14:textId="7D3928CD" w:rsidR="00A55F23" w:rsidRPr="006822CA" w:rsidRDefault="00A55F23" w:rsidP="00A55F23">
            <w:pPr>
              <w:rPr>
                <w:rFonts w:cs="Arial"/>
                <w:szCs w:val="24"/>
              </w:rPr>
            </w:pPr>
            <w:r w:rsidRPr="007D2BA9">
              <w:rPr>
                <w:rFonts w:cs="Arial"/>
              </w:rPr>
              <w:t>Capital grants unapplied</w:t>
            </w:r>
          </w:p>
        </w:tc>
        <w:tc>
          <w:tcPr>
            <w:tcW w:w="428" w:type="pct"/>
            <w:tcBorders>
              <w:top w:val="single" w:sz="4" w:space="0" w:color="auto"/>
              <w:left w:val="single" w:sz="4" w:space="0" w:color="auto"/>
              <w:bottom w:val="single" w:sz="4" w:space="0" w:color="auto"/>
              <w:right w:val="single" w:sz="4" w:space="0" w:color="auto"/>
            </w:tcBorders>
            <w:vAlign w:val="center"/>
          </w:tcPr>
          <w:p w14:paraId="307636FA" w14:textId="509C22CE" w:rsidR="00A55F23" w:rsidRPr="006822CA" w:rsidRDefault="00A55F23" w:rsidP="00A55F23">
            <w:pPr>
              <w:jc w:val="right"/>
              <w:rPr>
                <w:rFonts w:cs="Arial"/>
                <w:szCs w:val="24"/>
              </w:rPr>
            </w:pPr>
            <w:r w:rsidRPr="007D2BA9">
              <w:rPr>
                <w:rFonts w:cs="Arial"/>
              </w:rPr>
              <w:t>-</w:t>
            </w:r>
          </w:p>
        </w:tc>
        <w:tc>
          <w:tcPr>
            <w:tcW w:w="490" w:type="pct"/>
            <w:tcBorders>
              <w:top w:val="single" w:sz="4" w:space="0" w:color="auto"/>
              <w:left w:val="single" w:sz="4" w:space="0" w:color="auto"/>
              <w:bottom w:val="single" w:sz="4" w:space="0" w:color="auto"/>
              <w:right w:val="single" w:sz="4" w:space="0" w:color="auto"/>
            </w:tcBorders>
            <w:vAlign w:val="center"/>
          </w:tcPr>
          <w:p w14:paraId="4227D4F6" w14:textId="66765818"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D21A76E" w14:textId="5CE78ABB" w:rsidR="00A55F23" w:rsidRPr="006822CA" w:rsidRDefault="00A55F23" w:rsidP="00A55F23">
            <w:pPr>
              <w:jc w:val="right"/>
              <w:rPr>
                <w:rFonts w:cs="Arial"/>
                <w:szCs w:val="24"/>
              </w:rPr>
            </w:pPr>
            <w:r w:rsidRPr="007D2BA9">
              <w:rPr>
                <w:rFonts w:cs="Arial"/>
              </w:rPr>
              <w:t>-</w:t>
            </w:r>
          </w:p>
        </w:tc>
        <w:tc>
          <w:tcPr>
            <w:tcW w:w="449" w:type="pct"/>
            <w:tcBorders>
              <w:top w:val="single" w:sz="4" w:space="0" w:color="auto"/>
              <w:left w:val="single" w:sz="4" w:space="0" w:color="auto"/>
              <w:bottom w:val="single" w:sz="4" w:space="0" w:color="auto"/>
              <w:right w:val="single" w:sz="4" w:space="0" w:color="auto"/>
            </w:tcBorders>
            <w:vAlign w:val="center"/>
          </w:tcPr>
          <w:p w14:paraId="0974775B" w14:textId="62A57C48"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5413961B" w14:textId="1BABE1D5"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E725E8E" w14:textId="1CA7A708" w:rsidR="00A55F23" w:rsidRPr="006822CA" w:rsidRDefault="00A55F23" w:rsidP="00A55F23">
            <w:pPr>
              <w:jc w:val="right"/>
              <w:rPr>
                <w:rFonts w:cs="Arial"/>
                <w:szCs w:val="24"/>
              </w:rPr>
            </w:pPr>
            <w:r w:rsidRPr="007D2BA9">
              <w:rPr>
                <w:rFonts w:cs="Arial"/>
              </w:rPr>
              <w:t>-</w:t>
            </w:r>
          </w:p>
        </w:tc>
        <w:tc>
          <w:tcPr>
            <w:tcW w:w="448" w:type="pct"/>
            <w:tcBorders>
              <w:top w:val="single" w:sz="4" w:space="0" w:color="auto"/>
              <w:left w:val="single" w:sz="4" w:space="0" w:color="auto"/>
              <w:bottom w:val="single" w:sz="4" w:space="0" w:color="auto"/>
              <w:right w:val="single" w:sz="4" w:space="0" w:color="auto"/>
            </w:tcBorders>
            <w:vAlign w:val="center"/>
          </w:tcPr>
          <w:p w14:paraId="54A231C5" w14:textId="5DD322DD" w:rsidR="00A55F23" w:rsidRPr="006822CA" w:rsidRDefault="00A55F23" w:rsidP="00A55F23">
            <w:pPr>
              <w:jc w:val="right"/>
              <w:rPr>
                <w:rFonts w:cs="Arial"/>
                <w:szCs w:val="24"/>
              </w:rPr>
            </w:pPr>
            <w:r w:rsidRPr="007D2BA9">
              <w:rPr>
                <w:rFonts w:cs="Arial"/>
              </w:rPr>
              <w:t>-</w:t>
            </w:r>
          </w:p>
        </w:tc>
        <w:tc>
          <w:tcPr>
            <w:tcW w:w="446" w:type="pct"/>
            <w:tcBorders>
              <w:top w:val="single" w:sz="4" w:space="0" w:color="auto"/>
              <w:left w:val="single" w:sz="4" w:space="0" w:color="auto"/>
              <w:bottom w:val="single" w:sz="4" w:space="0" w:color="auto"/>
              <w:right w:val="single" w:sz="4" w:space="0" w:color="auto"/>
            </w:tcBorders>
            <w:vAlign w:val="center"/>
          </w:tcPr>
          <w:p w14:paraId="6D5C37A4" w14:textId="3831F341" w:rsidR="00A55F23" w:rsidRPr="006822CA" w:rsidRDefault="00A55F23" w:rsidP="00A55F23">
            <w:pPr>
              <w:jc w:val="right"/>
              <w:rPr>
                <w:rFonts w:cs="Arial"/>
                <w:szCs w:val="24"/>
              </w:rPr>
            </w:pPr>
            <w:r w:rsidRPr="007D2BA9">
              <w:rPr>
                <w:rFonts w:cs="Arial"/>
              </w:rPr>
              <w:t>-</w:t>
            </w:r>
          </w:p>
        </w:tc>
      </w:tr>
      <w:tr w:rsidR="00A55F23" w:rsidRPr="00D948C1" w14:paraId="66ED74A6"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06D63E22" w14:textId="158D65A8" w:rsidR="00A55F23" w:rsidRPr="006822CA" w:rsidRDefault="00A55F23" w:rsidP="00A55F23">
            <w:pPr>
              <w:rPr>
                <w:rFonts w:cs="Arial"/>
                <w:szCs w:val="24"/>
              </w:rPr>
            </w:pPr>
            <w:r w:rsidRPr="007D2BA9">
              <w:rPr>
                <w:rFonts w:cs="Arial"/>
              </w:rPr>
              <w:t>Provision for the repayment of debt</w:t>
            </w:r>
          </w:p>
        </w:tc>
        <w:tc>
          <w:tcPr>
            <w:tcW w:w="428" w:type="pct"/>
            <w:tcBorders>
              <w:top w:val="single" w:sz="4" w:space="0" w:color="auto"/>
              <w:left w:val="single" w:sz="4" w:space="0" w:color="auto"/>
              <w:bottom w:val="single" w:sz="4" w:space="0" w:color="auto"/>
              <w:right w:val="single" w:sz="4" w:space="0" w:color="auto"/>
            </w:tcBorders>
            <w:vAlign w:val="center"/>
          </w:tcPr>
          <w:p w14:paraId="641A580B" w14:textId="440DDF00" w:rsidR="00A55F23" w:rsidRPr="006822CA" w:rsidRDefault="00A55F23" w:rsidP="00A55F23">
            <w:pPr>
              <w:jc w:val="right"/>
              <w:rPr>
                <w:rFonts w:cs="Arial"/>
                <w:szCs w:val="24"/>
              </w:rPr>
            </w:pPr>
            <w:r w:rsidRPr="007D2BA9">
              <w:rPr>
                <w:rFonts w:cs="Arial"/>
              </w:rPr>
              <w:t>(606)</w:t>
            </w:r>
          </w:p>
        </w:tc>
        <w:tc>
          <w:tcPr>
            <w:tcW w:w="490" w:type="pct"/>
            <w:tcBorders>
              <w:top w:val="single" w:sz="4" w:space="0" w:color="auto"/>
              <w:left w:val="single" w:sz="4" w:space="0" w:color="auto"/>
              <w:bottom w:val="single" w:sz="4" w:space="0" w:color="auto"/>
              <w:right w:val="single" w:sz="4" w:space="0" w:color="auto"/>
            </w:tcBorders>
            <w:vAlign w:val="center"/>
          </w:tcPr>
          <w:p w14:paraId="61B098F4" w14:textId="628F8D0E"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EE8A540" w14:textId="3A361F4D" w:rsidR="00A55F23" w:rsidRPr="006822CA" w:rsidRDefault="00A55F23" w:rsidP="00A55F23">
            <w:pPr>
              <w:jc w:val="right"/>
              <w:rPr>
                <w:rFonts w:cs="Arial"/>
                <w:szCs w:val="24"/>
              </w:rPr>
            </w:pPr>
            <w:r w:rsidRPr="007D2BA9">
              <w:rPr>
                <w:rFonts w:cs="Arial"/>
              </w:rPr>
              <w:t>(606)</w:t>
            </w:r>
          </w:p>
        </w:tc>
        <w:tc>
          <w:tcPr>
            <w:tcW w:w="449" w:type="pct"/>
            <w:tcBorders>
              <w:top w:val="single" w:sz="4" w:space="0" w:color="auto"/>
              <w:left w:val="single" w:sz="4" w:space="0" w:color="auto"/>
              <w:bottom w:val="single" w:sz="4" w:space="0" w:color="auto"/>
              <w:right w:val="single" w:sz="4" w:space="0" w:color="auto"/>
            </w:tcBorders>
            <w:vAlign w:val="center"/>
          </w:tcPr>
          <w:p w14:paraId="1B633C68" w14:textId="5D0140E3"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49111781" w14:textId="24930DE3"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FBF92C5" w14:textId="670B0C15" w:rsidR="00A55F23" w:rsidRPr="006822CA" w:rsidRDefault="00A55F23" w:rsidP="00A55F23">
            <w:pPr>
              <w:jc w:val="right"/>
              <w:rPr>
                <w:rFonts w:cs="Arial"/>
                <w:szCs w:val="24"/>
              </w:rPr>
            </w:pPr>
            <w:r w:rsidRPr="007D2BA9">
              <w:rPr>
                <w:rFonts w:cs="Arial"/>
              </w:rPr>
              <w:t>(606)</w:t>
            </w:r>
          </w:p>
        </w:tc>
        <w:tc>
          <w:tcPr>
            <w:tcW w:w="448" w:type="pct"/>
            <w:tcBorders>
              <w:top w:val="single" w:sz="4" w:space="0" w:color="auto"/>
              <w:left w:val="single" w:sz="4" w:space="0" w:color="auto"/>
              <w:bottom w:val="single" w:sz="4" w:space="0" w:color="auto"/>
              <w:right w:val="single" w:sz="4" w:space="0" w:color="auto"/>
            </w:tcBorders>
            <w:vAlign w:val="center"/>
          </w:tcPr>
          <w:p w14:paraId="636E606A" w14:textId="53D51651" w:rsidR="00A55F23" w:rsidRPr="006822CA" w:rsidRDefault="00A55F23" w:rsidP="00A55F23">
            <w:pPr>
              <w:jc w:val="right"/>
              <w:rPr>
                <w:rFonts w:cs="Arial"/>
                <w:szCs w:val="24"/>
              </w:rPr>
            </w:pPr>
            <w:r w:rsidRPr="007D2BA9">
              <w:rPr>
                <w:rFonts w:cs="Arial"/>
              </w:rPr>
              <w:t>606</w:t>
            </w:r>
          </w:p>
        </w:tc>
        <w:tc>
          <w:tcPr>
            <w:tcW w:w="446" w:type="pct"/>
            <w:tcBorders>
              <w:top w:val="single" w:sz="4" w:space="0" w:color="auto"/>
              <w:left w:val="single" w:sz="4" w:space="0" w:color="auto"/>
              <w:bottom w:val="single" w:sz="4" w:space="0" w:color="auto"/>
              <w:right w:val="single" w:sz="4" w:space="0" w:color="auto"/>
            </w:tcBorders>
            <w:vAlign w:val="center"/>
          </w:tcPr>
          <w:p w14:paraId="1C759BFA" w14:textId="368A2E46" w:rsidR="00A55F23" w:rsidRPr="006822CA" w:rsidRDefault="00A55F23" w:rsidP="00A55F23">
            <w:pPr>
              <w:jc w:val="right"/>
              <w:rPr>
                <w:rFonts w:cs="Arial"/>
                <w:szCs w:val="24"/>
              </w:rPr>
            </w:pPr>
            <w:r w:rsidRPr="007D2BA9">
              <w:rPr>
                <w:rFonts w:cs="Arial"/>
              </w:rPr>
              <w:t>-</w:t>
            </w:r>
          </w:p>
        </w:tc>
      </w:tr>
      <w:tr w:rsidR="00A55F23" w:rsidRPr="00D948C1" w14:paraId="5000B989"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3EA0F24D" w14:textId="0E8BC8CC" w:rsidR="00A55F23" w:rsidRPr="006822CA" w:rsidRDefault="00A55F23" w:rsidP="00A55F23">
            <w:pPr>
              <w:rPr>
                <w:rFonts w:cs="Arial"/>
                <w:szCs w:val="24"/>
              </w:rPr>
            </w:pPr>
            <w:r w:rsidRPr="007D2BA9">
              <w:rPr>
                <w:rFonts w:cs="Arial"/>
              </w:rPr>
              <w:t>Capital expenditure charged against General Fund Balance</w:t>
            </w:r>
          </w:p>
        </w:tc>
        <w:tc>
          <w:tcPr>
            <w:tcW w:w="428" w:type="pct"/>
            <w:tcBorders>
              <w:top w:val="single" w:sz="4" w:space="0" w:color="auto"/>
              <w:left w:val="single" w:sz="4" w:space="0" w:color="auto"/>
              <w:bottom w:val="single" w:sz="4" w:space="0" w:color="auto"/>
              <w:right w:val="single" w:sz="4" w:space="0" w:color="auto"/>
            </w:tcBorders>
            <w:vAlign w:val="center"/>
          </w:tcPr>
          <w:p w14:paraId="3F7C4053" w14:textId="3EF9C8B6" w:rsidR="00A55F23" w:rsidRPr="006822CA" w:rsidRDefault="00A55F23" w:rsidP="00A55F23">
            <w:pPr>
              <w:jc w:val="right"/>
              <w:rPr>
                <w:rFonts w:cs="Arial"/>
                <w:szCs w:val="24"/>
              </w:rPr>
            </w:pPr>
            <w:r w:rsidRPr="007D2BA9">
              <w:rPr>
                <w:rFonts w:cs="Arial"/>
              </w:rPr>
              <w:t>(</w:t>
            </w:r>
            <w:r>
              <w:rPr>
                <w:rFonts w:cs="Arial"/>
              </w:rPr>
              <w:t>4</w:t>
            </w:r>
            <w:r w:rsidRPr="007D2BA9">
              <w:rPr>
                <w:rFonts w:cs="Arial"/>
              </w:rPr>
              <w:t>,</w:t>
            </w:r>
            <w:r>
              <w:rPr>
                <w:rFonts w:cs="Arial"/>
              </w:rPr>
              <w:t>261</w:t>
            </w:r>
            <w:r w:rsidRPr="007D2BA9">
              <w:rPr>
                <w:rFonts w:cs="Arial"/>
              </w:rPr>
              <w:t>)</w:t>
            </w:r>
          </w:p>
        </w:tc>
        <w:tc>
          <w:tcPr>
            <w:tcW w:w="490" w:type="pct"/>
            <w:tcBorders>
              <w:top w:val="single" w:sz="4" w:space="0" w:color="auto"/>
              <w:left w:val="single" w:sz="4" w:space="0" w:color="auto"/>
              <w:bottom w:val="single" w:sz="4" w:space="0" w:color="auto"/>
              <w:right w:val="single" w:sz="4" w:space="0" w:color="auto"/>
            </w:tcBorders>
            <w:vAlign w:val="center"/>
          </w:tcPr>
          <w:p w14:paraId="1CBC8D84" w14:textId="022FFC24"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88DC0DF" w14:textId="4B81904A" w:rsidR="00A55F23" w:rsidRPr="006822CA" w:rsidRDefault="00A55F23" w:rsidP="00A55F23">
            <w:pPr>
              <w:jc w:val="right"/>
              <w:rPr>
                <w:rFonts w:cs="Arial"/>
                <w:szCs w:val="24"/>
              </w:rPr>
            </w:pPr>
            <w:r w:rsidRPr="007D2BA9">
              <w:rPr>
                <w:rFonts w:cs="Arial"/>
              </w:rPr>
              <w:t>(</w:t>
            </w:r>
            <w:r>
              <w:rPr>
                <w:rFonts w:cs="Arial"/>
              </w:rPr>
              <w:t>4</w:t>
            </w:r>
            <w:r w:rsidRPr="007D2BA9">
              <w:rPr>
                <w:rFonts w:cs="Arial"/>
              </w:rPr>
              <w:t>,</w:t>
            </w:r>
            <w:r>
              <w:rPr>
                <w:rFonts w:cs="Arial"/>
              </w:rPr>
              <w:t>261</w:t>
            </w:r>
            <w:r w:rsidRPr="007D2BA9">
              <w:rPr>
                <w:rFonts w:cs="Arial"/>
              </w:rPr>
              <w:t>)</w:t>
            </w:r>
          </w:p>
        </w:tc>
        <w:tc>
          <w:tcPr>
            <w:tcW w:w="449" w:type="pct"/>
            <w:tcBorders>
              <w:top w:val="single" w:sz="4" w:space="0" w:color="auto"/>
              <w:left w:val="single" w:sz="4" w:space="0" w:color="auto"/>
              <w:bottom w:val="single" w:sz="4" w:space="0" w:color="auto"/>
              <w:right w:val="single" w:sz="4" w:space="0" w:color="auto"/>
            </w:tcBorders>
            <w:vAlign w:val="center"/>
          </w:tcPr>
          <w:p w14:paraId="71071717" w14:textId="6389AC14"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380DB369" w14:textId="69535C05"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00A885E9" w14:textId="5A9DF0FB" w:rsidR="00A55F23" w:rsidRPr="006822CA" w:rsidRDefault="00A55F23" w:rsidP="00A55F23">
            <w:pPr>
              <w:jc w:val="right"/>
              <w:rPr>
                <w:rFonts w:cs="Arial"/>
                <w:szCs w:val="24"/>
              </w:rPr>
            </w:pPr>
            <w:r w:rsidRPr="007D2BA9">
              <w:rPr>
                <w:rFonts w:cs="Arial"/>
              </w:rPr>
              <w:t>(4,261)</w:t>
            </w:r>
          </w:p>
        </w:tc>
        <w:tc>
          <w:tcPr>
            <w:tcW w:w="448" w:type="pct"/>
            <w:tcBorders>
              <w:top w:val="single" w:sz="4" w:space="0" w:color="auto"/>
              <w:left w:val="single" w:sz="4" w:space="0" w:color="auto"/>
              <w:bottom w:val="single" w:sz="4" w:space="0" w:color="auto"/>
              <w:right w:val="single" w:sz="4" w:space="0" w:color="auto"/>
            </w:tcBorders>
            <w:vAlign w:val="center"/>
          </w:tcPr>
          <w:p w14:paraId="5C25E90D" w14:textId="499A8A39" w:rsidR="00A55F23" w:rsidRPr="006822CA" w:rsidRDefault="00A55F23" w:rsidP="00A55F23">
            <w:pPr>
              <w:jc w:val="right"/>
              <w:rPr>
                <w:rFonts w:cs="Arial"/>
                <w:szCs w:val="24"/>
              </w:rPr>
            </w:pPr>
            <w:r w:rsidRPr="007D2BA9">
              <w:rPr>
                <w:rFonts w:cs="Arial"/>
              </w:rPr>
              <w:t>4,261</w:t>
            </w:r>
          </w:p>
        </w:tc>
        <w:tc>
          <w:tcPr>
            <w:tcW w:w="446" w:type="pct"/>
            <w:tcBorders>
              <w:top w:val="single" w:sz="4" w:space="0" w:color="auto"/>
              <w:left w:val="single" w:sz="4" w:space="0" w:color="auto"/>
              <w:bottom w:val="single" w:sz="4" w:space="0" w:color="auto"/>
              <w:right w:val="single" w:sz="4" w:space="0" w:color="auto"/>
            </w:tcBorders>
            <w:vAlign w:val="center"/>
          </w:tcPr>
          <w:p w14:paraId="356A7469" w14:textId="779E3307" w:rsidR="00A55F23" w:rsidRPr="006822CA" w:rsidRDefault="00A55F23" w:rsidP="00A55F23">
            <w:pPr>
              <w:jc w:val="right"/>
              <w:rPr>
                <w:rFonts w:cs="Arial"/>
                <w:szCs w:val="24"/>
              </w:rPr>
            </w:pPr>
            <w:r w:rsidRPr="007D2BA9">
              <w:rPr>
                <w:rFonts w:cs="Arial"/>
              </w:rPr>
              <w:t>-</w:t>
            </w:r>
          </w:p>
        </w:tc>
      </w:tr>
      <w:tr w:rsidR="00A55F23" w:rsidRPr="00D948C1" w14:paraId="61454401" w14:textId="77777777" w:rsidTr="004B699A">
        <w:tc>
          <w:tcPr>
            <w:tcW w:w="1455" w:type="pct"/>
            <w:tcBorders>
              <w:top w:val="single" w:sz="4" w:space="0" w:color="auto"/>
              <w:left w:val="single" w:sz="4" w:space="0" w:color="auto"/>
              <w:bottom w:val="single" w:sz="4" w:space="0" w:color="auto"/>
              <w:right w:val="single" w:sz="4" w:space="0" w:color="auto"/>
            </w:tcBorders>
            <w:vAlign w:val="center"/>
          </w:tcPr>
          <w:p w14:paraId="46DA8AFF" w14:textId="4784682B" w:rsidR="00A55F23" w:rsidRPr="006822CA" w:rsidRDefault="00A55F23" w:rsidP="00A55F23">
            <w:pPr>
              <w:rPr>
                <w:rFonts w:cs="Arial"/>
                <w:szCs w:val="24"/>
              </w:rPr>
            </w:pPr>
            <w:r w:rsidRPr="007D2BA9">
              <w:rPr>
                <w:rFonts w:cs="Arial"/>
              </w:rPr>
              <w:t>Amount by which the Code and the statutory pension costs differ</w:t>
            </w:r>
          </w:p>
        </w:tc>
        <w:tc>
          <w:tcPr>
            <w:tcW w:w="428" w:type="pct"/>
            <w:tcBorders>
              <w:top w:val="single" w:sz="4" w:space="0" w:color="auto"/>
              <w:left w:val="single" w:sz="4" w:space="0" w:color="auto"/>
              <w:bottom w:val="single" w:sz="4" w:space="0" w:color="auto"/>
              <w:right w:val="single" w:sz="4" w:space="0" w:color="auto"/>
            </w:tcBorders>
            <w:vAlign w:val="center"/>
          </w:tcPr>
          <w:p w14:paraId="49132464" w14:textId="50D1E714" w:rsidR="00A55F23" w:rsidRPr="006822CA" w:rsidRDefault="00A55F23" w:rsidP="00A55F23">
            <w:pPr>
              <w:jc w:val="right"/>
              <w:rPr>
                <w:rFonts w:cs="Arial"/>
                <w:szCs w:val="24"/>
              </w:rPr>
            </w:pPr>
            <w:r w:rsidRPr="007D2BA9">
              <w:rPr>
                <w:rFonts w:cs="Arial"/>
              </w:rPr>
              <w:t>3,709</w:t>
            </w:r>
          </w:p>
        </w:tc>
        <w:tc>
          <w:tcPr>
            <w:tcW w:w="490" w:type="pct"/>
            <w:tcBorders>
              <w:top w:val="single" w:sz="4" w:space="0" w:color="auto"/>
              <w:left w:val="single" w:sz="4" w:space="0" w:color="auto"/>
              <w:bottom w:val="single" w:sz="4" w:space="0" w:color="auto"/>
              <w:right w:val="single" w:sz="4" w:space="0" w:color="auto"/>
            </w:tcBorders>
            <w:vAlign w:val="center"/>
          </w:tcPr>
          <w:p w14:paraId="7E67DC4D" w14:textId="0F876FCD"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717B7D37" w14:textId="6E893AC3" w:rsidR="00A55F23" w:rsidRPr="006822CA" w:rsidRDefault="00A55F23" w:rsidP="00A55F23">
            <w:pPr>
              <w:jc w:val="right"/>
              <w:rPr>
                <w:rFonts w:cs="Arial"/>
                <w:szCs w:val="24"/>
              </w:rPr>
            </w:pPr>
            <w:r w:rsidRPr="007D2BA9">
              <w:rPr>
                <w:rFonts w:cs="Arial"/>
              </w:rPr>
              <w:t>3,709</w:t>
            </w:r>
          </w:p>
        </w:tc>
        <w:tc>
          <w:tcPr>
            <w:tcW w:w="449" w:type="pct"/>
            <w:tcBorders>
              <w:top w:val="single" w:sz="4" w:space="0" w:color="auto"/>
              <w:left w:val="single" w:sz="4" w:space="0" w:color="auto"/>
              <w:bottom w:val="single" w:sz="4" w:space="0" w:color="auto"/>
              <w:right w:val="single" w:sz="4" w:space="0" w:color="auto"/>
            </w:tcBorders>
            <w:vAlign w:val="center"/>
          </w:tcPr>
          <w:p w14:paraId="207450E0" w14:textId="1A32BBC9"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294F6F4D" w14:textId="6472609E" w:rsidR="00A55F23" w:rsidRPr="006822CA" w:rsidRDefault="00A55F23" w:rsidP="00A55F23">
            <w:pPr>
              <w:jc w:val="right"/>
              <w:rPr>
                <w:rFonts w:cs="Arial"/>
                <w:szCs w:val="24"/>
              </w:rPr>
            </w:pPr>
            <w:r w:rsidRPr="007D2BA9">
              <w:rPr>
                <w:rFonts w:cs="Arial"/>
              </w:rPr>
              <w:t>-</w:t>
            </w:r>
          </w:p>
        </w:tc>
        <w:tc>
          <w:tcPr>
            <w:tcW w:w="428" w:type="pct"/>
            <w:tcBorders>
              <w:top w:val="single" w:sz="4" w:space="0" w:color="auto"/>
              <w:left w:val="single" w:sz="4" w:space="0" w:color="auto"/>
              <w:bottom w:val="single" w:sz="4" w:space="0" w:color="auto"/>
              <w:right w:val="single" w:sz="4" w:space="0" w:color="auto"/>
            </w:tcBorders>
            <w:vAlign w:val="center"/>
          </w:tcPr>
          <w:p w14:paraId="676DB337" w14:textId="57B2800A" w:rsidR="00A55F23" w:rsidRPr="006822CA" w:rsidRDefault="00A55F23" w:rsidP="00A55F23">
            <w:pPr>
              <w:jc w:val="right"/>
              <w:rPr>
                <w:rFonts w:cs="Arial"/>
                <w:szCs w:val="24"/>
              </w:rPr>
            </w:pPr>
            <w:r w:rsidRPr="007D2BA9">
              <w:rPr>
                <w:rFonts w:cs="Arial"/>
              </w:rPr>
              <w:t>3,709</w:t>
            </w:r>
          </w:p>
        </w:tc>
        <w:tc>
          <w:tcPr>
            <w:tcW w:w="448" w:type="pct"/>
            <w:tcBorders>
              <w:top w:val="single" w:sz="4" w:space="0" w:color="auto"/>
              <w:left w:val="single" w:sz="4" w:space="0" w:color="auto"/>
              <w:bottom w:val="single" w:sz="4" w:space="0" w:color="auto"/>
              <w:right w:val="single" w:sz="4" w:space="0" w:color="auto"/>
            </w:tcBorders>
            <w:vAlign w:val="center"/>
          </w:tcPr>
          <w:p w14:paraId="76812170" w14:textId="352BDD61" w:rsidR="00A55F23" w:rsidRPr="006822CA" w:rsidRDefault="00A55F23" w:rsidP="00A55F23">
            <w:pPr>
              <w:jc w:val="right"/>
              <w:rPr>
                <w:rFonts w:cs="Arial"/>
                <w:szCs w:val="24"/>
              </w:rPr>
            </w:pPr>
            <w:r w:rsidRPr="007D2BA9">
              <w:rPr>
                <w:rFonts w:cs="Arial"/>
              </w:rPr>
              <w:t>(3,709)</w:t>
            </w:r>
          </w:p>
        </w:tc>
        <w:tc>
          <w:tcPr>
            <w:tcW w:w="446" w:type="pct"/>
            <w:tcBorders>
              <w:top w:val="single" w:sz="4" w:space="0" w:color="auto"/>
              <w:left w:val="single" w:sz="4" w:space="0" w:color="auto"/>
              <w:bottom w:val="single" w:sz="4" w:space="0" w:color="auto"/>
              <w:right w:val="single" w:sz="4" w:space="0" w:color="auto"/>
            </w:tcBorders>
            <w:vAlign w:val="center"/>
          </w:tcPr>
          <w:p w14:paraId="52ECCB6F" w14:textId="0743247B" w:rsidR="00A55F23" w:rsidRPr="006822CA" w:rsidRDefault="00A55F23" w:rsidP="00A55F23">
            <w:pPr>
              <w:jc w:val="right"/>
              <w:rPr>
                <w:rFonts w:cs="Arial"/>
                <w:szCs w:val="24"/>
              </w:rPr>
            </w:pPr>
            <w:r w:rsidRPr="007D2BA9">
              <w:rPr>
                <w:rFonts w:cs="Arial"/>
              </w:rPr>
              <w:t>-</w:t>
            </w:r>
          </w:p>
        </w:tc>
      </w:tr>
    </w:tbl>
    <w:p w14:paraId="7A8F6265" w14:textId="77777777" w:rsidR="00C9086E" w:rsidRDefault="00C9086E">
      <w:r>
        <w:br w:type="page"/>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1218"/>
        <w:gridCol w:w="1396"/>
        <w:gridCol w:w="1276"/>
        <w:gridCol w:w="1281"/>
        <w:gridCol w:w="1218"/>
        <w:gridCol w:w="1218"/>
        <w:gridCol w:w="1276"/>
        <w:gridCol w:w="1276"/>
      </w:tblGrid>
      <w:tr w:rsidR="003A40B1" w:rsidRPr="00D948C1" w14:paraId="18F549B5" w14:textId="77777777" w:rsidTr="003A40B1">
        <w:trPr>
          <w:trHeight w:val="243"/>
        </w:trPr>
        <w:tc>
          <w:tcPr>
            <w:tcW w:w="1448" w:type="pct"/>
            <w:shd w:val="clear" w:color="auto" w:fill="BD2716"/>
          </w:tcPr>
          <w:p w14:paraId="07570DB5" w14:textId="766E2507" w:rsidR="005F7D2D" w:rsidRPr="00D948C1" w:rsidRDefault="005F7D2D" w:rsidP="00FA18E2">
            <w:pPr>
              <w:rPr>
                <w:rFonts w:cs="Arial"/>
                <w:b/>
                <w:bCs/>
                <w:color w:val="FFFFFF" w:themeColor="background1"/>
                <w:szCs w:val="24"/>
              </w:rPr>
            </w:pPr>
          </w:p>
        </w:tc>
        <w:tc>
          <w:tcPr>
            <w:tcW w:w="426" w:type="pct"/>
            <w:shd w:val="clear" w:color="auto" w:fill="BD2716"/>
            <w:vAlign w:val="center"/>
          </w:tcPr>
          <w:p w14:paraId="15AD7F5D"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General fund</w:t>
            </w:r>
          </w:p>
          <w:p w14:paraId="31B59034" w14:textId="3BFBE116"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88" w:type="pct"/>
            <w:shd w:val="clear" w:color="auto" w:fill="BD2716"/>
            <w:vAlign w:val="center"/>
          </w:tcPr>
          <w:p w14:paraId="48F6DBB6"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Earmarked reserves</w:t>
            </w:r>
          </w:p>
          <w:p w14:paraId="1D69DE41" w14:textId="4157C356"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5EED9B7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General Fund Balance</w:t>
            </w:r>
          </w:p>
          <w:p w14:paraId="01802268" w14:textId="5C734E7F"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8" w:type="pct"/>
            <w:shd w:val="clear" w:color="auto" w:fill="BD2716"/>
            <w:vAlign w:val="center"/>
          </w:tcPr>
          <w:p w14:paraId="4C31F05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grant unapplied reserve</w:t>
            </w:r>
          </w:p>
          <w:p w14:paraId="4D241E6C" w14:textId="32DF582F"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26" w:type="pct"/>
            <w:shd w:val="clear" w:color="auto" w:fill="BD2716"/>
            <w:vAlign w:val="center"/>
          </w:tcPr>
          <w:p w14:paraId="3D46DD97"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Capital receipts reserve</w:t>
            </w:r>
          </w:p>
          <w:p w14:paraId="7DB0012A" w14:textId="62AFAD84"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26" w:type="pct"/>
            <w:shd w:val="clear" w:color="auto" w:fill="BD2716"/>
            <w:vAlign w:val="center"/>
          </w:tcPr>
          <w:p w14:paraId="08A07B9F"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usable reserves</w:t>
            </w:r>
          </w:p>
          <w:p w14:paraId="6429AE61" w14:textId="0FB32E00"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67F8620E"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Unusable reserves</w:t>
            </w:r>
          </w:p>
          <w:p w14:paraId="2E139E79" w14:textId="372B5337"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c>
          <w:tcPr>
            <w:tcW w:w="446" w:type="pct"/>
            <w:shd w:val="clear" w:color="auto" w:fill="BD2716"/>
            <w:vAlign w:val="center"/>
          </w:tcPr>
          <w:p w14:paraId="4C897C7D" w14:textId="77777777" w:rsidR="005F7D2D" w:rsidRPr="00D948C1" w:rsidRDefault="005F7D2D" w:rsidP="00611673">
            <w:pPr>
              <w:jc w:val="right"/>
              <w:rPr>
                <w:rFonts w:cs="Arial"/>
                <w:color w:val="FFFFFF" w:themeColor="background1"/>
                <w:szCs w:val="24"/>
              </w:rPr>
            </w:pPr>
            <w:r w:rsidRPr="00D948C1">
              <w:rPr>
                <w:rFonts w:cs="Arial"/>
                <w:color w:val="FFFFFF" w:themeColor="background1"/>
                <w:szCs w:val="24"/>
              </w:rPr>
              <w:t>Total Authority reserves</w:t>
            </w:r>
          </w:p>
          <w:p w14:paraId="41B35CA0" w14:textId="517996E9" w:rsidR="005F7D2D" w:rsidRPr="00D948C1" w:rsidRDefault="005F7D2D" w:rsidP="00611673">
            <w:pPr>
              <w:jc w:val="right"/>
              <w:rPr>
                <w:rFonts w:cs="Arial"/>
                <w:b/>
                <w:bCs/>
                <w:color w:val="FFFFFF" w:themeColor="background1"/>
                <w:szCs w:val="24"/>
              </w:rPr>
            </w:pPr>
            <w:r w:rsidRPr="00D948C1">
              <w:rPr>
                <w:rFonts w:cs="Arial"/>
                <w:color w:val="FFFFFF" w:themeColor="background1"/>
                <w:szCs w:val="24"/>
              </w:rPr>
              <w:t>£000</w:t>
            </w:r>
          </w:p>
        </w:tc>
      </w:tr>
      <w:tr w:rsidR="00E66115" w:rsidRPr="00D948C1" w14:paraId="2E91ED86" w14:textId="77777777" w:rsidTr="003A40B1">
        <w:trPr>
          <w:trHeight w:val="243"/>
        </w:trPr>
        <w:tc>
          <w:tcPr>
            <w:tcW w:w="1448" w:type="pct"/>
            <w:vAlign w:val="center"/>
          </w:tcPr>
          <w:p w14:paraId="44D08273" w14:textId="1CFA54C2" w:rsidR="00E66115" w:rsidRPr="00D948C1" w:rsidRDefault="00E66115" w:rsidP="00E66115">
            <w:pPr>
              <w:rPr>
                <w:rFonts w:cs="Arial"/>
                <w:b/>
                <w:bCs/>
                <w:szCs w:val="24"/>
              </w:rPr>
            </w:pPr>
            <w:r w:rsidRPr="00D948C1">
              <w:rPr>
                <w:rFonts w:cs="Arial"/>
                <w:szCs w:val="24"/>
              </w:rPr>
              <w:t>Amount by which the Code and the statutory collection fund income differ</w:t>
            </w:r>
          </w:p>
        </w:tc>
        <w:tc>
          <w:tcPr>
            <w:tcW w:w="426" w:type="pct"/>
            <w:vAlign w:val="center"/>
          </w:tcPr>
          <w:p w14:paraId="0E2951B8" w14:textId="6E254E05" w:rsidR="00E66115" w:rsidRPr="006822CA" w:rsidRDefault="00E66115" w:rsidP="00E66115">
            <w:pPr>
              <w:jc w:val="right"/>
              <w:rPr>
                <w:rFonts w:cs="Arial"/>
                <w:b/>
                <w:bCs/>
                <w:szCs w:val="24"/>
              </w:rPr>
            </w:pPr>
            <w:r w:rsidRPr="00BB7FAB">
              <w:rPr>
                <w:rFonts w:cs="Arial"/>
                <w:szCs w:val="24"/>
              </w:rPr>
              <w:t>(472)</w:t>
            </w:r>
          </w:p>
        </w:tc>
        <w:tc>
          <w:tcPr>
            <w:tcW w:w="488" w:type="pct"/>
            <w:vAlign w:val="center"/>
          </w:tcPr>
          <w:p w14:paraId="6230AE73" w14:textId="2DFA1731" w:rsidR="00E66115" w:rsidRPr="006822CA" w:rsidRDefault="00E66115" w:rsidP="00E66115">
            <w:pPr>
              <w:jc w:val="right"/>
              <w:rPr>
                <w:rFonts w:cs="Arial"/>
                <w:b/>
                <w:bCs/>
                <w:szCs w:val="24"/>
              </w:rPr>
            </w:pPr>
            <w:r w:rsidRPr="00BB7FAB">
              <w:rPr>
                <w:rFonts w:cs="Arial"/>
                <w:szCs w:val="24"/>
              </w:rPr>
              <w:t>-</w:t>
            </w:r>
          </w:p>
        </w:tc>
        <w:tc>
          <w:tcPr>
            <w:tcW w:w="446" w:type="pct"/>
            <w:vAlign w:val="center"/>
          </w:tcPr>
          <w:p w14:paraId="00A14ADF" w14:textId="55E76373" w:rsidR="00E66115" w:rsidRPr="006822CA" w:rsidRDefault="00E66115" w:rsidP="00E66115">
            <w:pPr>
              <w:jc w:val="right"/>
              <w:rPr>
                <w:rFonts w:cs="Arial"/>
                <w:b/>
                <w:bCs/>
                <w:szCs w:val="24"/>
              </w:rPr>
            </w:pPr>
            <w:r w:rsidRPr="00BB7FAB">
              <w:rPr>
                <w:rFonts w:cs="Arial"/>
                <w:szCs w:val="24"/>
              </w:rPr>
              <w:t>(472)</w:t>
            </w:r>
          </w:p>
        </w:tc>
        <w:tc>
          <w:tcPr>
            <w:tcW w:w="448" w:type="pct"/>
            <w:vAlign w:val="center"/>
          </w:tcPr>
          <w:p w14:paraId="1B6E6F07" w14:textId="0EE5A73B" w:rsidR="00E66115" w:rsidRPr="006822CA" w:rsidRDefault="00E66115" w:rsidP="00E66115">
            <w:pPr>
              <w:jc w:val="right"/>
              <w:rPr>
                <w:rFonts w:cs="Arial"/>
                <w:b/>
                <w:bCs/>
                <w:szCs w:val="24"/>
              </w:rPr>
            </w:pPr>
            <w:r w:rsidRPr="00BB7FAB">
              <w:rPr>
                <w:rFonts w:cs="Arial"/>
                <w:szCs w:val="24"/>
              </w:rPr>
              <w:t>-</w:t>
            </w:r>
          </w:p>
        </w:tc>
        <w:tc>
          <w:tcPr>
            <w:tcW w:w="426" w:type="pct"/>
            <w:vAlign w:val="center"/>
          </w:tcPr>
          <w:p w14:paraId="76A60F1F" w14:textId="7C98779F" w:rsidR="00E66115" w:rsidRPr="006822CA" w:rsidRDefault="00E66115" w:rsidP="00E66115">
            <w:pPr>
              <w:jc w:val="right"/>
              <w:rPr>
                <w:rFonts w:cs="Arial"/>
                <w:b/>
                <w:bCs/>
                <w:szCs w:val="24"/>
              </w:rPr>
            </w:pPr>
            <w:r w:rsidRPr="00BB7FAB">
              <w:rPr>
                <w:rFonts w:cs="Arial"/>
                <w:szCs w:val="24"/>
              </w:rPr>
              <w:t>-</w:t>
            </w:r>
          </w:p>
        </w:tc>
        <w:tc>
          <w:tcPr>
            <w:tcW w:w="426" w:type="pct"/>
            <w:vAlign w:val="center"/>
          </w:tcPr>
          <w:p w14:paraId="5B9EFF36" w14:textId="1CF61A26" w:rsidR="00E66115" w:rsidRPr="006822CA" w:rsidRDefault="00E66115" w:rsidP="00E66115">
            <w:pPr>
              <w:jc w:val="right"/>
              <w:rPr>
                <w:rFonts w:cs="Arial"/>
                <w:b/>
                <w:bCs/>
                <w:szCs w:val="24"/>
              </w:rPr>
            </w:pPr>
            <w:r w:rsidRPr="00BB7FAB">
              <w:rPr>
                <w:rFonts w:cs="Arial"/>
                <w:szCs w:val="24"/>
              </w:rPr>
              <w:t>(472)</w:t>
            </w:r>
          </w:p>
        </w:tc>
        <w:tc>
          <w:tcPr>
            <w:tcW w:w="446" w:type="pct"/>
            <w:vAlign w:val="center"/>
          </w:tcPr>
          <w:p w14:paraId="7DB1AAA2" w14:textId="04A5F1E0" w:rsidR="00E66115" w:rsidRPr="006822CA" w:rsidRDefault="00E66115" w:rsidP="00E66115">
            <w:pPr>
              <w:jc w:val="right"/>
              <w:rPr>
                <w:rFonts w:cs="Arial"/>
                <w:b/>
                <w:bCs/>
                <w:szCs w:val="24"/>
              </w:rPr>
            </w:pPr>
            <w:r w:rsidRPr="00BB7FAB">
              <w:rPr>
                <w:rFonts w:cs="Arial"/>
                <w:szCs w:val="24"/>
              </w:rPr>
              <w:t>472</w:t>
            </w:r>
          </w:p>
        </w:tc>
        <w:tc>
          <w:tcPr>
            <w:tcW w:w="446" w:type="pct"/>
            <w:vAlign w:val="center"/>
          </w:tcPr>
          <w:p w14:paraId="23EBF7E6" w14:textId="528A7B83" w:rsidR="00E66115" w:rsidRPr="006822CA" w:rsidRDefault="00E66115" w:rsidP="00E66115">
            <w:pPr>
              <w:jc w:val="right"/>
              <w:rPr>
                <w:rFonts w:cs="Arial"/>
                <w:b/>
                <w:bCs/>
                <w:szCs w:val="24"/>
              </w:rPr>
            </w:pPr>
            <w:r w:rsidRPr="00BB7FAB">
              <w:rPr>
                <w:rFonts w:cs="Arial"/>
                <w:szCs w:val="24"/>
              </w:rPr>
              <w:t>-</w:t>
            </w:r>
          </w:p>
        </w:tc>
      </w:tr>
      <w:tr w:rsidR="00E66115" w:rsidRPr="00D948C1" w14:paraId="2B401723" w14:textId="77777777" w:rsidTr="003A40B1">
        <w:tc>
          <w:tcPr>
            <w:tcW w:w="1448" w:type="pct"/>
            <w:vAlign w:val="center"/>
          </w:tcPr>
          <w:p w14:paraId="59BDF1A5" w14:textId="19174B3D" w:rsidR="00E66115" w:rsidRPr="00D948C1" w:rsidRDefault="00E66115" w:rsidP="00E66115">
            <w:pPr>
              <w:rPr>
                <w:rFonts w:cs="Arial"/>
                <w:b/>
                <w:bCs/>
                <w:szCs w:val="24"/>
              </w:rPr>
            </w:pPr>
            <w:r>
              <w:rPr>
                <w:rFonts w:cs="Arial"/>
                <w:szCs w:val="24"/>
              </w:rPr>
              <w:t>Accumulated absences</w:t>
            </w:r>
          </w:p>
        </w:tc>
        <w:tc>
          <w:tcPr>
            <w:tcW w:w="426" w:type="pct"/>
            <w:vAlign w:val="center"/>
          </w:tcPr>
          <w:p w14:paraId="66EC3ED3" w14:textId="0C95A6A5" w:rsidR="00E66115" w:rsidRPr="006822CA" w:rsidRDefault="00E66115" w:rsidP="00E66115">
            <w:pPr>
              <w:jc w:val="right"/>
              <w:rPr>
                <w:rFonts w:cs="Arial"/>
                <w:b/>
                <w:bCs/>
                <w:szCs w:val="24"/>
              </w:rPr>
            </w:pPr>
            <w:r w:rsidRPr="00BB7FAB">
              <w:rPr>
                <w:rFonts w:cs="Arial"/>
                <w:szCs w:val="24"/>
              </w:rPr>
              <w:t>(258)</w:t>
            </w:r>
          </w:p>
        </w:tc>
        <w:tc>
          <w:tcPr>
            <w:tcW w:w="488" w:type="pct"/>
            <w:vAlign w:val="center"/>
          </w:tcPr>
          <w:p w14:paraId="10331679" w14:textId="3FE1E7A9" w:rsidR="00E66115" w:rsidRPr="006822CA" w:rsidRDefault="00E66115" w:rsidP="00E66115">
            <w:pPr>
              <w:jc w:val="right"/>
              <w:rPr>
                <w:rFonts w:cs="Arial"/>
                <w:b/>
                <w:bCs/>
                <w:szCs w:val="24"/>
              </w:rPr>
            </w:pPr>
            <w:r w:rsidRPr="00BB7FAB">
              <w:rPr>
                <w:rFonts w:cs="Arial"/>
                <w:szCs w:val="24"/>
              </w:rPr>
              <w:t>-</w:t>
            </w:r>
          </w:p>
        </w:tc>
        <w:tc>
          <w:tcPr>
            <w:tcW w:w="446" w:type="pct"/>
            <w:vAlign w:val="center"/>
          </w:tcPr>
          <w:p w14:paraId="12F1D010" w14:textId="6AA591D0" w:rsidR="00E66115" w:rsidRPr="006822CA" w:rsidRDefault="00E66115" w:rsidP="00E66115">
            <w:pPr>
              <w:jc w:val="right"/>
              <w:rPr>
                <w:rFonts w:cs="Arial"/>
                <w:b/>
                <w:bCs/>
                <w:szCs w:val="24"/>
              </w:rPr>
            </w:pPr>
            <w:r w:rsidRPr="00BB7FAB">
              <w:rPr>
                <w:rFonts w:cs="Arial"/>
                <w:szCs w:val="24"/>
              </w:rPr>
              <w:t>(258)</w:t>
            </w:r>
          </w:p>
        </w:tc>
        <w:tc>
          <w:tcPr>
            <w:tcW w:w="448" w:type="pct"/>
            <w:vAlign w:val="center"/>
          </w:tcPr>
          <w:p w14:paraId="61C7C0D0" w14:textId="2D3C848D" w:rsidR="00E66115" w:rsidRPr="006822CA" w:rsidRDefault="00E66115" w:rsidP="00E66115">
            <w:pPr>
              <w:jc w:val="right"/>
              <w:rPr>
                <w:rFonts w:cs="Arial"/>
                <w:b/>
                <w:bCs/>
                <w:szCs w:val="24"/>
              </w:rPr>
            </w:pPr>
            <w:r w:rsidRPr="00BB7FAB">
              <w:rPr>
                <w:rFonts w:cs="Arial"/>
                <w:szCs w:val="24"/>
              </w:rPr>
              <w:t>-</w:t>
            </w:r>
          </w:p>
        </w:tc>
        <w:tc>
          <w:tcPr>
            <w:tcW w:w="426" w:type="pct"/>
            <w:vAlign w:val="center"/>
          </w:tcPr>
          <w:p w14:paraId="473CE4F2" w14:textId="2F7E8C0A" w:rsidR="00E66115" w:rsidRPr="006822CA" w:rsidRDefault="00E66115" w:rsidP="00E66115">
            <w:pPr>
              <w:jc w:val="right"/>
              <w:rPr>
                <w:rFonts w:cs="Arial"/>
                <w:b/>
                <w:bCs/>
                <w:szCs w:val="24"/>
              </w:rPr>
            </w:pPr>
            <w:r w:rsidRPr="00BB7FAB">
              <w:rPr>
                <w:rFonts w:cs="Arial"/>
                <w:szCs w:val="24"/>
              </w:rPr>
              <w:t>-</w:t>
            </w:r>
          </w:p>
        </w:tc>
        <w:tc>
          <w:tcPr>
            <w:tcW w:w="426" w:type="pct"/>
            <w:vAlign w:val="center"/>
          </w:tcPr>
          <w:p w14:paraId="0627FBA6" w14:textId="381BA47B" w:rsidR="00E66115" w:rsidRPr="006822CA" w:rsidRDefault="00E66115" w:rsidP="00E66115">
            <w:pPr>
              <w:jc w:val="right"/>
              <w:rPr>
                <w:rFonts w:cs="Arial"/>
                <w:b/>
                <w:bCs/>
                <w:szCs w:val="24"/>
              </w:rPr>
            </w:pPr>
            <w:r w:rsidRPr="00BB7FAB">
              <w:rPr>
                <w:rFonts w:cs="Arial"/>
                <w:szCs w:val="24"/>
              </w:rPr>
              <w:t>(258)</w:t>
            </w:r>
          </w:p>
        </w:tc>
        <w:tc>
          <w:tcPr>
            <w:tcW w:w="446" w:type="pct"/>
            <w:vAlign w:val="center"/>
          </w:tcPr>
          <w:p w14:paraId="46EDB9B7" w14:textId="6A6EE3F0" w:rsidR="00E66115" w:rsidRPr="006822CA" w:rsidRDefault="00E66115" w:rsidP="00E66115">
            <w:pPr>
              <w:jc w:val="right"/>
              <w:rPr>
                <w:rFonts w:cs="Arial"/>
                <w:b/>
                <w:bCs/>
                <w:szCs w:val="24"/>
              </w:rPr>
            </w:pPr>
            <w:r w:rsidRPr="00BB7FAB">
              <w:rPr>
                <w:rFonts w:cs="Arial"/>
                <w:szCs w:val="24"/>
              </w:rPr>
              <w:t>258</w:t>
            </w:r>
          </w:p>
        </w:tc>
        <w:tc>
          <w:tcPr>
            <w:tcW w:w="446" w:type="pct"/>
            <w:vAlign w:val="center"/>
          </w:tcPr>
          <w:p w14:paraId="28FA73FA" w14:textId="09E69EA5" w:rsidR="00E66115" w:rsidRPr="006822CA" w:rsidRDefault="00E66115" w:rsidP="00E66115">
            <w:pPr>
              <w:jc w:val="right"/>
              <w:rPr>
                <w:rFonts w:cs="Arial"/>
                <w:b/>
                <w:bCs/>
                <w:szCs w:val="24"/>
              </w:rPr>
            </w:pPr>
            <w:r w:rsidRPr="00BB7FAB">
              <w:rPr>
                <w:rFonts w:cs="Arial"/>
                <w:szCs w:val="24"/>
              </w:rPr>
              <w:t>-</w:t>
            </w:r>
          </w:p>
        </w:tc>
      </w:tr>
      <w:tr w:rsidR="00E66115" w:rsidRPr="00D948C1" w14:paraId="4B0A7D01" w14:textId="77777777" w:rsidTr="003A40B1">
        <w:tc>
          <w:tcPr>
            <w:tcW w:w="1448" w:type="pct"/>
            <w:vAlign w:val="center"/>
          </w:tcPr>
          <w:p w14:paraId="3967B4B8" w14:textId="7147F9C8" w:rsidR="00E66115" w:rsidRPr="00D948C1" w:rsidRDefault="00E66115" w:rsidP="00E66115">
            <w:pPr>
              <w:rPr>
                <w:rFonts w:cs="Arial"/>
                <w:szCs w:val="24"/>
              </w:rPr>
            </w:pPr>
            <w:r w:rsidRPr="00D948C1">
              <w:rPr>
                <w:rFonts w:cs="Arial"/>
                <w:b/>
                <w:bCs/>
                <w:szCs w:val="24"/>
              </w:rPr>
              <w:t>Adjustments total</w:t>
            </w:r>
          </w:p>
        </w:tc>
        <w:tc>
          <w:tcPr>
            <w:tcW w:w="426" w:type="pct"/>
            <w:vAlign w:val="center"/>
          </w:tcPr>
          <w:p w14:paraId="5A8CD4F4" w14:textId="335680AC" w:rsidR="00E66115" w:rsidRPr="006822CA" w:rsidRDefault="00E66115" w:rsidP="00E66115">
            <w:pPr>
              <w:jc w:val="right"/>
              <w:rPr>
                <w:rFonts w:cs="Arial"/>
                <w:szCs w:val="24"/>
              </w:rPr>
            </w:pPr>
            <w:r>
              <w:rPr>
                <w:rFonts w:cs="Arial"/>
                <w:b/>
                <w:bCs/>
                <w:szCs w:val="24"/>
              </w:rPr>
              <w:t>4</w:t>
            </w:r>
            <w:r w:rsidRPr="00BB7FAB">
              <w:rPr>
                <w:rFonts w:cs="Arial"/>
                <w:b/>
                <w:bCs/>
                <w:szCs w:val="24"/>
              </w:rPr>
              <w:t>,</w:t>
            </w:r>
            <w:r>
              <w:rPr>
                <w:rFonts w:cs="Arial"/>
                <w:b/>
                <w:bCs/>
                <w:szCs w:val="24"/>
              </w:rPr>
              <w:t>934</w:t>
            </w:r>
          </w:p>
        </w:tc>
        <w:tc>
          <w:tcPr>
            <w:tcW w:w="488" w:type="pct"/>
            <w:vAlign w:val="center"/>
          </w:tcPr>
          <w:p w14:paraId="67D273DF" w14:textId="5FD5DB9D" w:rsidR="00E66115" w:rsidRPr="006822CA" w:rsidRDefault="00E66115" w:rsidP="00E66115">
            <w:pPr>
              <w:jc w:val="right"/>
              <w:rPr>
                <w:rFonts w:cs="Arial"/>
                <w:szCs w:val="24"/>
              </w:rPr>
            </w:pPr>
            <w:r w:rsidRPr="00BB7FAB">
              <w:rPr>
                <w:rFonts w:cs="Arial"/>
                <w:b/>
                <w:bCs/>
                <w:szCs w:val="24"/>
              </w:rPr>
              <w:t>-</w:t>
            </w:r>
          </w:p>
        </w:tc>
        <w:tc>
          <w:tcPr>
            <w:tcW w:w="446" w:type="pct"/>
            <w:vAlign w:val="center"/>
          </w:tcPr>
          <w:p w14:paraId="0FB42D0C" w14:textId="6905BEF4" w:rsidR="00E66115" w:rsidRPr="006822CA" w:rsidRDefault="00E66115" w:rsidP="00E66115">
            <w:pPr>
              <w:jc w:val="right"/>
              <w:rPr>
                <w:rFonts w:cs="Arial"/>
                <w:szCs w:val="24"/>
              </w:rPr>
            </w:pPr>
            <w:r>
              <w:rPr>
                <w:rFonts w:cs="Arial"/>
                <w:b/>
                <w:bCs/>
                <w:szCs w:val="24"/>
              </w:rPr>
              <w:t>4</w:t>
            </w:r>
            <w:r w:rsidRPr="00BB7FAB">
              <w:rPr>
                <w:rFonts w:cs="Arial"/>
                <w:b/>
                <w:bCs/>
                <w:szCs w:val="24"/>
              </w:rPr>
              <w:t>,</w:t>
            </w:r>
            <w:r>
              <w:rPr>
                <w:rFonts w:cs="Arial"/>
                <w:b/>
                <w:bCs/>
                <w:szCs w:val="24"/>
              </w:rPr>
              <w:t>934</w:t>
            </w:r>
          </w:p>
        </w:tc>
        <w:tc>
          <w:tcPr>
            <w:tcW w:w="448" w:type="pct"/>
            <w:vAlign w:val="center"/>
          </w:tcPr>
          <w:p w14:paraId="04710A9B" w14:textId="47E4615A" w:rsidR="00E66115" w:rsidRPr="006822CA" w:rsidRDefault="00E66115" w:rsidP="00E66115">
            <w:pPr>
              <w:jc w:val="right"/>
              <w:rPr>
                <w:rFonts w:cs="Arial"/>
                <w:szCs w:val="24"/>
              </w:rPr>
            </w:pPr>
            <w:r w:rsidRPr="00BB7FAB">
              <w:rPr>
                <w:rFonts w:cs="Arial"/>
                <w:b/>
                <w:bCs/>
                <w:szCs w:val="24"/>
              </w:rPr>
              <w:t>-</w:t>
            </w:r>
          </w:p>
        </w:tc>
        <w:tc>
          <w:tcPr>
            <w:tcW w:w="426" w:type="pct"/>
            <w:vAlign w:val="center"/>
          </w:tcPr>
          <w:p w14:paraId="7FB090AE" w14:textId="4C6BDD86" w:rsidR="00E66115" w:rsidRPr="006822CA" w:rsidRDefault="00E66115" w:rsidP="00E66115">
            <w:pPr>
              <w:jc w:val="right"/>
              <w:rPr>
                <w:rFonts w:cs="Arial"/>
                <w:szCs w:val="24"/>
              </w:rPr>
            </w:pPr>
            <w:r w:rsidRPr="00BB7FAB">
              <w:rPr>
                <w:rFonts w:cs="Arial"/>
                <w:b/>
                <w:bCs/>
                <w:szCs w:val="24"/>
              </w:rPr>
              <w:t>123</w:t>
            </w:r>
          </w:p>
        </w:tc>
        <w:tc>
          <w:tcPr>
            <w:tcW w:w="426" w:type="pct"/>
            <w:vAlign w:val="center"/>
          </w:tcPr>
          <w:p w14:paraId="33AB6224" w14:textId="5F2DBC05" w:rsidR="00E66115" w:rsidRPr="006822CA" w:rsidRDefault="00E66115" w:rsidP="00E66115">
            <w:pPr>
              <w:jc w:val="right"/>
              <w:rPr>
                <w:rFonts w:cs="Arial"/>
                <w:szCs w:val="24"/>
              </w:rPr>
            </w:pPr>
            <w:r w:rsidRPr="00BB7FAB">
              <w:rPr>
                <w:rFonts w:cs="Arial"/>
                <w:b/>
                <w:bCs/>
                <w:szCs w:val="24"/>
              </w:rPr>
              <w:t>5,</w:t>
            </w:r>
            <w:r>
              <w:rPr>
                <w:rFonts w:cs="Arial"/>
                <w:b/>
                <w:bCs/>
                <w:szCs w:val="24"/>
              </w:rPr>
              <w:t>057</w:t>
            </w:r>
          </w:p>
        </w:tc>
        <w:tc>
          <w:tcPr>
            <w:tcW w:w="446" w:type="pct"/>
            <w:vAlign w:val="center"/>
          </w:tcPr>
          <w:p w14:paraId="50E0CD87" w14:textId="3B60B794" w:rsidR="00E66115" w:rsidRPr="006822CA" w:rsidRDefault="00E66115" w:rsidP="00E66115">
            <w:pPr>
              <w:jc w:val="right"/>
              <w:rPr>
                <w:rFonts w:cs="Arial"/>
                <w:szCs w:val="24"/>
              </w:rPr>
            </w:pPr>
            <w:r w:rsidRPr="00BB7FAB">
              <w:rPr>
                <w:rFonts w:cs="Arial"/>
                <w:b/>
                <w:bCs/>
                <w:szCs w:val="24"/>
              </w:rPr>
              <w:t>(5,</w:t>
            </w:r>
            <w:r>
              <w:rPr>
                <w:rFonts w:cs="Arial"/>
                <w:b/>
                <w:bCs/>
                <w:szCs w:val="24"/>
              </w:rPr>
              <w:t>057</w:t>
            </w:r>
            <w:r w:rsidRPr="00BB7FAB">
              <w:rPr>
                <w:rFonts w:cs="Arial"/>
                <w:b/>
                <w:bCs/>
                <w:szCs w:val="24"/>
              </w:rPr>
              <w:t>)</w:t>
            </w:r>
          </w:p>
        </w:tc>
        <w:tc>
          <w:tcPr>
            <w:tcW w:w="446" w:type="pct"/>
            <w:vAlign w:val="center"/>
          </w:tcPr>
          <w:p w14:paraId="5B3994B3" w14:textId="354EEFE2" w:rsidR="00E66115" w:rsidRPr="006822CA" w:rsidRDefault="00E66115" w:rsidP="00E66115">
            <w:pPr>
              <w:jc w:val="right"/>
              <w:rPr>
                <w:rFonts w:cs="Arial"/>
                <w:szCs w:val="24"/>
              </w:rPr>
            </w:pPr>
            <w:r w:rsidRPr="00BB7FAB">
              <w:rPr>
                <w:rFonts w:cs="Arial"/>
                <w:b/>
                <w:bCs/>
                <w:szCs w:val="24"/>
              </w:rPr>
              <w:t>-</w:t>
            </w:r>
          </w:p>
        </w:tc>
      </w:tr>
      <w:tr w:rsidR="00E66115" w:rsidRPr="00D948C1" w14:paraId="3BB46925" w14:textId="77777777" w:rsidTr="003A40B1">
        <w:tc>
          <w:tcPr>
            <w:tcW w:w="1448" w:type="pct"/>
            <w:vAlign w:val="center"/>
          </w:tcPr>
          <w:p w14:paraId="6C6A715E" w14:textId="55677A89" w:rsidR="00E66115" w:rsidRPr="00D948C1" w:rsidRDefault="00E66115" w:rsidP="00E66115">
            <w:pPr>
              <w:rPr>
                <w:rFonts w:cs="Arial"/>
                <w:szCs w:val="24"/>
              </w:rPr>
            </w:pPr>
            <w:r w:rsidRPr="00D948C1">
              <w:rPr>
                <w:rFonts w:cs="Arial"/>
                <w:b/>
                <w:bCs/>
                <w:szCs w:val="24"/>
              </w:rPr>
              <w:t>Net increase</w:t>
            </w:r>
            <w:r w:rsidR="007176B8">
              <w:rPr>
                <w:rFonts w:cs="Arial"/>
                <w:b/>
                <w:bCs/>
                <w:szCs w:val="24"/>
              </w:rPr>
              <w:t xml:space="preserve"> or </w:t>
            </w:r>
            <w:r w:rsidRPr="00D948C1">
              <w:rPr>
                <w:rFonts w:cs="Arial"/>
                <w:b/>
                <w:bCs/>
                <w:szCs w:val="24"/>
              </w:rPr>
              <w:t>decrease before transfers to earmarked reserves</w:t>
            </w:r>
          </w:p>
        </w:tc>
        <w:tc>
          <w:tcPr>
            <w:tcW w:w="426" w:type="pct"/>
            <w:vAlign w:val="center"/>
          </w:tcPr>
          <w:p w14:paraId="4A8C1377" w14:textId="0F6F04D1" w:rsidR="00E66115" w:rsidRPr="006822CA" w:rsidRDefault="00E66115" w:rsidP="00E66115">
            <w:pPr>
              <w:jc w:val="right"/>
              <w:rPr>
                <w:rFonts w:cs="Arial"/>
                <w:szCs w:val="24"/>
              </w:rPr>
            </w:pPr>
            <w:r>
              <w:rPr>
                <w:rFonts w:cs="Arial"/>
                <w:b/>
                <w:bCs/>
                <w:szCs w:val="24"/>
              </w:rPr>
              <w:t>1</w:t>
            </w:r>
            <w:r w:rsidRPr="00BB7FAB">
              <w:rPr>
                <w:rFonts w:cs="Arial"/>
                <w:b/>
                <w:bCs/>
                <w:szCs w:val="24"/>
              </w:rPr>
              <w:t>,</w:t>
            </w:r>
            <w:r>
              <w:rPr>
                <w:rFonts w:cs="Arial"/>
                <w:b/>
                <w:bCs/>
                <w:szCs w:val="24"/>
              </w:rPr>
              <w:t>880</w:t>
            </w:r>
          </w:p>
        </w:tc>
        <w:tc>
          <w:tcPr>
            <w:tcW w:w="488" w:type="pct"/>
            <w:vAlign w:val="center"/>
          </w:tcPr>
          <w:p w14:paraId="7AD3A0DB" w14:textId="150CDE0A" w:rsidR="00E66115" w:rsidRPr="006822CA" w:rsidRDefault="00E66115" w:rsidP="00E66115">
            <w:pPr>
              <w:jc w:val="right"/>
              <w:rPr>
                <w:rFonts w:cs="Arial"/>
                <w:szCs w:val="24"/>
              </w:rPr>
            </w:pPr>
            <w:r w:rsidRPr="00BB7FAB">
              <w:rPr>
                <w:rFonts w:cs="Arial"/>
                <w:b/>
                <w:bCs/>
                <w:szCs w:val="24"/>
              </w:rPr>
              <w:t>-</w:t>
            </w:r>
          </w:p>
        </w:tc>
        <w:tc>
          <w:tcPr>
            <w:tcW w:w="446" w:type="pct"/>
            <w:vAlign w:val="center"/>
          </w:tcPr>
          <w:p w14:paraId="23CEEF97" w14:textId="33D75854" w:rsidR="00E66115" w:rsidRPr="006822CA" w:rsidRDefault="00E66115" w:rsidP="00E66115">
            <w:pPr>
              <w:jc w:val="right"/>
              <w:rPr>
                <w:rFonts w:cs="Arial"/>
                <w:szCs w:val="24"/>
              </w:rPr>
            </w:pPr>
            <w:r>
              <w:rPr>
                <w:rFonts w:cs="Arial"/>
                <w:b/>
                <w:bCs/>
                <w:szCs w:val="24"/>
              </w:rPr>
              <w:t>1</w:t>
            </w:r>
            <w:r w:rsidRPr="00BB7FAB">
              <w:rPr>
                <w:rFonts w:cs="Arial"/>
                <w:b/>
                <w:bCs/>
                <w:szCs w:val="24"/>
              </w:rPr>
              <w:t>,</w:t>
            </w:r>
            <w:r>
              <w:rPr>
                <w:rFonts w:cs="Arial"/>
                <w:b/>
                <w:bCs/>
                <w:szCs w:val="24"/>
              </w:rPr>
              <w:t>880</w:t>
            </w:r>
          </w:p>
        </w:tc>
        <w:tc>
          <w:tcPr>
            <w:tcW w:w="448" w:type="pct"/>
            <w:vAlign w:val="center"/>
          </w:tcPr>
          <w:p w14:paraId="6D5616E4" w14:textId="0F7A99F6" w:rsidR="00E66115" w:rsidRPr="006822CA" w:rsidRDefault="00E66115" w:rsidP="00E66115">
            <w:pPr>
              <w:jc w:val="right"/>
              <w:rPr>
                <w:rFonts w:cs="Arial"/>
                <w:szCs w:val="24"/>
              </w:rPr>
            </w:pPr>
            <w:r w:rsidRPr="00BB7FAB">
              <w:rPr>
                <w:rFonts w:cs="Arial"/>
                <w:b/>
                <w:bCs/>
                <w:szCs w:val="24"/>
              </w:rPr>
              <w:t>-</w:t>
            </w:r>
          </w:p>
        </w:tc>
        <w:tc>
          <w:tcPr>
            <w:tcW w:w="426" w:type="pct"/>
            <w:vAlign w:val="center"/>
          </w:tcPr>
          <w:p w14:paraId="1AB90A50" w14:textId="2A4C8F8E" w:rsidR="00E66115" w:rsidRPr="006822CA" w:rsidRDefault="00E66115" w:rsidP="00E66115">
            <w:pPr>
              <w:jc w:val="right"/>
              <w:rPr>
                <w:rFonts w:cs="Arial"/>
                <w:szCs w:val="24"/>
              </w:rPr>
            </w:pPr>
            <w:r w:rsidRPr="00BB7FAB">
              <w:rPr>
                <w:rFonts w:cs="Arial"/>
                <w:b/>
                <w:bCs/>
                <w:szCs w:val="24"/>
              </w:rPr>
              <w:t>123</w:t>
            </w:r>
          </w:p>
        </w:tc>
        <w:tc>
          <w:tcPr>
            <w:tcW w:w="426" w:type="pct"/>
            <w:vAlign w:val="center"/>
          </w:tcPr>
          <w:p w14:paraId="47CD5EAD" w14:textId="708C1422" w:rsidR="00E66115" w:rsidRPr="006822CA" w:rsidRDefault="00E66115" w:rsidP="00E66115">
            <w:pPr>
              <w:jc w:val="right"/>
              <w:rPr>
                <w:rFonts w:cs="Arial"/>
                <w:szCs w:val="24"/>
              </w:rPr>
            </w:pPr>
            <w:r w:rsidRPr="00BB7FAB">
              <w:rPr>
                <w:rFonts w:cs="Arial"/>
                <w:b/>
                <w:bCs/>
                <w:szCs w:val="24"/>
              </w:rPr>
              <w:t>2,</w:t>
            </w:r>
            <w:r>
              <w:rPr>
                <w:rFonts w:cs="Arial"/>
                <w:b/>
                <w:bCs/>
                <w:szCs w:val="24"/>
              </w:rPr>
              <w:t>003</w:t>
            </w:r>
          </w:p>
        </w:tc>
        <w:tc>
          <w:tcPr>
            <w:tcW w:w="446" w:type="pct"/>
            <w:vAlign w:val="center"/>
          </w:tcPr>
          <w:p w14:paraId="2CB5F4DB" w14:textId="54A2C9BB" w:rsidR="00E66115" w:rsidRPr="006822CA" w:rsidRDefault="00E66115" w:rsidP="00E66115">
            <w:pPr>
              <w:jc w:val="right"/>
              <w:rPr>
                <w:rFonts w:cs="Arial"/>
                <w:szCs w:val="24"/>
              </w:rPr>
            </w:pPr>
            <w:r w:rsidRPr="00BB7FAB">
              <w:rPr>
                <w:rFonts w:cs="Arial"/>
                <w:b/>
                <w:bCs/>
                <w:szCs w:val="24"/>
              </w:rPr>
              <w:t>65,</w:t>
            </w:r>
            <w:r>
              <w:rPr>
                <w:rFonts w:cs="Arial"/>
                <w:b/>
                <w:bCs/>
                <w:szCs w:val="24"/>
              </w:rPr>
              <w:t>787</w:t>
            </w:r>
          </w:p>
        </w:tc>
        <w:tc>
          <w:tcPr>
            <w:tcW w:w="446" w:type="pct"/>
            <w:vAlign w:val="center"/>
          </w:tcPr>
          <w:p w14:paraId="5B7F3F83" w14:textId="224CBD5F" w:rsidR="00E66115" w:rsidRPr="006822CA" w:rsidRDefault="00E66115" w:rsidP="00E66115">
            <w:pPr>
              <w:jc w:val="right"/>
              <w:rPr>
                <w:rFonts w:cs="Arial"/>
                <w:szCs w:val="24"/>
              </w:rPr>
            </w:pPr>
            <w:r w:rsidRPr="00BB7FAB">
              <w:rPr>
                <w:rFonts w:cs="Arial"/>
                <w:b/>
                <w:bCs/>
                <w:szCs w:val="24"/>
              </w:rPr>
              <w:t>67,791</w:t>
            </w:r>
          </w:p>
        </w:tc>
      </w:tr>
      <w:tr w:rsidR="00E66115" w:rsidRPr="00D948C1" w14:paraId="624E3286" w14:textId="77777777" w:rsidTr="003A40B1">
        <w:tc>
          <w:tcPr>
            <w:tcW w:w="1448" w:type="pct"/>
            <w:vAlign w:val="center"/>
          </w:tcPr>
          <w:p w14:paraId="13328124" w14:textId="7FE7D785" w:rsidR="00E66115" w:rsidRPr="00D948C1" w:rsidRDefault="00E66115" w:rsidP="00E66115">
            <w:pPr>
              <w:rPr>
                <w:rFonts w:cs="Arial"/>
                <w:szCs w:val="24"/>
              </w:rPr>
            </w:pPr>
            <w:r w:rsidRPr="00D948C1">
              <w:rPr>
                <w:rFonts w:cs="Arial"/>
                <w:szCs w:val="24"/>
              </w:rPr>
              <w:t>Transfers (to)</w:t>
            </w:r>
            <w:r w:rsidR="007176B8">
              <w:rPr>
                <w:rFonts w:cs="Arial"/>
                <w:szCs w:val="24"/>
              </w:rPr>
              <w:t xml:space="preserve"> or </w:t>
            </w:r>
            <w:r w:rsidRPr="00D948C1">
              <w:rPr>
                <w:rFonts w:cs="Arial"/>
                <w:szCs w:val="24"/>
              </w:rPr>
              <w:t>from earmarked reserves</w:t>
            </w:r>
          </w:p>
        </w:tc>
        <w:tc>
          <w:tcPr>
            <w:tcW w:w="426" w:type="pct"/>
            <w:vAlign w:val="center"/>
          </w:tcPr>
          <w:p w14:paraId="13910D9C" w14:textId="1CFB3FB2" w:rsidR="00E66115" w:rsidRPr="006822CA" w:rsidRDefault="00E66115" w:rsidP="00E66115">
            <w:pPr>
              <w:jc w:val="right"/>
              <w:rPr>
                <w:rFonts w:cs="Arial"/>
                <w:szCs w:val="24"/>
              </w:rPr>
            </w:pPr>
            <w:r w:rsidRPr="00BB7FAB">
              <w:rPr>
                <w:rFonts w:cs="Arial"/>
                <w:szCs w:val="24"/>
              </w:rPr>
              <w:t>(</w:t>
            </w:r>
            <w:r>
              <w:rPr>
                <w:rFonts w:cs="Arial"/>
                <w:szCs w:val="24"/>
              </w:rPr>
              <w:t>978</w:t>
            </w:r>
            <w:r w:rsidRPr="00BB7FAB">
              <w:rPr>
                <w:rFonts w:cs="Arial"/>
                <w:szCs w:val="24"/>
              </w:rPr>
              <w:t>)</w:t>
            </w:r>
          </w:p>
        </w:tc>
        <w:tc>
          <w:tcPr>
            <w:tcW w:w="488" w:type="pct"/>
            <w:vAlign w:val="center"/>
          </w:tcPr>
          <w:p w14:paraId="3EC3D0BF" w14:textId="140AE3DA" w:rsidR="00E66115" w:rsidRPr="006822CA" w:rsidRDefault="00E66115" w:rsidP="00E66115">
            <w:pPr>
              <w:jc w:val="right"/>
              <w:rPr>
                <w:rFonts w:cs="Arial"/>
                <w:szCs w:val="24"/>
              </w:rPr>
            </w:pPr>
            <w:r>
              <w:rPr>
                <w:rFonts w:cs="Arial"/>
                <w:szCs w:val="24"/>
              </w:rPr>
              <w:t>978</w:t>
            </w:r>
          </w:p>
        </w:tc>
        <w:tc>
          <w:tcPr>
            <w:tcW w:w="446" w:type="pct"/>
            <w:vAlign w:val="center"/>
          </w:tcPr>
          <w:p w14:paraId="792BF644" w14:textId="5ACCECBD" w:rsidR="00E66115" w:rsidRPr="006822CA" w:rsidRDefault="00E66115" w:rsidP="00E66115">
            <w:pPr>
              <w:jc w:val="right"/>
              <w:rPr>
                <w:rFonts w:cs="Arial"/>
                <w:szCs w:val="24"/>
              </w:rPr>
            </w:pPr>
            <w:r w:rsidRPr="00BB7FAB">
              <w:rPr>
                <w:rFonts w:cs="Arial"/>
                <w:szCs w:val="24"/>
              </w:rPr>
              <w:t>-</w:t>
            </w:r>
          </w:p>
        </w:tc>
        <w:tc>
          <w:tcPr>
            <w:tcW w:w="448" w:type="pct"/>
            <w:vAlign w:val="center"/>
          </w:tcPr>
          <w:p w14:paraId="04E6F727" w14:textId="42A0E6E4" w:rsidR="00E66115" w:rsidRPr="006822CA" w:rsidRDefault="00E66115" w:rsidP="00E66115">
            <w:pPr>
              <w:jc w:val="right"/>
              <w:rPr>
                <w:rFonts w:cs="Arial"/>
                <w:szCs w:val="24"/>
              </w:rPr>
            </w:pPr>
            <w:r w:rsidRPr="00BB7FAB">
              <w:rPr>
                <w:rFonts w:cs="Arial"/>
                <w:szCs w:val="24"/>
              </w:rPr>
              <w:t>-</w:t>
            </w:r>
          </w:p>
        </w:tc>
        <w:tc>
          <w:tcPr>
            <w:tcW w:w="426" w:type="pct"/>
            <w:vAlign w:val="center"/>
          </w:tcPr>
          <w:p w14:paraId="2BA4564E" w14:textId="27B98C89" w:rsidR="00E66115" w:rsidRPr="006822CA" w:rsidRDefault="00E66115" w:rsidP="00E66115">
            <w:pPr>
              <w:jc w:val="right"/>
              <w:rPr>
                <w:rFonts w:cs="Arial"/>
                <w:szCs w:val="24"/>
              </w:rPr>
            </w:pPr>
            <w:r w:rsidRPr="00BB7FAB">
              <w:rPr>
                <w:rFonts w:cs="Arial"/>
                <w:szCs w:val="24"/>
              </w:rPr>
              <w:t>-</w:t>
            </w:r>
          </w:p>
        </w:tc>
        <w:tc>
          <w:tcPr>
            <w:tcW w:w="426" w:type="pct"/>
            <w:vAlign w:val="center"/>
          </w:tcPr>
          <w:p w14:paraId="5A8FBE95" w14:textId="06B35507" w:rsidR="00E66115" w:rsidRPr="006822CA" w:rsidRDefault="00E66115" w:rsidP="00E66115">
            <w:pPr>
              <w:jc w:val="right"/>
              <w:rPr>
                <w:rFonts w:cs="Arial"/>
                <w:szCs w:val="24"/>
              </w:rPr>
            </w:pPr>
            <w:r w:rsidRPr="00BB7FAB">
              <w:rPr>
                <w:rFonts w:cs="Arial"/>
                <w:szCs w:val="24"/>
              </w:rPr>
              <w:t>-</w:t>
            </w:r>
          </w:p>
        </w:tc>
        <w:tc>
          <w:tcPr>
            <w:tcW w:w="446" w:type="pct"/>
            <w:vAlign w:val="center"/>
          </w:tcPr>
          <w:p w14:paraId="578F4892" w14:textId="0C859537" w:rsidR="00E66115" w:rsidRPr="006822CA" w:rsidRDefault="00E66115" w:rsidP="00E66115">
            <w:pPr>
              <w:jc w:val="right"/>
              <w:rPr>
                <w:rFonts w:cs="Arial"/>
                <w:szCs w:val="24"/>
              </w:rPr>
            </w:pPr>
            <w:r w:rsidRPr="00BB7FAB">
              <w:rPr>
                <w:rFonts w:cs="Arial"/>
                <w:szCs w:val="24"/>
              </w:rPr>
              <w:t>-</w:t>
            </w:r>
          </w:p>
        </w:tc>
        <w:tc>
          <w:tcPr>
            <w:tcW w:w="446" w:type="pct"/>
            <w:vAlign w:val="center"/>
          </w:tcPr>
          <w:p w14:paraId="2EDFFF34" w14:textId="2FAFFE28" w:rsidR="00E66115" w:rsidRPr="006822CA" w:rsidRDefault="00E66115" w:rsidP="00E66115">
            <w:pPr>
              <w:jc w:val="right"/>
              <w:rPr>
                <w:rFonts w:cs="Arial"/>
                <w:szCs w:val="24"/>
              </w:rPr>
            </w:pPr>
            <w:r w:rsidRPr="00BB7FAB">
              <w:rPr>
                <w:rFonts w:cs="Arial"/>
                <w:szCs w:val="24"/>
              </w:rPr>
              <w:t>-</w:t>
            </w:r>
          </w:p>
        </w:tc>
      </w:tr>
      <w:tr w:rsidR="00E66115" w:rsidRPr="00D948C1" w14:paraId="1F5AB8FA" w14:textId="77777777" w:rsidTr="003A40B1">
        <w:tc>
          <w:tcPr>
            <w:tcW w:w="1448" w:type="pct"/>
            <w:vAlign w:val="center"/>
          </w:tcPr>
          <w:p w14:paraId="61F7BA7C" w14:textId="1771023D" w:rsidR="00E66115" w:rsidRPr="00E30856" w:rsidRDefault="00E66115" w:rsidP="00E66115">
            <w:pPr>
              <w:rPr>
                <w:rFonts w:cs="Arial"/>
                <w:b/>
                <w:bCs/>
                <w:szCs w:val="24"/>
              </w:rPr>
            </w:pPr>
            <w:r w:rsidRPr="00E30856">
              <w:rPr>
                <w:rFonts w:cs="Arial"/>
                <w:b/>
                <w:bCs/>
                <w:szCs w:val="24"/>
              </w:rPr>
              <w:t>Increase</w:t>
            </w:r>
            <w:r w:rsidR="007176B8">
              <w:rPr>
                <w:rFonts w:cs="Arial"/>
                <w:b/>
                <w:bCs/>
                <w:szCs w:val="24"/>
              </w:rPr>
              <w:t xml:space="preserve"> or </w:t>
            </w:r>
            <w:r w:rsidRPr="00E30856">
              <w:rPr>
                <w:rFonts w:cs="Arial"/>
                <w:b/>
                <w:bCs/>
                <w:szCs w:val="24"/>
              </w:rPr>
              <w:t>(</w:t>
            </w:r>
            <w:r w:rsidR="007176B8">
              <w:rPr>
                <w:rFonts w:cs="Arial"/>
                <w:b/>
                <w:bCs/>
                <w:szCs w:val="24"/>
              </w:rPr>
              <w:t>d</w:t>
            </w:r>
            <w:r w:rsidRPr="00E30856">
              <w:rPr>
                <w:rFonts w:cs="Arial"/>
                <w:b/>
                <w:bCs/>
                <w:szCs w:val="24"/>
              </w:rPr>
              <w:t>ecrease) in the year</w:t>
            </w:r>
          </w:p>
        </w:tc>
        <w:tc>
          <w:tcPr>
            <w:tcW w:w="426" w:type="pct"/>
            <w:vAlign w:val="center"/>
          </w:tcPr>
          <w:p w14:paraId="77BA1FC1" w14:textId="7423CDD0" w:rsidR="00E66115" w:rsidRPr="00E30856" w:rsidRDefault="00E66115" w:rsidP="00E66115">
            <w:pPr>
              <w:jc w:val="right"/>
              <w:rPr>
                <w:rFonts w:cs="Arial"/>
                <w:b/>
                <w:bCs/>
                <w:szCs w:val="24"/>
              </w:rPr>
            </w:pPr>
            <w:r w:rsidRPr="00E30856">
              <w:rPr>
                <w:rFonts w:cs="Arial"/>
                <w:b/>
                <w:bCs/>
                <w:szCs w:val="24"/>
              </w:rPr>
              <w:t>902</w:t>
            </w:r>
          </w:p>
        </w:tc>
        <w:tc>
          <w:tcPr>
            <w:tcW w:w="488" w:type="pct"/>
            <w:vAlign w:val="center"/>
          </w:tcPr>
          <w:p w14:paraId="3A6120DB" w14:textId="17666379" w:rsidR="00E66115" w:rsidRPr="00E30856" w:rsidRDefault="00E66115" w:rsidP="00E66115">
            <w:pPr>
              <w:jc w:val="right"/>
              <w:rPr>
                <w:rFonts w:cs="Arial"/>
                <w:b/>
                <w:bCs/>
                <w:szCs w:val="24"/>
              </w:rPr>
            </w:pPr>
            <w:r w:rsidRPr="00E30856">
              <w:rPr>
                <w:rFonts w:cs="Arial"/>
                <w:b/>
                <w:bCs/>
                <w:szCs w:val="24"/>
              </w:rPr>
              <w:t>978</w:t>
            </w:r>
          </w:p>
        </w:tc>
        <w:tc>
          <w:tcPr>
            <w:tcW w:w="446" w:type="pct"/>
            <w:vAlign w:val="center"/>
          </w:tcPr>
          <w:p w14:paraId="3B364135" w14:textId="5F690D77" w:rsidR="00E66115" w:rsidRPr="00E30856" w:rsidRDefault="00E66115" w:rsidP="00E66115">
            <w:pPr>
              <w:jc w:val="right"/>
              <w:rPr>
                <w:rFonts w:cs="Arial"/>
                <w:b/>
                <w:bCs/>
                <w:szCs w:val="24"/>
              </w:rPr>
            </w:pPr>
            <w:r w:rsidRPr="00E30856">
              <w:rPr>
                <w:rFonts w:cs="Arial"/>
                <w:b/>
                <w:bCs/>
                <w:szCs w:val="24"/>
              </w:rPr>
              <w:t>1,880</w:t>
            </w:r>
          </w:p>
        </w:tc>
        <w:tc>
          <w:tcPr>
            <w:tcW w:w="448" w:type="pct"/>
            <w:vAlign w:val="center"/>
          </w:tcPr>
          <w:p w14:paraId="12D1CCD5" w14:textId="300697E8" w:rsidR="00E66115" w:rsidRPr="00E30856" w:rsidRDefault="00E66115" w:rsidP="00E66115">
            <w:pPr>
              <w:jc w:val="right"/>
              <w:rPr>
                <w:rFonts w:cs="Arial"/>
                <w:b/>
                <w:bCs/>
                <w:szCs w:val="24"/>
              </w:rPr>
            </w:pPr>
            <w:r w:rsidRPr="00E30856">
              <w:rPr>
                <w:rFonts w:cs="Arial"/>
                <w:b/>
                <w:bCs/>
                <w:szCs w:val="24"/>
              </w:rPr>
              <w:t>-</w:t>
            </w:r>
          </w:p>
        </w:tc>
        <w:tc>
          <w:tcPr>
            <w:tcW w:w="426" w:type="pct"/>
            <w:vAlign w:val="center"/>
          </w:tcPr>
          <w:p w14:paraId="15ABC905" w14:textId="492E83C9" w:rsidR="00E66115" w:rsidRPr="00E30856" w:rsidRDefault="00E66115" w:rsidP="00E66115">
            <w:pPr>
              <w:jc w:val="right"/>
              <w:rPr>
                <w:rFonts w:cs="Arial"/>
                <w:b/>
                <w:bCs/>
                <w:szCs w:val="24"/>
              </w:rPr>
            </w:pPr>
            <w:r w:rsidRPr="00E30856">
              <w:rPr>
                <w:rFonts w:cs="Arial"/>
                <w:b/>
                <w:bCs/>
                <w:szCs w:val="24"/>
              </w:rPr>
              <w:t>123</w:t>
            </w:r>
          </w:p>
        </w:tc>
        <w:tc>
          <w:tcPr>
            <w:tcW w:w="426" w:type="pct"/>
            <w:vAlign w:val="center"/>
          </w:tcPr>
          <w:p w14:paraId="7A4B7CC9" w14:textId="651A8DFA" w:rsidR="00E66115" w:rsidRPr="00E30856" w:rsidRDefault="00E66115" w:rsidP="00E66115">
            <w:pPr>
              <w:jc w:val="right"/>
              <w:rPr>
                <w:rFonts w:cs="Arial"/>
                <w:b/>
                <w:bCs/>
                <w:szCs w:val="24"/>
              </w:rPr>
            </w:pPr>
            <w:r w:rsidRPr="00E30856">
              <w:rPr>
                <w:rFonts w:cs="Arial"/>
                <w:b/>
                <w:bCs/>
                <w:szCs w:val="24"/>
              </w:rPr>
              <w:t>2,003</w:t>
            </w:r>
          </w:p>
        </w:tc>
        <w:tc>
          <w:tcPr>
            <w:tcW w:w="446" w:type="pct"/>
            <w:vAlign w:val="center"/>
          </w:tcPr>
          <w:p w14:paraId="3CFF1F29" w14:textId="282151D0" w:rsidR="00E66115" w:rsidRPr="00E30856" w:rsidRDefault="00E66115" w:rsidP="00E66115">
            <w:pPr>
              <w:jc w:val="right"/>
              <w:rPr>
                <w:rFonts w:cs="Arial"/>
                <w:b/>
                <w:bCs/>
                <w:szCs w:val="24"/>
              </w:rPr>
            </w:pPr>
            <w:r w:rsidRPr="00E30856">
              <w:rPr>
                <w:rFonts w:cs="Arial"/>
                <w:b/>
                <w:bCs/>
                <w:szCs w:val="24"/>
              </w:rPr>
              <w:t>65,787</w:t>
            </w:r>
          </w:p>
        </w:tc>
        <w:tc>
          <w:tcPr>
            <w:tcW w:w="446" w:type="pct"/>
            <w:vAlign w:val="center"/>
          </w:tcPr>
          <w:p w14:paraId="225B305A" w14:textId="088C3C1C" w:rsidR="00E66115" w:rsidRPr="00E30856" w:rsidRDefault="00E66115" w:rsidP="00E66115">
            <w:pPr>
              <w:jc w:val="right"/>
              <w:rPr>
                <w:rFonts w:cs="Arial"/>
                <w:b/>
                <w:bCs/>
                <w:szCs w:val="24"/>
              </w:rPr>
            </w:pPr>
            <w:r w:rsidRPr="00E30856">
              <w:rPr>
                <w:rFonts w:cs="Arial"/>
                <w:b/>
                <w:bCs/>
                <w:szCs w:val="24"/>
              </w:rPr>
              <w:t>67,791</w:t>
            </w:r>
          </w:p>
        </w:tc>
      </w:tr>
      <w:tr w:rsidR="00E66115" w:rsidRPr="00D948C1" w14:paraId="01E79886" w14:textId="77777777" w:rsidTr="003A40B1">
        <w:tc>
          <w:tcPr>
            <w:tcW w:w="1448" w:type="pct"/>
            <w:vAlign w:val="center"/>
          </w:tcPr>
          <w:p w14:paraId="711D8172" w14:textId="72F632C3" w:rsidR="00E66115" w:rsidRPr="00D948C1" w:rsidRDefault="00E66115" w:rsidP="00E66115">
            <w:pPr>
              <w:rPr>
                <w:rFonts w:cs="Arial"/>
                <w:szCs w:val="24"/>
              </w:rPr>
            </w:pPr>
            <w:r w:rsidRPr="00D948C1">
              <w:rPr>
                <w:rFonts w:cs="Arial"/>
                <w:b/>
                <w:bCs/>
                <w:szCs w:val="24"/>
              </w:rPr>
              <w:t xml:space="preserve">Balance </w:t>
            </w:r>
            <w:proofErr w:type="gramStart"/>
            <w:r w:rsidRPr="00D948C1">
              <w:rPr>
                <w:rFonts w:cs="Arial"/>
                <w:b/>
                <w:bCs/>
                <w:szCs w:val="24"/>
              </w:rPr>
              <w:t>at</w:t>
            </w:r>
            <w:proofErr w:type="gramEnd"/>
            <w:r w:rsidRPr="00D948C1">
              <w:rPr>
                <w:rFonts w:cs="Arial"/>
                <w:b/>
                <w:bCs/>
                <w:szCs w:val="24"/>
              </w:rPr>
              <w:t xml:space="preserve"> 31 March 202</w:t>
            </w:r>
            <w:r>
              <w:rPr>
                <w:rFonts w:cs="Arial"/>
                <w:b/>
                <w:bCs/>
                <w:szCs w:val="24"/>
              </w:rPr>
              <w:t>5</w:t>
            </w:r>
            <w:r w:rsidRPr="00D948C1">
              <w:rPr>
                <w:rFonts w:cs="Arial"/>
                <w:b/>
                <w:bCs/>
                <w:szCs w:val="24"/>
              </w:rPr>
              <w:t xml:space="preserve"> carried forwards</w:t>
            </w:r>
          </w:p>
        </w:tc>
        <w:tc>
          <w:tcPr>
            <w:tcW w:w="426" w:type="pct"/>
            <w:vAlign w:val="center"/>
          </w:tcPr>
          <w:p w14:paraId="13FBDB77" w14:textId="0EC274D3" w:rsidR="00E66115" w:rsidRPr="006822CA" w:rsidRDefault="00E66115" w:rsidP="00E66115">
            <w:pPr>
              <w:jc w:val="right"/>
              <w:rPr>
                <w:rFonts w:cs="Arial"/>
                <w:szCs w:val="24"/>
              </w:rPr>
            </w:pPr>
            <w:r w:rsidRPr="00BB7FAB">
              <w:rPr>
                <w:rFonts w:cs="Arial"/>
                <w:b/>
                <w:bCs/>
                <w:szCs w:val="24"/>
              </w:rPr>
              <w:t>6,564</w:t>
            </w:r>
          </w:p>
        </w:tc>
        <w:tc>
          <w:tcPr>
            <w:tcW w:w="488" w:type="pct"/>
            <w:vAlign w:val="center"/>
          </w:tcPr>
          <w:p w14:paraId="401F312F" w14:textId="3ECE5700" w:rsidR="00E66115" w:rsidRPr="006822CA" w:rsidRDefault="00E66115" w:rsidP="00E66115">
            <w:pPr>
              <w:jc w:val="right"/>
              <w:rPr>
                <w:rFonts w:cs="Arial"/>
                <w:szCs w:val="24"/>
              </w:rPr>
            </w:pPr>
            <w:r>
              <w:rPr>
                <w:rFonts w:cs="Arial"/>
                <w:b/>
                <w:bCs/>
                <w:szCs w:val="24"/>
              </w:rPr>
              <w:t>29</w:t>
            </w:r>
            <w:r w:rsidRPr="00BB7FAB">
              <w:rPr>
                <w:rFonts w:cs="Arial"/>
                <w:b/>
                <w:bCs/>
                <w:szCs w:val="24"/>
              </w:rPr>
              <w:t>,</w:t>
            </w:r>
            <w:r>
              <w:rPr>
                <w:rFonts w:cs="Arial"/>
                <w:b/>
                <w:bCs/>
                <w:szCs w:val="24"/>
              </w:rPr>
              <w:t>012</w:t>
            </w:r>
          </w:p>
        </w:tc>
        <w:tc>
          <w:tcPr>
            <w:tcW w:w="446" w:type="pct"/>
            <w:vAlign w:val="center"/>
          </w:tcPr>
          <w:p w14:paraId="07AEA075" w14:textId="64A4A0C9" w:rsidR="00E66115" w:rsidRPr="006822CA" w:rsidRDefault="00E66115" w:rsidP="00E66115">
            <w:pPr>
              <w:jc w:val="right"/>
              <w:rPr>
                <w:rFonts w:cs="Arial"/>
                <w:szCs w:val="24"/>
              </w:rPr>
            </w:pPr>
            <w:r>
              <w:rPr>
                <w:rFonts w:cs="Arial"/>
                <w:b/>
                <w:bCs/>
                <w:szCs w:val="24"/>
              </w:rPr>
              <w:t>35</w:t>
            </w:r>
            <w:r w:rsidRPr="00BB7FAB">
              <w:rPr>
                <w:rFonts w:cs="Arial"/>
                <w:b/>
                <w:bCs/>
                <w:szCs w:val="24"/>
              </w:rPr>
              <w:t>,</w:t>
            </w:r>
            <w:r>
              <w:rPr>
                <w:rFonts w:cs="Arial"/>
                <w:b/>
                <w:bCs/>
                <w:szCs w:val="24"/>
              </w:rPr>
              <w:t>576</w:t>
            </w:r>
          </w:p>
        </w:tc>
        <w:tc>
          <w:tcPr>
            <w:tcW w:w="448" w:type="pct"/>
            <w:vAlign w:val="center"/>
          </w:tcPr>
          <w:p w14:paraId="48D79F13" w14:textId="4E766DFE" w:rsidR="00E66115" w:rsidRPr="006822CA" w:rsidRDefault="00E66115" w:rsidP="00E66115">
            <w:pPr>
              <w:jc w:val="right"/>
              <w:rPr>
                <w:rFonts w:cs="Arial"/>
                <w:szCs w:val="24"/>
              </w:rPr>
            </w:pPr>
            <w:r w:rsidRPr="00BB7FAB">
              <w:rPr>
                <w:rFonts w:cs="Arial"/>
                <w:b/>
                <w:bCs/>
                <w:szCs w:val="24"/>
              </w:rPr>
              <w:t>-</w:t>
            </w:r>
          </w:p>
        </w:tc>
        <w:tc>
          <w:tcPr>
            <w:tcW w:w="426" w:type="pct"/>
            <w:vAlign w:val="center"/>
          </w:tcPr>
          <w:p w14:paraId="12FE85EE" w14:textId="687B98CC" w:rsidR="00E66115" w:rsidRPr="006822CA" w:rsidRDefault="00E66115" w:rsidP="00E66115">
            <w:pPr>
              <w:jc w:val="right"/>
              <w:rPr>
                <w:rFonts w:cs="Arial"/>
                <w:szCs w:val="24"/>
              </w:rPr>
            </w:pPr>
            <w:r w:rsidRPr="00BB7FAB">
              <w:rPr>
                <w:rFonts w:cs="Arial"/>
                <w:b/>
                <w:bCs/>
                <w:szCs w:val="24"/>
              </w:rPr>
              <w:t>194</w:t>
            </w:r>
          </w:p>
        </w:tc>
        <w:tc>
          <w:tcPr>
            <w:tcW w:w="426" w:type="pct"/>
            <w:vAlign w:val="center"/>
          </w:tcPr>
          <w:p w14:paraId="4964AFC3" w14:textId="21E3D059" w:rsidR="00E66115" w:rsidRPr="006822CA" w:rsidRDefault="00E66115" w:rsidP="00E66115">
            <w:pPr>
              <w:jc w:val="right"/>
              <w:rPr>
                <w:rFonts w:cs="Arial"/>
                <w:szCs w:val="24"/>
              </w:rPr>
            </w:pPr>
            <w:r w:rsidRPr="00BB7FAB">
              <w:rPr>
                <w:rFonts w:cs="Arial"/>
                <w:b/>
                <w:bCs/>
                <w:szCs w:val="24"/>
              </w:rPr>
              <w:t>35,770</w:t>
            </w:r>
          </w:p>
        </w:tc>
        <w:tc>
          <w:tcPr>
            <w:tcW w:w="446" w:type="pct"/>
            <w:vAlign w:val="center"/>
          </w:tcPr>
          <w:p w14:paraId="36B79D70" w14:textId="51399FC5" w:rsidR="00E66115" w:rsidRPr="006822CA" w:rsidRDefault="00E66115" w:rsidP="00E66115">
            <w:pPr>
              <w:jc w:val="right"/>
              <w:rPr>
                <w:rFonts w:cs="Arial"/>
                <w:szCs w:val="24"/>
              </w:rPr>
            </w:pPr>
            <w:r w:rsidRPr="00BB7FAB">
              <w:rPr>
                <w:rFonts w:cs="Arial"/>
                <w:b/>
                <w:bCs/>
                <w:szCs w:val="24"/>
              </w:rPr>
              <w:t>(470,932)</w:t>
            </w:r>
          </w:p>
        </w:tc>
        <w:tc>
          <w:tcPr>
            <w:tcW w:w="446" w:type="pct"/>
            <w:vAlign w:val="center"/>
          </w:tcPr>
          <w:p w14:paraId="3D1FA41C" w14:textId="3749C9CA" w:rsidR="00E66115" w:rsidRPr="006822CA" w:rsidRDefault="00E66115" w:rsidP="00E66115">
            <w:pPr>
              <w:jc w:val="right"/>
              <w:rPr>
                <w:rFonts w:cs="Arial"/>
                <w:szCs w:val="24"/>
              </w:rPr>
            </w:pPr>
            <w:r w:rsidRPr="00BB7FAB">
              <w:rPr>
                <w:rFonts w:cs="Arial"/>
                <w:b/>
                <w:bCs/>
                <w:szCs w:val="24"/>
              </w:rPr>
              <w:t>(435,162)</w:t>
            </w:r>
          </w:p>
        </w:tc>
      </w:tr>
    </w:tbl>
    <w:p w14:paraId="12FE9547" w14:textId="598C7063" w:rsidR="006967EB" w:rsidRPr="006967EB" w:rsidRDefault="008D751A" w:rsidP="006967EB">
      <w:pPr>
        <w:sectPr w:rsidR="006967EB" w:rsidRPr="006967EB" w:rsidSect="0050229D">
          <w:pgSz w:w="16840" w:h="11907" w:orient="landscape" w:code="9"/>
          <w:pgMar w:top="1134" w:right="851" w:bottom="851" w:left="737" w:header="720" w:footer="720" w:gutter="0"/>
          <w:cols w:space="720"/>
          <w:docGrid w:linePitch="326"/>
        </w:sectPr>
      </w:pPr>
      <w:r>
        <w:t xml:space="preserve"> </w:t>
      </w:r>
    </w:p>
    <w:p w14:paraId="19D662B0" w14:textId="1600BA80" w:rsidR="0058297D" w:rsidRPr="00D948C1" w:rsidRDefault="002618EE" w:rsidP="00490917">
      <w:pPr>
        <w:pStyle w:val="Heading1"/>
        <w:rPr>
          <w:szCs w:val="24"/>
        </w:rPr>
      </w:pPr>
      <w:bookmarkStart w:id="16" w:name="_Toc233717516"/>
      <w:r w:rsidRPr="00D948C1">
        <w:rPr>
          <w:szCs w:val="24"/>
        </w:rPr>
        <w:lastRenderedPageBreak/>
        <w:t>Balance Sheet</w:t>
      </w:r>
      <w:bookmarkEnd w:id="16"/>
    </w:p>
    <w:p w14:paraId="4DC6F97B" w14:textId="77777777" w:rsidR="00490917" w:rsidRPr="00D948C1" w:rsidRDefault="00490917" w:rsidP="00490917">
      <w:pPr>
        <w:rPr>
          <w:szCs w:val="24"/>
        </w:rPr>
      </w:pP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1165"/>
        <w:gridCol w:w="1741"/>
        <w:gridCol w:w="1880"/>
      </w:tblGrid>
      <w:tr w:rsidR="00FA18E2" w:rsidRPr="00D948C1" w14:paraId="4FB80715" w14:textId="77777777" w:rsidTr="0078602B">
        <w:trPr>
          <w:cantSplit/>
          <w:tblHeader/>
        </w:trPr>
        <w:tc>
          <w:tcPr>
            <w:tcW w:w="2630" w:type="pct"/>
            <w:shd w:val="clear" w:color="auto" w:fill="BD2716"/>
          </w:tcPr>
          <w:p w14:paraId="760967EE" w14:textId="77777777" w:rsidR="00FA18E2" w:rsidRPr="00D948C1" w:rsidRDefault="00FA18E2" w:rsidP="00F238FE">
            <w:pPr>
              <w:jc w:val="center"/>
              <w:rPr>
                <w:color w:val="FFFFFF" w:themeColor="background1"/>
                <w:szCs w:val="24"/>
              </w:rPr>
            </w:pPr>
          </w:p>
        </w:tc>
        <w:tc>
          <w:tcPr>
            <w:tcW w:w="577" w:type="pct"/>
            <w:shd w:val="clear" w:color="auto" w:fill="BD2716"/>
            <w:vAlign w:val="center"/>
          </w:tcPr>
          <w:p w14:paraId="2F599137" w14:textId="254DD1F7" w:rsidR="00FA18E2" w:rsidRPr="00D948C1" w:rsidRDefault="00FA18E2" w:rsidP="00611673">
            <w:pPr>
              <w:rPr>
                <w:color w:val="FFFFFF" w:themeColor="background1"/>
                <w:szCs w:val="24"/>
              </w:rPr>
            </w:pPr>
            <w:r w:rsidRPr="00D948C1">
              <w:rPr>
                <w:color w:val="FFFFFF" w:themeColor="background1"/>
                <w:szCs w:val="24"/>
              </w:rPr>
              <w:t>Notes</w:t>
            </w:r>
          </w:p>
        </w:tc>
        <w:tc>
          <w:tcPr>
            <w:tcW w:w="862" w:type="pct"/>
            <w:shd w:val="clear" w:color="auto" w:fill="BD2716"/>
            <w:vAlign w:val="center"/>
          </w:tcPr>
          <w:p w14:paraId="25B8EB6A" w14:textId="360B74C5" w:rsidR="00FA18E2" w:rsidRPr="00D948C1" w:rsidRDefault="00FA18E2" w:rsidP="00611673">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1E6757">
              <w:rPr>
                <w:color w:val="FFFFFF" w:themeColor="background1"/>
                <w:szCs w:val="24"/>
              </w:rPr>
              <w:t>6</w:t>
            </w:r>
          </w:p>
          <w:p w14:paraId="61E5179C" w14:textId="4C4D4D18" w:rsidR="00FA18E2" w:rsidRPr="00D948C1" w:rsidRDefault="00FA18E2" w:rsidP="00611673">
            <w:pPr>
              <w:jc w:val="right"/>
              <w:rPr>
                <w:color w:val="FFFFFF" w:themeColor="background1"/>
                <w:szCs w:val="24"/>
              </w:rPr>
            </w:pPr>
            <w:r w:rsidRPr="00D948C1">
              <w:rPr>
                <w:color w:val="FFFFFF" w:themeColor="background1"/>
                <w:szCs w:val="24"/>
              </w:rPr>
              <w:t>£000</w:t>
            </w:r>
          </w:p>
        </w:tc>
        <w:tc>
          <w:tcPr>
            <w:tcW w:w="931" w:type="pct"/>
            <w:shd w:val="clear" w:color="auto" w:fill="BD2716"/>
            <w:vAlign w:val="center"/>
          </w:tcPr>
          <w:p w14:paraId="4EB1BD33" w14:textId="528AFAC5" w:rsidR="00FA18E2" w:rsidRPr="00D948C1" w:rsidRDefault="00FA18E2" w:rsidP="00611673">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1E6757">
              <w:rPr>
                <w:color w:val="FFFFFF" w:themeColor="background1"/>
                <w:szCs w:val="24"/>
              </w:rPr>
              <w:t>5</w:t>
            </w:r>
          </w:p>
          <w:p w14:paraId="7512E387" w14:textId="0B6A6C5E" w:rsidR="00FA18E2" w:rsidRPr="00D948C1" w:rsidRDefault="00FA18E2" w:rsidP="00611673">
            <w:pPr>
              <w:jc w:val="right"/>
              <w:rPr>
                <w:color w:val="FFFFFF" w:themeColor="background1"/>
                <w:szCs w:val="24"/>
              </w:rPr>
            </w:pPr>
            <w:r w:rsidRPr="00D948C1">
              <w:rPr>
                <w:color w:val="FFFFFF" w:themeColor="background1"/>
                <w:szCs w:val="24"/>
              </w:rPr>
              <w:t>£000</w:t>
            </w:r>
          </w:p>
        </w:tc>
      </w:tr>
      <w:tr w:rsidR="00233A66" w:rsidRPr="00D948C1" w14:paraId="335DBE40" w14:textId="77777777" w:rsidTr="00036C34">
        <w:tc>
          <w:tcPr>
            <w:tcW w:w="5000" w:type="pct"/>
            <w:gridSpan w:val="4"/>
            <w:shd w:val="clear" w:color="auto" w:fill="D9D9D9" w:themeFill="background1" w:themeFillShade="D9"/>
          </w:tcPr>
          <w:p w14:paraId="4B0383D7" w14:textId="028AFEFA" w:rsidR="00233A66" w:rsidRPr="00D948C1" w:rsidRDefault="00233A66" w:rsidP="00F238FE">
            <w:pPr>
              <w:pStyle w:val="CommentText"/>
              <w:tabs>
                <w:tab w:val="decimal" w:pos="601"/>
                <w:tab w:val="decimal" w:pos="723"/>
              </w:tabs>
              <w:rPr>
                <w:sz w:val="24"/>
                <w:szCs w:val="24"/>
              </w:rPr>
            </w:pPr>
            <w:r w:rsidRPr="00D948C1">
              <w:rPr>
                <w:b/>
                <w:sz w:val="24"/>
                <w:szCs w:val="24"/>
              </w:rPr>
              <w:t>Long-Term Assets</w:t>
            </w:r>
          </w:p>
        </w:tc>
      </w:tr>
      <w:tr w:rsidR="001E6757" w:rsidRPr="00D948C1" w14:paraId="2F6E96CD" w14:textId="77777777" w:rsidTr="0078602B">
        <w:tc>
          <w:tcPr>
            <w:tcW w:w="2630" w:type="pct"/>
          </w:tcPr>
          <w:p w14:paraId="111FF313" w14:textId="77777777" w:rsidR="001E6757" w:rsidRPr="00D948C1" w:rsidRDefault="001E6757" w:rsidP="001E6757">
            <w:pPr>
              <w:rPr>
                <w:szCs w:val="24"/>
              </w:rPr>
            </w:pPr>
            <w:r w:rsidRPr="00D948C1">
              <w:rPr>
                <w:szCs w:val="24"/>
              </w:rPr>
              <w:t>Property, Plant &amp; Equipment</w:t>
            </w:r>
          </w:p>
        </w:tc>
        <w:tc>
          <w:tcPr>
            <w:tcW w:w="577" w:type="pct"/>
            <w:vAlign w:val="bottom"/>
          </w:tcPr>
          <w:p w14:paraId="03643996" w14:textId="3AA53426" w:rsidR="001E6757" w:rsidRPr="00D948C1" w:rsidRDefault="001E6757" w:rsidP="001E6757">
            <w:pPr>
              <w:jc w:val="center"/>
              <w:rPr>
                <w:rStyle w:val="Hyperlink"/>
              </w:rPr>
            </w:pPr>
            <w:hyperlink w:anchor="N6" w:history="1">
              <w:r w:rsidRPr="00D948C1">
                <w:rPr>
                  <w:rStyle w:val="Hyperlink"/>
                  <w:szCs w:val="24"/>
                </w:rPr>
                <w:t>6</w:t>
              </w:r>
            </w:hyperlink>
          </w:p>
        </w:tc>
        <w:tc>
          <w:tcPr>
            <w:tcW w:w="862" w:type="pct"/>
            <w:vAlign w:val="center"/>
          </w:tcPr>
          <w:p w14:paraId="11BCEBE2" w14:textId="0E0DEB2F" w:rsidR="001E6757" w:rsidRPr="006D3B27" w:rsidRDefault="00BF7302" w:rsidP="001E6757">
            <w:pPr>
              <w:pStyle w:val="CommentText"/>
              <w:tabs>
                <w:tab w:val="decimal" w:pos="1350"/>
              </w:tabs>
              <w:jc w:val="right"/>
              <w:rPr>
                <w:sz w:val="24"/>
                <w:szCs w:val="24"/>
              </w:rPr>
            </w:pPr>
            <w:r>
              <w:rPr>
                <w:sz w:val="24"/>
                <w:szCs w:val="24"/>
              </w:rPr>
              <w:t>127,534</w:t>
            </w:r>
          </w:p>
        </w:tc>
        <w:tc>
          <w:tcPr>
            <w:tcW w:w="931" w:type="pct"/>
            <w:vAlign w:val="center"/>
          </w:tcPr>
          <w:p w14:paraId="236C3432" w14:textId="033A1A0D" w:rsidR="001E6757" w:rsidRPr="006822CA" w:rsidRDefault="001E6757" w:rsidP="001E6757">
            <w:pPr>
              <w:pStyle w:val="CommentText"/>
              <w:tabs>
                <w:tab w:val="decimal" w:pos="1350"/>
              </w:tabs>
              <w:jc w:val="right"/>
              <w:rPr>
                <w:sz w:val="24"/>
                <w:szCs w:val="24"/>
              </w:rPr>
            </w:pPr>
            <w:r w:rsidRPr="006D3B27">
              <w:rPr>
                <w:sz w:val="24"/>
                <w:szCs w:val="24"/>
              </w:rPr>
              <w:t>129,576</w:t>
            </w:r>
          </w:p>
        </w:tc>
      </w:tr>
      <w:tr w:rsidR="001E6757" w:rsidRPr="00D948C1" w14:paraId="7980527F" w14:textId="77777777" w:rsidTr="0078602B">
        <w:tc>
          <w:tcPr>
            <w:tcW w:w="2630" w:type="pct"/>
          </w:tcPr>
          <w:p w14:paraId="3BF45836" w14:textId="77777777" w:rsidR="001E6757" w:rsidRPr="00D948C1" w:rsidRDefault="001E6757" w:rsidP="001E6757">
            <w:pPr>
              <w:rPr>
                <w:szCs w:val="24"/>
              </w:rPr>
            </w:pPr>
            <w:r w:rsidRPr="00D948C1">
              <w:rPr>
                <w:szCs w:val="24"/>
              </w:rPr>
              <w:t>Intangible Assets</w:t>
            </w:r>
          </w:p>
        </w:tc>
        <w:tc>
          <w:tcPr>
            <w:tcW w:w="577" w:type="pct"/>
          </w:tcPr>
          <w:p w14:paraId="5E44D793" w14:textId="6ECE6E84" w:rsidR="001E6757" w:rsidRPr="00D948C1" w:rsidRDefault="001E6757" w:rsidP="001E6757">
            <w:pPr>
              <w:jc w:val="center"/>
              <w:rPr>
                <w:rStyle w:val="Hyperlink"/>
              </w:rPr>
            </w:pPr>
            <w:hyperlink w:anchor="N7" w:history="1">
              <w:r w:rsidRPr="00D948C1">
                <w:rPr>
                  <w:rStyle w:val="Hyperlink"/>
                  <w:szCs w:val="24"/>
                </w:rPr>
                <w:t>7</w:t>
              </w:r>
            </w:hyperlink>
          </w:p>
        </w:tc>
        <w:tc>
          <w:tcPr>
            <w:tcW w:w="862" w:type="pct"/>
            <w:vAlign w:val="center"/>
          </w:tcPr>
          <w:p w14:paraId="27E8EF3A" w14:textId="4B69D6A6" w:rsidR="001E6757" w:rsidRPr="006D3B27" w:rsidRDefault="00BF7302" w:rsidP="001E6757">
            <w:pPr>
              <w:pStyle w:val="CommentText"/>
              <w:tabs>
                <w:tab w:val="decimal" w:pos="1350"/>
              </w:tabs>
              <w:jc w:val="right"/>
              <w:rPr>
                <w:sz w:val="24"/>
                <w:szCs w:val="24"/>
              </w:rPr>
            </w:pPr>
            <w:r>
              <w:rPr>
                <w:sz w:val="24"/>
                <w:szCs w:val="24"/>
              </w:rPr>
              <w:t>4</w:t>
            </w:r>
            <w:r w:rsidR="00FA54E3">
              <w:rPr>
                <w:sz w:val="24"/>
                <w:szCs w:val="24"/>
              </w:rPr>
              <w:t>2</w:t>
            </w:r>
            <w:r>
              <w:rPr>
                <w:sz w:val="24"/>
                <w:szCs w:val="24"/>
              </w:rPr>
              <w:t>2</w:t>
            </w:r>
          </w:p>
        </w:tc>
        <w:tc>
          <w:tcPr>
            <w:tcW w:w="931" w:type="pct"/>
            <w:vAlign w:val="center"/>
          </w:tcPr>
          <w:p w14:paraId="6F6A82A0" w14:textId="6F797299" w:rsidR="001E6757" w:rsidRPr="006822CA" w:rsidRDefault="001E6757" w:rsidP="001E6757">
            <w:pPr>
              <w:pStyle w:val="CommentText"/>
              <w:tabs>
                <w:tab w:val="decimal" w:pos="1350"/>
              </w:tabs>
              <w:jc w:val="right"/>
              <w:rPr>
                <w:sz w:val="24"/>
                <w:szCs w:val="24"/>
              </w:rPr>
            </w:pPr>
            <w:r w:rsidRPr="006D3B27">
              <w:rPr>
                <w:sz w:val="24"/>
                <w:szCs w:val="24"/>
              </w:rPr>
              <w:t>467</w:t>
            </w:r>
          </w:p>
        </w:tc>
      </w:tr>
      <w:tr w:rsidR="001E6757" w:rsidRPr="00D948C1" w14:paraId="237B57EA" w14:textId="77777777" w:rsidTr="0078602B">
        <w:tc>
          <w:tcPr>
            <w:tcW w:w="2630" w:type="pct"/>
            <w:tcBorders>
              <w:top w:val="single" w:sz="4" w:space="0" w:color="auto"/>
              <w:left w:val="single" w:sz="4" w:space="0" w:color="auto"/>
              <w:bottom w:val="single" w:sz="4" w:space="0" w:color="auto"/>
              <w:right w:val="single" w:sz="4" w:space="0" w:color="auto"/>
            </w:tcBorders>
          </w:tcPr>
          <w:p w14:paraId="5EDFA5D7" w14:textId="50274D83" w:rsidR="001E6757" w:rsidRPr="00D948C1" w:rsidRDefault="001E6757" w:rsidP="001E6757">
            <w:pPr>
              <w:rPr>
                <w:bCs/>
                <w:szCs w:val="24"/>
              </w:rPr>
            </w:pPr>
            <w:r w:rsidRPr="00D948C1">
              <w:rPr>
                <w:bCs/>
                <w:szCs w:val="24"/>
              </w:rPr>
              <w:t>Long-Term Assets total</w:t>
            </w:r>
          </w:p>
        </w:tc>
        <w:tc>
          <w:tcPr>
            <w:tcW w:w="577" w:type="pct"/>
            <w:tcBorders>
              <w:top w:val="single" w:sz="4" w:space="0" w:color="auto"/>
              <w:left w:val="single" w:sz="4" w:space="0" w:color="auto"/>
              <w:bottom w:val="single" w:sz="4" w:space="0" w:color="auto"/>
              <w:right w:val="single" w:sz="4" w:space="0" w:color="auto"/>
            </w:tcBorders>
          </w:tcPr>
          <w:p w14:paraId="0B46DEE8" w14:textId="77777777" w:rsidR="001E6757" w:rsidRPr="00D948C1" w:rsidRDefault="001E6757" w:rsidP="001E6757">
            <w:pPr>
              <w:jc w:val="center"/>
              <w:rPr>
                <w:rStyle w:val="Hyperlink"/>
              </w:rPr>
            </w:pPr>
          </w:p>
        </w:tc>
        <w:tc>
          <w:tcPr>
            <w:tcW w:w="862" w:type="pct"/>
            <w:tcBorders>
              <w:top w:val="single" w:sz="4" w:space="0" w:color="auto"/>
              <w:left w:val="single" w:sz="4" w:space="0" w:color="auto"/>
              <w:bottom w:val="single" w:sz="4" w:space="0" w:color="auto"/>
              <w:right w:val="single" w:sz="4" w:space="0" w:color="auto"/>
            </w:tcBorders>
            <w:vAlign w:val="center"/>
          </w:tcPr>
          <w:p w14:paraId="44EA07F7" w14:textId="7775453E" w:rsidR="001E6757" w:rsidRPr="006D3B27" w:rsidRDefault="00BF7302" w:rsidP="001E6757">
            <w:pPr>
              <w:pStyle w:val="CommentText"/>
              <w:tabs>
                <w:tab w:val="decimal" w:pos="1350"/>
              </w:tabs>
              <w:jc w:val="right"/>
              <w:rPr>
                <w:sz w:val="24"/>
                <w:szCs w:val="24"/>
              </w:rPr>
            </w:pPr>
            <w:r>
              <w:rPr>
                <w:sz w:val="24"/>
                <w:szCs w:val="24"/>
              </w:rPr>
              <w:t>127,9</w:t>
            </w:r>
            <w:r w:rsidR="00FA54E3">
              <w:rPr>
                <w:sz w:val="24"/>
                <w:szCs w:val="24"/>
              </w:rPr>
              <w:t>57</w:t>
            </w:r>
          </w:p>
        </w:tc>
        <w:tc>
          <w:tcPr>
            <w:tcW w:w="931" w:type="pct"/>
            <w:tcBorders>
              <w:top w:val="single" w:sz="4" w:space="0" w:color="auto"/>
              <w:left w:val="single" w:sz="4" w:space="0" w:color="auto"/>
              <w:bottom w:val="single" w:sz="4" w:space="0" w:color="auto"/>
              <w:right w:val="single" w:sz="4" w:space="0" w:color="auto"/>
            </w:tcBorders>
            <w:vAlign w:val="center"/>
          </w:tcPr>
          <w:p w14:paraId="6241291A" w14:textId="058C5E27" w:rsidR="001E6757" w:rsidRPr="006822CA" w:rsidRDefault="001E6757" w:rsidP="001E6757">
            <w:pPr>
              <w:pStyle w:val="CommentText"/>
              <w:tabs>
                <w:tab w:val="decimal" w:pos="1350"/>
              </w:tabs>
              <w:jc w:val="right"/>
              <w:rPr>
                <w:sz w:val="24"/>
                <w:szCs w:val="24"/>
              </w:rPr>
            </w:pPr>
            <w:r w:rsidRPr="006D3B27">
              <w:rPr>
                <w:sz w:val="24"/>
                <w:szCs w:val="24"/>
              </w:rPr>
              <w:t>130,043</w:t>
            </w:r>
          </w:p>
        </w:tc>
      </w:tr>
    </w:tbl>
    <w:p w14:paraId="6F3A0AD9" w14:textId="77777777" w:rsidR="00FA18E2" w:rsidRPr="00D948C1" w:rsidRDefault="00FA18E2"/>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6"/>
        <w:gridCol w:w="1095"/>
        <w:gridCol w:w="1707"/>
        <w:gridCol w:w="1880"/>
      </w:tblGrid>
      <w:tr w:rsidR="00233A66" w:rsidRPr="00D948C1" w14:paraId="28F43B9A" w14:textId="77777777" w:rsidTr="00036C34">
        <w:tc>
          <w:tcPr>
            <w:tcW w:w="5000" w:type="pct"/>
            <w:gridSpan w:val="4"/>
            <w:shd w:val="clear" w:color="auto" w:fill="D9D9D9" w:themeFill="background1" w:themeFillShade="D9"/>
          </w:tcPr>
          <w:p w14:paraId="72C5CA71" w14:textId="2EB7E633" w:rsidR="00233A66" w:rsidRPr="00D948C1" w:rsidRDefault="00233A66" w:rsidP="00F32423">
            <w:pPr>
              <w:tabs>
                <w:tab w:val="decimal" w:pos="601"/>
                <w:tab w:val="decimal" w:pos="1350"/>
              </w:tabs>
              <w:rPr>
                <w:szCs w:val="24"/>
              </w:rPr>
            </w:pPr>
            <w:r w:rsidRPr="00D948C1">
              <w:rPr>
                <w:b/>
                <w:szCs w:val="24"/>
              </w:rPr>
              <w:t>Current Assets</w:t>
            </w:r>
          </w:p>
        </w:tc>
      </w:tr>
      <w:tr w:rsidR="001E6757" w:rsidRPr="00D948C1" w14:paraId="4ED860C4" w14:textId="77777777" w:rsidTr="0078602B">
        <w:tc>
          <w:tcPr>
            <w:tcW w:w="2682" w:type="pct"/>
          </w:tcPr>
          <w:p w14:paraId="44AC8B40" w14:textId="77777777" w:rsidR="001E6757" w:rsidRPr="00D948C1" w:rsidRDefault="001E6757" w:rsidP="001E6757">
            <w:pPr>
              <w:rPr>
                <w:szCs w:val="24"/>
              </w:rPr>
            </w:pPr>
            <w:r w:rsidRPr="00D948C1">
              <w:rPr>
                <w:szCs w:val="24"/>
              </w:rPr>
              <w:t>Inventories</w:t>
            </w:r>
          </w:p>
        </w:tc>
        <w:tc>
          <w:tcPr>
            <w:tcW w:w="542" w:type="pct"/>
          </w:tcPr>
          <w:p w14:paraId="0B5C6E20" w14:textId="77777777" w:rsidR="001E6757" w:rsidRPr="00D948C1" w:rsidRDefault="001E6757" w:rsidP="001E6757">
            <w:pPr>
              <w:pStyle w:val="CommentText"/>
              <w:tabs>
                <w:tab w:val="decimal" w:pos="1350"/>
              </w:tabs>
              <w:jc w:val="right"/>
              <w:rPr>
                <w:sz w:val="24"/>
                <w:szCs w:val="24"/>
              </w:rPr>
            </w:pPr>
          </w:p>
        </w:tc>
        <w:tc>
          <w:tcPr>
            <w:tcW w:w="845" w:type="pct"/>
            <w:vAlign w:val="center"/>
          </w:tcPr>
          <w:p w14:paraId="2A66E30E" w14:textId="5352C613" w:rsidR="001E6757" w:rsidRPr="006D3B27" w:rsidRDefault="00BF7302" w:rsidP="001E6757">
            <w:pPr>
              <w:pStyle w:val="CommentText"/>
              <w:tabs>
                <w:tab w:val="decimal" w:pos="1350"/>
              </w:tabs>
              <w:jc w:val="right"/>
              <w:rPr>
                <w:sz w:val="24"/>
                <w:szCs w:val="24"/>
              </w:rPr>
            </w:pPr>
            <w:r>
              <w:rPr>
                <w:sz w:val="24"/>
                <w:szCs w:val="24"/>
              </w:rPr>
              <w:t>326</w:t>
            </w:r>
          </w:p>
        </w:tc>
        <w:tc>
          <w:tcPr>
            <w:tcW w:w="931" w:type="pct"/>
            <w:vAlign w:val="center"/>
          </w:tcPr>
          <w:p w14:paraId="495F4317" w14:textId="2EF4E4CB" w:rsidR="001E6757" w:rsidRPr="006822CA" w:rsidRDefault="001E6757" w:rsidP="001E6757">
            <w:pPr>
              <w:pStyle w:val="CommentText"/>
              <w:tabs>
                <w:tab w:val="decimal" w:pos="1350"/>
              </w:tabs>
              <w:jc w:val="right"/>
              <w:rPr>
                <w:sz w:val="24"/>
                <w:szCs w:val="24"/>
              </w:rPr>
            </w:pPr>
            <w:r w:rsidRPr="006D3B27">
              <w:rPr>
                <w:sz w:val="24"/>
                <w:szCs w:val="24"/>
              </w:rPr>
              <w:t>318</w:t>
            </w:r>
          </w:p>
        </w:tc>
      </w:tr>
      <w:tr w:rsidR="001E6757" w:rsidRPr="00D948C1" w14:paraId="22C73D30" w14:textId="77777777" w:rsidTr="0078602B">
        <w:tc>
          <w:tcPr>
            <w:tcW w:w="2682" w:type="pct"/>
          </w:tcPr>
          <w:p w14:paraId="0819A495" w14:textId="2B4A68D4" w:rsidR="001E6757" w:rsidRPr="00D948C1" w:rsidRDefault="001E6757" w:rsidP="001E6757">
            <w:pPr>
              <w:rPr>
                <w:szCs w:val="24"/>
              </w:rPr>
            </w:pPr>
            <w:r w:rsidRPr="00D948C1">
              <w:rPr>
                <w:szCs w:val="24"/>
              </w:rPr>
              <w:t>Short-Term Investments</w:t>
            </w:r>
          </w:p>
        </w:tc>
        <w:tc>
          <w:tcPr>
            <w:tcW w:w="542" w:type="pct"/>
          </w:tcPr>
          <w:p w14:paraId="44E5CE6B" w14:textId="0F3BB338" w:rsidR="001E6757" w:rsidRPr="00D948C1" w:rsidRDefault="001E6757" w:rsidP="001E6757">
            <w:pPr>
              <w:jc w:val="center"/>
              <w:rPr>
                <w:rStyle w:val="Hyperlink"/>
              </w:rPr>
            </w:pPr>
            <w:hyperlink w:anchor="N8" w:history="1">
              <w:r w:rsidRPr="00D948C1">
                <w:rPr>
                  <w:rStyle w:val="Hyperlink"/>
                  <w:szCs w:val="24"/>
                </w:rPr>
                <w:t>8</w:t>
              </w:r>
            </w:hyperlink>
          </w:p>
        </w:tc>
        <w:tc>
          <w:tcPr>
            <w:tcW w:w="845" w:type="pct"/>
            <w:vAlign w:val="center"/>
          </w:tcPr>
          <w:p w14:paraId="5ACB8F9D" w14:textId="1CEE86FE" w:rsidR="001E6757" w:rsidRPr="006D3B27" w:rsidRDefault="00BF7302" w:rsidP="001E6757">
            <w:pPr>
              <w:pStyle w:val="CommentText"/>
              <w:tabs>
                <w:tab w:val="decimal" w:pos="1350"/>
              </w:tabs>
              <w:jc w:val="right"/>
              <w:rPr>
                <w:sz w:val="24"/>
                <w:szCs w:val="24"/>
              </w:rPr>
            </w:pPr>
            <w:r>
              <w:rPr>
                <w:sz w:val="24"/>
                <w:szCs w:val="24"/>
              </w:rPr>
              <w:t>39,115</w:t>
            </w:r>
          </w:p>
        </w:tc>
        <w:tc>
          <w:tcPr>
            <w:tcW w:w="931" w:type="pct"/>
            <w:vAlign w:val="center"/>
          </w:tcPr>
          <w:p w14:paraId="4992FAF0" w14:textId="2D7218A1" w:rsidR="001E6757" w:rsidRPr="006822CA" w:rsidRDefault="001E6757" w:rsidP="001E6757">
            <w:pPr>
              <w:pStyle w:val="CommentText"/>
              <w:tabs>
                <w:tab w:val="decimal" w:pos="1350"/>
              </w:tabs>
              <w:jc w:val="right"/>
              <w:rPr>
                <w:sz w:val="24"/>
                <w:szCs w:val="24"/>
              </w:rPr>
            </w:pPr>
            <w:r w:rsidRPr="006D3B27">
              <w:rPr>
                <w:sz w:val="24"/>
                <w:szCs w:val="24"/>
              </w:rPr>
              <w:t>49,540</w:t>
            </w:r>
          </w:p>
        </w:tc>
      </w:tr>
      <w:tr w:rsidR="001E6757" w:rsidRPr="00D948C1" w14:paraId="65768B4B" w14:textId="77777777" w:rsidTr="0078602B">
        <w:tc>
          <w:tcPr>
            <w:tcW w:w="2682" w:type="pct"/>
          </w:tcPr>
          <w:p w14:paraId="50910678" w14:textId="0ACDF279" w:rsidR="001E6757" w:rsidRPr="00D948C1" w:rsidRDefault="001E6757" w:rsidP="001E6757">
            <w:pPr>
              <w:rPr>
                <w:szCs w:val="24"/>
              </w:rPr>
            </w:pPr>
            <w:r w:rsidRPr="00D948C1">
              <w:rPr>
                <w:szCs w:val="24"/>
              </w:rPr>
              <w:t>Short-Term Debtors</w:t>
            </w:r>
          </w:p>
        </w:tc>
        <w:tc>
          <w:tcPr>
            <w:tcW w:w="542" w:type="pct"/>
          </w:tcPr>
          <w:p w14:paraId="31553430" w14:textId="00572797" w:rsidR="001E6757" w:rsidRPr="00D948C1" w:rsidRDefault="001E6757" w:rsidP="001E6757">
            <w:pPr>
              <w:jc w:val="center"/>
              <w:rPr>
                <w:rStyle w:val="Hyperlink"/>
              </w:rPr>
            </w:pPr>
            <w:hyperlink w:anchor="N9" w:history="1">
              <w:r w:rsidRPr="00D948C1">
                <w:rPr>
                  <w:rStyle w:val="Hyperlink"/>
                  <w:szCs w:val="24"/>
                </w:rPr>
                <w:t>9</w:t>
              </w:r>
            </w:hyperlink>
          </w:p>
        </w:tc>
        <w:tc>
          <w:tcPr>
            <w:tcW w:w="845" w:type="pct"/>
            <w:vAlign w:val="center"/>
          </w:tcPr>
          <w:p w14:paraId="66B211AB" w14:textId="06862037" w:rsidR="001E6757" w:rsidRPr="006D3B27" w:rsidRDefault="00BF7302" w:rsidP="001E6757">
            <w:pPr>
              <w:pStyle w:val="CommentText"/>
              <w:tabs>
                <w:tab w:val="decimal" w:pos="1350"/>
              </w:tabs>
              <w:jc w:val="right"/>
              <w:rPr>
                <w:sz w:val="24"/>
                <w:szCs w:val="24"/>
              </w:rPr>
            </w:pPr>
            <w:r>
              <w:rPr>
                <w:sz w:val="24"/>
                <w:szCs w:val="24"/>
              </w:rPr>
              <w:t>11,113</w:t>
            </w:r>
          </w:p>
        </w:tc>
        <w:tc>
          <w:tcPr>
            <w:tcW w:w="931" w:type="pct"/>
            <w:vAlign w:val="center"/>
          </w:tcPr>
          <w:p w14:paraId="08634E3C" w14:textId="465B98EA" w:rsidR="001E6757" w:rsidRPr="006822CA" w:rsidRDefault="001E6757" w:rsidP="001E6757">
            <w:pPr>
              <w:pStyle w:val="CommentText"/>
              <w:tabs>
                <w:tab w:val="decimal" w:pos="1350"/>
              </w:tabs>
              <w:jc w:val="right"/>
              <w:rPr>
                <w:sz w:val="24"/>
                <w:szCs w:val="24"/>
              </w:rPr>
            </w:pPr>
            <w:r w:rsidRPr="006D3B27">
              <w:rPr>
                <w:sz w:val="24"/>
                <w:szCs w:val="24"/>
              </w:rPr>
              <w:t>7,925</w:t>
            </w:r>
          </w:p>
        </w:tc>
      </w:tr>
      <w:tr w:rsidR="001E6757" w:rsidRPr="00D948C1" w14:paraId="114D9BE9" w14:textId="77777777" w:rsidTr="000C6370">
        <w:tc>
          <w:tcPr>
            <w:tcW w:w="2682" w:type="pct"/>
            <w:tcBorders>
              <w:bottom w:val="single" w:sz="4" w:space="0" w:color="auto"/>
            </w:tcBorders>
          </w:tcPr>
          <w:p w14:paraId="6B0C0EBB" w14:textId="77777777" w:rsidR="001E6757" w:rsidRPr="00D948C1" w:rsidRDefault="001E6757" w:rsidP="001E6757">
            <w:pPr>
              <w:rPr>
                <w:szCs w:val="24"/>
              </w:rPr>
            </w:pPr>
            <w:r w:rsidRPr="00D948C1">
              <w:rPr>
                <w:szCs w:val="24"/>
              </w:rPr>
              <w:t>Cash &amp; Cash Equivalents</w:t>
            </w:r>
          </w:p>
        </w:tc>
        <w:tc>
          <w:tcPr>
            <w:tcW w:w="542" w:type="pct"/>
            <w:tcBorders>
              <w:bottom w:val="single" w:sz="4" w:space="0" w:color="auto"/>
            </w:tcBorders>
          </w:tcPr>
          <w:p w14:paraId="583A6042" w14:textId="2A9680D5" w:rsidR="001E6757" w:rsidRPr="00D948C1" w:rsidRDefault="001E6757" w:rsidP="001E6757">
            <w:pPr>
              <w:jc w:val="center"/>
              <w:rPr>
                <w:rStyle w:val="Hyperlink"/>
              </w:rPr>
            </w:pPr>
            <w:hyperlink w:anchor="N10" w:history="1">
              <w:r w:rsidRPr="00D948C1">
                <w:rPr>
                  <w:rStyle w:val="Hyperlink"/>
                  <w:szCs w:val="24"/>
                </w:rPr>
                <w:t>10</w:t>
              </w:r>
            </w:hyperlink>
          </w:p>
        </w:tc>
        <w:tc>
          <w:tcPr>
            <w:tcW w:w="845" w:type="pct"/>
            <w:tcBorders>
              <w:bottom w:val="single" w:sz="4" w:space="0" w:color="auto"/>
            </w:tcBorders>
            <w:vAlign w:val="center"/>
          </w:tcPr>
          <w:p w14:paraId="489DFF37" w14:textId="3EB27434" w:rsidR="001E6757" w:rsidRPr="006D3B27" w:rsidRDefault="00BF7302" w:rsidP="001E6757">
            <w:pPr>
              <w:pStyle w:val="CommentText"/>
              <w:tabs>
                <w:tab w:val="decimal" w:pos="1350"/>
              </w:tabs>
              <w:jc w:val="right"/>
              <w:rPr>
                <w:sz w:val="24"/>
                <w:szCs w:val="24"/>
              </w:rPr>
            </w:pPr>
            <w:r>
              <w:rPr>
                <w:sz w:val="24"/>
                <w:szCs w:val="24"/>
              </w:rPr>
              <w:t>451</w:t>
            </w:r>
          </w:p>
        </w:tc>
        <w:tc>
          <w:tcPr>
            <w:tcW w:w="931" w:type="pct"/>
            <w:tcBorders>
              <w:bottom w:val="single" w:sz="4" w:space="0" w:color="auto"/>
            </w:tcBorders>
            <w:vAlign w:val="center"/>
          </w:tcPr>
          <w:p w14:paraId="43E0CDB0" w14:textId="5B010CB2" w:rsidR="001E6757" w:rsidRPr="006822CA" w:rsidRDefault="001E6757" w:rsidP="001E6757">
            <w:pPr>
              <w:tabs>
                <w:tab w:val="decimal" w:pos="1350"/>
              </w:tabs>
              <w:jc w:val="right"/>
              <w:rPr>
                <w:szCs w:val="24"/>
              </w:rPr>
            </w:pPr>
            <w:r w:rsidRPr="006D3B27">
              <w:rPr>
                <w:szCs w:val="24"/>
              </w:rPr>
              <w:t>582</w:t>
            </w:r>
          </w:p>
        </w:tc>
      </w:tr>
      <w:tr w:rsidR="001E6757" w:rsidRPr="00D948C1" w14:paraId="6E20B2F6" w14:textId="77777777" w:rsidTr="000C6370">
        <w:trPr>
          <w:trHeight w:val="182"/>
        </w:trPr>
        <w:tc>
          <w:tcPr>
            <w:tcW w:w="2682" w:type="pct"/>
            <w:tcBorders>
              <w:top w:val="single" w:sz="4" w:space="0" w:color="auto"/>
              <w:left w:val="single" w:sz="4" w:space="0" w:color="auto"/>
              <w:bottom w:val="single" w:sz="4" w:space="0" w:color="auto"/>
              <w:right w:val="single" w:sz="4" w:space="0" w:color="auto"/>
            </w:tcBorders>
          </w:tcPr>
          <w:p w14:paraId="13A28AC3" w14:textId="54D5EB18" w:rsidR="001E6757" w:rsidRPr="00D948C1" w:rsidRDefault="001E6757" w:rsidP="001E6757">
            <w:pPr>
              <w:rPr>
                <w:szCs w:val="24"/>
              </w:rPr>
            </w:pPr>
            <w:r w:rsidRPr="00D948C1">
              <w:rPr>
                <w:szCs w:val="24"/>
              </w:rPr>
              <w:t>Current Assets total</w:t>
            </w:r>
          </w:p>
        </w:tc>
        <w:tc>
          <w:tcPr>
            <w:tcW w:w="542" w:type="pct"/>
            <w:tcBorders>
              <w:top w:val="single" w:sz="4" w:space="0" w:color="auto"/>
              <w:left w:val="single" w:sz="4" w:space="0" w:color="auto"/>
              <w:bottom w:val="single" w:sz="4" w:space="0" w:color="auto"/>
              <w:right w:val="single" w:sz="4" w:space="0" w:color="auto"/>
            </w:tcBorders>
          </w:tcPr>
          <w:p w14:paraId="5587BAAD" w14:textId="77777777" w:rsidR="001E6757" w:rsidRPr="00D948C1" w:rsidRDefault="001E6757" w:rsidP="001E6757">
            <w:pPr>
              <w:pStyle w:val="CommentText"/>
              <w:tabs>
                <w:tab w:val="decimal" w:pos="1350"/>
              </w:tabs>
              <w:jc w:val="right"/>
              <w:rPr>
                <w:sz w:val="24"/>
                <w:szCs w:val="24"/>
              </w:rPr>
            </w:pPr>
          </w:p>
        </w:tc>
        <w:tc>
          <w:tcPr>
            <w:tcW w:w="845" w:type="pct"/>
            <w:tcBorders>
              <w:top w:val="single" w:sz="4" w:space="0" w:color="auto"/>
              <w:left w:val="single" w:sz="4" w:space="0" w:color="auto"/>
              <w:bottom w:val="single" w:sz="4" w:space="0" w:color="auto"/>
              <w:right w:val="single" w:sz="4" w:space="0" w:color="auto"/>
            </w:tcBorders>
            <w:vAlign w:val="center"/>
          </w:tcPr>
          <w:p w14:paraId="5DB228D7" w14:textId="2EF7151E" w:rsidR="001E6757" w:rsidRPr="006D3B27" w:rsidRDefault="00BF7302" w:rsidP="001E6757">
            <w:pPr>
              <w:pStyle w:val="CommentText"/>
              <w:tabs>
                <w:tab w:val="decimal" w:pos="1350"/>
              </w:tabs>
              <w:jc w:val="right"/>
              <w:rPr>
                <w:sz w:val="24"/>
                <w:szCs w:val="24"/>
              </w:rPr>
            </w:pPr>
            <w:r>
              <w:rPr>
                <w:sz w:val="24"/>
                <w:szCs w:val="24"/>
              </w:rPr>
              <w:t>51,005</w:t>
            </w:r>
          </w:p>
        </w:tc>
        <w:tc>
          <w:tcPr>
            <w:tcW w:w="931" w:type="pct"/>
            <w:tcBorders>
              <w:top w:val="single" w:sz="4" w:space="0" w:color="auto"/>
              <w:left w:val="single" w:sz="4" w:space="0" w:color="auto"/>
              <w:bottom w:val="single" w:sz="4" w:space="0" w:color="auto"/>
              <w:right w:val="single" w:sz="4" w:space="0" w:color="auto"/>
            </w:tcBorders>
            <w:vAlign w:val="center"/>
          </w:tcPr>
          <w:p w14:paraId="7EDD236E" w14:textId="066425A4" w:rsidR="001E6757" w:rsidRPr="006822CA" w:rsidRDefault="001E6757" w:rsidP="001E6757">
            <w:pPr>
              <w:pStyle w:val="CommentText"/>
              <w:tabs>
                <w:tab w:val="decimal" w:pos="1350"/>
              </w:tabs>
              <w:jc w:val="right"/>
              <w:rPr>
                <w:sz w:val="24"/>
                <w:szCs w:val="24"/>
              </w:rPr>
            </w:pPr>
            <w:r w:rsidRPr="006D3B27">
              <w:rPr>
                <w:sz w:val="24"/>
                <w:szCs w:val="24"/>
              </w:rPr>
              <w:t>58,365</w:t>
            </w:r>
          </w:p>
        </w:tc>
      </w:tr>
    </w:tbl>
    <w:p w14:paraId="20BF2C6E" w14:textId="77777777" w:rsidR="00FA18E2" w:rsidRPr="00D948C1" w:rsidRDefault="00FA18E2"/>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1079"/>
        <w:gridCol w:w="1757"/>
        <w:gridCol w:w="1883"/>
      </w:tblGrid>
      <w:tr w:rsidR="00233A66" w:rsidRPr="00D948C1" w14:paraId="29A85218" w14:textId="77777777" w:rsidTr="00BC3251">
        <w:tc>
          <w:tcPr>
            <w:tcW w:w="5000" w:type="pct"/>
            <w:gridSpan w:val="4"/>
            <w:shd w:val="clear" w:color="auto" w:fill="D9D9D9" w:themeFill="background1" w:themeFillShade="D9"/>
          </w:tcPr>
          <w:p w14:paraId="4FA02FE7" w14:textId="53B47043" w:rsidR="00233A66" w:rsidRPr="00D948C1" w:rsidRDefault="00233A66" w:rsidP="00F32423">
            <w:pPr>
              <w:tabs>
                <w:tab w:val="decimal" w:pos="601"/>
                <w:tab w:val="decimal" w:pos="792"/>
                <w:tab w:val="decimal" w:pos="1350"/>
              </w:tabs>
              <w:rPr>
                <w:szCs w:val="24"/>
              </w:rPr>
            </w:pPr>
            <w:r w:rsidRPr="00D948C1">
              <w:rPr>
                <w:b/>
                <w:szCs w:val="24"/>
              </w:rPr>
              <w:t>Current Liabilities</w:t>
            </w:r>
          </w:p>
        </w:tc>
      </w:tr>
      <w:tr w:rsidR="001E6757" w:rsidRPr="00D948C1" w14:paraId="501D220B" w14:textId="77777777" w:rsidTr="0078602B">
        <w:tc>
          <w:tcPr>
            <w:tcW w:w="2664" w:type="pct"/>
          </w:tcPr>
          <w:p w14:paraId="2BE9D03D" w14:textId="41D5AB77" w:rsidR="001E6757" w:rsidRPr="00D948C1" w:rsidRDefault="001E6757" w:rsidP="001E6757">
            <w:pPr>
              <w:rPr>
                <w:szCs w:val="24"/>
              </w:rPr>
            </w:pPr>
            <w:r>
              <w:rPr>
                <w:szCs w:val="24"/>
              </w:rPr>
              <w:t>Grants Received in Advance</w:t>
            </w:r>
          </w:p>
        </w:tc>
        <w:tc>
          <w:tcPr>
            <w:tcW w:w="534" w:type="pct"/>
          </w:tcPr>
          <w:p w14:paraId="43E6824F" w14:textId="71C0EC7C" w:rsidR="001E6757" w:rsidRDefault="001E6757" w:rsidP="001E6757">
            <w:pPr>
              <w:jc w:val="center"/>
            </w:pPr>
            <w:hyperlink w:anchor="_12_Grants_Received" w:history="1">
              <w:r>
                <w:rPr>
                  <w:rStyle w:val="Hyperlink"/>
                </w:rPr>
                <w:t>12</w:t>
              </w:r>
            </w:hyperlink>
          </w:p>
        </w:tc>
        <w:tc>
          <w:tcPr>
            <w:tcW w:w="870" w:type="pct"/>
            <w:vAlign w:val="center"/>
          </w:tcPr>
          <w:p w14:paraId="7D21FBD8" w14:textId="30E68BA2" w:rsidR="001E6757" w:rsidRPr="006D3B27" w:rsidRDefault="00F95FD8" w:rsidP="001E6757">
            <w:pPr>
              <w:pStyle w:val="CommentText"/>
              <w:tabs>
                <w:tab w:val="decimal" w:pos="1350"/>
              </w:tabs>
              <w:jc w:val="right"/>
              <w:rPr>
                <w:sz w:val="24"/>
                <w:szCs w:val="24"/>
              </w:rPr>
            </w:pPr>
            <w:r>
              <w:rPr>
                <w:sz w:val="24"/>
                <w:szCs w:val="24"/>
              </w:rPr>
              <w:t>(4</w:t>
            </w:r>
            <w:r w:rsidR="0085783C">
              <w:rPr>
                <w:sz w:val="24"/>
                <w:szCs w:val="24"/>
              </w:rPr>
              <w:t>40</w:t>
            </w:r>
            <w:r>
              <w:rPr>
                <w:sz w:val="24"/>
                <w:szCs w:val="24"/>
              </w:rPr>
              <w:t>)</w:t>
            </w:r>
          </w:p>
        </w:tc>
        <w:tc>
          <w:tcPr>
            <w:tcW w:w="932" w:type="pct"/>
            <w:vAlign w:val="center"/>
          </w:tcPr>
          <w:p w14:paraId="1BC783EF" w14:textId="593B44A5" w:rsidR="001E6757" w:rsidRPr="006822CA" w:rsidRDefault="001E6757" w:rsidP="001E6757">
            <w:pPr>
              <w:tabs>
                <w:tab w:val="decimal" w:pos="1350"/>
              </w:tabs>
              <w:jc w:val="right"/>
              <w:rPr>
                <w:szCs w:val="24"/>
              </w:rPr>
            </w:pPr>
            <w:r>
              <w:rPr>
                <w:szCs w:val="24"/>
              </w:rPr>
              <w:t>(4,581)</w:t>
            </w:r>
          </w:p>
        </w:tc>
      </w:tr>
      <w:tr w:rsidR="001E6757" w:rsidRPr="00D948C1" w14:paraId="1743A6FC" w14:textId="77777777" w:rsidTr="0078602B">
        <w:tc>
          <w:tcPr>
            <w:tcW w:w="2664" w:type="pct"/>
          </w:tcPr>
          <w:p w14:paraId="0891E470" w14:textId="1BFCA8E6" w:rsidR="001E6757" w:rsidRPr="00D948C1" w:rsidRDefault="001E6757" w:rsidP="001E6757">
            <w:pPr>
              <w:rPr>
                <w:szCs w:val="24"/>
              </w:rPr>
            </w:pPr>
            <w:r w:rsidRPr="00D948C1">
              <w:rPr>
                <w:szCs w:val="24"/>
              </w:rPr>
              <w:t>Other Short-Term Liabilities</w:t>
            </w:r>
          </w:p>
        </w:tc>
        <w:tc>
          <w:tcPr>
            <w:tcW w:w="534" w:type="pct"/>
          </w:tcPr>
          <w:p w14:paraId="4FC16D61" w14:textId="11F40776" w:rsidR="001E6757" w:rsidRPr="00D948C1" w:rsidRDefault="001E6757" w:rsidP="001E6757">
            <w:pPr>
              <w:jc w:val="center"/>
              <w:rPr>
                <w:rStyle w:val="Hyperlink"/>
              </w:rPr>
            </w:pPr>
            <w:hyperlink w:anchor="N8" w:history="1">
              <w:r w:rsidRPr="00D948C1">
                <w:rPr>
                  <w:rStyle w:val="Hyperlink"/>
                  <w:szCs w:val="24"/>
                </w:rPr>
                <w:t>8</w:t>
              </w:r>
            </w:hyperlink>
          </w:p>
        </w:tc>
        <w:tc>
          <w:tcPr>
            <w:tcW w:w="870" w:type="pct"/>
            <w:vAlign w:val="center"/>
          </w:tcPr>
          <w:p w14:paraId="5FF559FA" w14:textId="0276582A" w:rsidR="001E6757" w:rsidRPr="006D3B27" w:rsidRDefault="0085783C" w:rsidP="001E6757">
            <w:pPr>
              <w:pStyle w:val="CommentText"/>
              <w:tabs>
                <w:tab w:val="decimal" w:pos="1350"/>
              </w:tabs>
              <w:jc w:val="right"/>
              <w:rPr>
                <w:sz w:val="24"/>
                <w:szCs w:val="24"/>
              </w:rPr>
            </w:pPr>
            <w:r>
              <w:rPr>
                <w:sz w:val="24"/>
                <w:szCs w:val="24"/>
              </w:rPr>
              <w:t>(</w:t>
            </w:r>
            <w:r w:rsidR="00D41870">
              <w:rPr>
                <w:sz w:val="24"/>
                <w:szCs w:val="24"/>
              </w:rPr>
              <w:t>769)</w:t>
            </w:r>
          </w:p>
        </w:tc>
        <w:tc>
          <w:tcPr>
            <w:tcW w:w="932" w:type="pct"/>
            <w:vAlign w:val="center"/>
          </w:tcPr>
          <w:p w14:paraId="5FD7A2A8" w14:textId="1776BFCE" w:rsidR="001E6757" w:rsidRPr="006822CA" w:rsidRDefault="001E6757" w:rsidP="001E6757">
            <w:pPr>
              <w:tabs>
                <w:tab w:val="decimal" w:pos="1350"/>
              </w:tabs>
              <w:jc w:val="right"/>
              <w:rPr>
                <w:szCs w:val="24"/>
              </w:rPr>
            </w:pPr>
            <w:r w:rsidRPr="006D3B27">
              <w:rPr>
                <w:szCs w:val="24"/>
              </w:rPr>
              <w:t>(</w:t>
            </w:r>
            <w:r>
              <w:rPr>
                <w:szCs w:val="24"/>
              </w:rPr>
              <w:t>672</w:t>
            </w:r>
            <w:r w:rsidRPr="006D3B27">
              <w:rPr>
                <w:szCs w:val="24"/>
              </w:rPr>
              <w:t>)</w:t>
            </w:r>
          </w:p>
        </w:tc>
      </w:tr>
      <w:tr w:rsidR="001E6757" w:rsidRPr="00D948C1" w14:paraId="7549EB55" w14:textId="77777777" w:rsidTr="0078602B">
        <w:tc>
          <w:tcPr>
            <w:tcW w:w="2664" w:type="pct"/>
          </w:tcPr>
          <w:p w14:paraId="0D3640A2" w14:textId="1E90D3E5" w:rsidR="001E6757" w:rsidRPr="00D948C1" w:rsidRDefault="001E6757" w:rsidP="001E6757">
            <w:pPr>
              <w:rPr>
                <w:szCs w:val="24"/>
              </w:rPr>
            </w:pPr>
            <w:r w:rsidRPr="00D948C1">
              <w:rPr>
                <w:szCs w:val="24"/>
              </w:rPr>
              <w:t>Short-Term Creditors</w:t>
            </w:r>
          </w:p>
        </w:tc>
        <w:tc>
          <w:tcPr>
            <w:tcW w:w="534" w:type="pct"/>
          </w:tcPr>
          <w:p w14:paraId="443A5ADE" w14:textId="59CF02B2" w:rsidR="001E6757" w:rsidRPr="00D948C1" w:rsidRDefault="001E6757" w:rsidP="001E6757">
            <w:pPr>
              <w:jc w:val="center"/>
              <w:rPr>
                <w:rStyle w:val="Hyperlink"/>
              </w:rPr>
            </w:pPr>
            <w:hyperlink w:anchor="N11" w:history="1">
              <w:r w:rsidRPr="00D948C1">
                <w:rPr>
                  <w:rStyle w:val="Hyperlink"/>
                  <w:szCs w:val="24"/>
                </w:rPr>
                <w:t>11</w:t>
              </w:r>
            </w:hyperlink>
          </w:p>
        </w:tc>
        <w:tc>
          <w:tcPr>
            <w:tcW w:w="870" w:type="pct"/>
            <w:vAlign w:val="center"/>
          </w:tcPr>
          <w:p w14:paraId="755A5094" w14:textId="09846EF2" w:rsidR="001E6757" w:rsidRPr="006D3B27" w:rsidRDefault="00D41870" w:rsidP="001E6757">
            <w:pPr>
              <w:pStyle w:val="CommentText"/>
              <w:tabs>
                <w:tab w:val="decimal" w:pos="1350"/>
              </w:tabs>
              <w:jc w:val="right"/>
              <w:rPr>
                <w:sz w:val="24"/>
                <w:szCs w:val="24"/>
              </w:rPr>
            </w:pPr>
            <w:r>
              <w:rPr>
                <w:sz w:val="24"/>
                <w:szCs w:val="24"/>
              </w:rPr>
              <w:t>(11,294)</w:t>
            </w:r>
          </w:p>
        </w:tc>
        <w:tc>
          <w:tcPr>
            <w:tcW w:w="932" w:type="pct"/>
            <w:vAlign w:val="center"/>
          </w:tcPr>
          <w:p w14:paraId="6E4BF6DD" w14:textId="0DCE8216" w:rsidR="001E6757" w:rsidRPr="006822CA" w:rsidRDefault="001E6757" w:rsidP="001E6757">
            <w:pPr>
              <w:tabs>
                <w:tab w:val="decimal" w:pos="1350"/>
              </w:tabs>
              <w:jc w:val="right"/>
              <w:rPr>
                <w:szCs w:val="24"/>
              </w:rPr>
            </w:pPr>
            <w:r w:rsidRPr="006D3B27">
              <w:rPr>
                <w:szCs w:val="24"/>
              </w:rPr>
              <w:t>(14,732)</w:t>
            </w:r>
          </w:p>
        </w:tc>
      </w:tr>
      <w:tr w:rsidR="001E6757" w:rsidRPr="00D948C1" w14:paraId="6E1B7B90" w14:textId="77777777" w:rsidTr="0078602B">
        <w:tc>
          <w:tcPr>
            <w:tcW w:w="2664" w:type="pct"/>
          </w:tcPr>
          <w:p w14:paraId="3FC19443" w14:textId="125D4B3A" w:rsidR="001E6757" w:rsidRPr="00D948C1" w:rsidRDefault="001E6757" w:rsidP="001E6757">
            <w:pPr>
              <w:rPr>
                <w:szCs w:val="24"/>
              </w:rPr>
            </w:pPr>
            <w:r w:rsidRPr="00D948C1">
              <w:rPr>
                <w:szCs w:val="24"/>
              </w:rPr>
              <w:t>Current Liabilities total</w:t>
            </w:r>
          </w:p>
        </w:tc>
        <w:tc>
          <w:tcPr>
            <w:tcW w:w="534" w:type="pct"/>
          </w:tcPr>
          <w:p w14:paraId="2123CB3D" w14:textId="77777777" w:rsidR="001E6757" w:rsidRPr="00D948C1" w:rsidRDefault="001E6757" w:rsidP="001E6757">
            <w:pPr>
              <w:pStyle w:val="CommentText"/>
              <w:tabs>
                <w:tab w:val="decimal" w:pos="1350"/>
              </w:tabs>
              <w:jc w:val="right"/>
              <w:rPr>
                <w:sz w:val="24"/>
                <w:szCs w:val="24"/>
              </w:rPr>
            </w:pPr>
          </w:p>
        </w:tc>
        <w:tc>
          <w:tcPr>
            <w:tcW w:w="870" w:type="pct"/>
            <w:vAlign w:val="center"/>
          </w:tcPr>
          <w:p w14:paraId="00619F91" w14:textId="06BE118C" w:rsidR="001E6757" w:rsidRPr="006D3B27" w:rsidRDefault="00D41870" w:rsidP="001E6757">
            <w:pPr>
              <w:pStyle w:val="CommentText"/>
              <w:tabs>
                <w:tab w:val="decimal" w:pos="1350"/>
              </w:tabs>
              <w:jc w:val="right"/>
              <w:rPr>
                <w:sz w:val="24"/>
                <w:szCs w:val="24"/>
              </w:rPr>
            </w:pPr>
            <w:r>
              <w:rPr>
                <w:sz w:val="24"/>
                <w:szCs w:val="24"/>
              </w:rPr>
              <w:t>(12,503)</w:t>
            </w:r>
          </w:p>
        </w:tc>
        <w:tc>
          <w:tcPr>
            <w:tcW w:w="932" w:type="pct"/>
            <w:vAlign w:val="center"/>
          </w:tcPr>
          <w:p w14:paraId="06BCD108" w14:textId="1B4B1DBE" w:rsidR="001E6757" w:rsidRPr="006822CA" w:rsidRDefault="001E6757" w:rsidP="001E6757">
            <w:pPr>
              <w:tabs>
                <w:tab w:val="decimal" w:pos="1350"/>
              </w:tabs>
              <w:jc w:val="right"/>
              <w:rPr>
                <w:szCs w:val="24"/>
              </w:rPr>
            </w:pPr>
            <w:r w:rsidRPr="006D3B27">
              <w:rPr>
                <w:szCs w:val="24"/>
              </w:rPr>
              <w:t>(19,984)</w:t>
            </w:r>
          </w:p>
        </w:tc>
      </w:tr>
    </w:tbl>
    <w:p w14:paraId="61184CB4" w14:textId="77777777" w:rsidR="00FA18E2" w:rsidRPr="00D948C1" w:rsidRDefault="00FA18E2"/>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1"/>
        <w:gridCol w:w="1066"/>
        <w:gridCol w:w="1759"/>
        <w:gridCol w:w="1882"/>
      </w:tblGrid>
      <w:tr w:rsidR="00233A66" w:rsidRPr="00D948C1" w14:paraId="27F6061F" w14:textId="77777777" w:rsidTr="00036C34">
        <w:tc>
          <w:tcPr>
            <w:tcW w:w="5000" w:type="pct"/>
            <w:gridSpan w:val="4"/>
            <w:shd w:val="clear" w:color="auto" w:fill="D9D9D9" w:themeFill="background1" w:themeFillShade="D9"/>
          </w:tcPr>
          <w:p w14:paraId="1C6C4436" w14:textId="16D6C305" w:rsidR="00233A66" w:rsidRPr="00D948C1" w:rsidRDefault="00233A66" w:rsidP="00F32423">
            <w:pPr>
              <w:tabs>
                <w:tab w:val="decimal" w:pos="601"/>
                <w:tab w:val="decimal" w:pos="703"/>
                <w:tab w:val="decimal" w:pos="1350"/>
              </w:tabs>
              <w:rPr>
                <w:szCs w:val="24"/>
              </w:rPr>
            </w:pPr>
            <w:r w:rsidRPr="00D948C1">
              <w:rPr>
                <w:b/>
                <w:szCs w:val="24"/>
              </w:rPr>
              <w:t>Long-Term Liabilities</w:t>
            </w:r>
          </w:p>
        </w:tc>
      </w:tr>
      <w:tr w:rsidR="001E6757" w:rsidRPr="00D948C1" w14:paraId="43ED1FCE" w14:textId="77777777" w:rsidTr="001E6757">
        <w:tc>
          <w:tcPr>
            <w:tcW w:w="2669" w:type="pct"/>
          </w:tcPr>
          <w:p w14:paraId="04B39D92" w14:textId="02A0F20D" w:rsidR="001E6757" w:rsidRPr="00D948C1" w:rsidRDefault="001E6757" w:rsidP="001E6757">
            <w:pPr>
              <w:tabs>
                <w:tab w:val="left" w:pos="3900"/>
              </w:tabs>
              <w:rPr>
                <w:szCs w:val="24"/>
              </w:rPr>
            </w:pPr>
            <w:r w:rsidRPr="00D948C1">
              <w:rPr>
                <w:szCs w:val="24"/>
              </w:rPr>
              <w:t>Provisions</w:t>
            </w:r>
            <w:r w:rsidRPr="00D948C1">
              <w:rPr>
                <w:szCs w:val="24"/>
              </w:rPr>
              <w:tab/>
            </w:r>
          </w:p>
        </w:tc>
        <w:tc>
          <w:tcPr>
            <w:tcW w:w="528" w:type="pct"/>
          </w:tcPr>
          <w:p w14:paraId="3760958F" w14:textId="68B39548" w:rsidR="001E6757" w:rsidRPr="00D948C1" w:rsidRDefault="001E6757" w:rsidP="001E6757">
            <w:pPr>
              <w:jc w:val="center"/>
              <w:rPr>
                <w:rStyle w:val="Hyperlink"/>
              </w:rPr>
            </w:pPr>
            <w:hyperlink w:anchor="_13_Provisions" w:history="1">
              <w:r>
                <w:rPr>
                  <w:rStyle w:val="Hyperlink"/>
                  <w:szCs w:val="24"/>
                </w:rPr>
                <w:t>13</w:t>
              </w:r>
            </w:hyperlink>
          </w:p>
        </w:tc>
        <w:tc>
          <w:tcPr>
            <w:tcW w:w="871" w:type="pct"/>
            <w:vAlign w:val="center"/>
          </w:tcPr>
          <w:p w14:paraId="79B0A3A8" w14:textId="525CFD03" w:rsidR="001E6757" w:rsidRPr="006D3B27" w:rsidRDefault="00D41870" w:rsidP="001E6757">
            <w:pPr>
              <w:pStyle w:val="CommentText"/>
              <w:tabs>
                <w:tab w:val="decimal" w:pos="1350"/>
              </w:tabs>
              <w:jc w:val="right"/>
              <w:rPr>
                <w:sz w:val="24"/>
                <w:szCs w:val="24"/>
              </w:rPr>
            </w:pPr>
            <w:r>
              <w:rPr>
                <w:sz w:val="24"/>
                <w:szCs w:val="24"/>
              </w:rPr>
              <w:t>(1,653)</w:t>
            </w:r>
          </w:p>
        </w:tc>
        <w:tc>
          <w:tcPr>
            <w:tcW w:w="932" w:type="pct"/>
            <w:vAlign w:val="center"/>
          </w:tcPr>
          <w:p w14:paraId="040F40B8" w14:textId="4BF0310A" w:rsidR="001E6757" w:rsidRPr="006822CA" w:rsidRDefault="001E6757" w:rsidP="001E6757">
            <w:pPr>
              <w:pStyle w:val="CommentText"/>
              <w:tabs>
                <w:tab w:val="decimal" w:pos="1350"/>
              </w:tabs>
              <w:jc w:val="right"/>
              <w:rPr>
                <w:sz w:val="24"/>
                <w:szCs w:val="24"/>
              </w:rPr>
            </w:pPr>
            <w:r w:rsidRPr="006D3B27">
              <w:rPr>
                <w:sz w:val="24"/>
                <w:szCs w:val="24"/>
              </w:rPr>
              <w:t>(1,246)</w:t>
            </w:r>
          </w:p>
        </w:tc>
      </w:tr>
      <w:tr w:rsidR="001E6757" w:rsidRPr="00D948C1" w14:paraId="2D3B9564" w14:textId="77777777" w:rsidTr="001E6757">
        <w:tc>
          <w:tcPr>
            <w:tcW w:w="2669" w:type="pct"/>
          </w:tcPr>
          <w:p w14:paraId="7E042688" w14:textId="58B200C5" w:rsidR="001E6757" w:rsidRPr="00D948C1" w:rsidRDefault="001E6757" w:rsidP="001E6757">
            <w:pPr>
              <w:rPr>
                <w:szCs w:val="24"/>
              </w:rPr>
            </w:pPr>
            <w:r w:rsidRPr="00D948C1">
              <w:rPr>
                <w:szCs w:val="24"/>
              </w:rPr>
              <w:t>Long-Term Borrowing</w:t>
            </w:r>
          </w:p>
        </w:tc>
        <w:tc>
          <w:tcPr>
            <w:tcW w:w="528" w:type="pct"/>
          </w:tcPr>
          <w:p w14:paraId="7F4FB273" w14:textId="4F5063AA" w:rsidR="001E6757" w:rsidRPr="00D948C1" w:rsidRDefault="001E6757" w:rsidP="001E6757">
            <w:pPr>
              <w:jc w:val="center"/>
              <w:rPr>
                <w:rStyle w:val="Hyperlink"/>
              </w:rPr>
            </w:pPr>
            <w:hyperlink w:anchor="N8" w:history="1">
              <w:r w:rsidRPr="00D948C1">
                <w:rPr>
                  <w:rStyle w:val="Hyperlink"/>
                  <w:szCs w:val="24"/>
                </w:rPr>
                <w:t>8</w:t>
              </w:r>
            </w:hyperlink>
          </w:p>
        </w:tc>
        <w:tc>
          <w:tcPr>
            <w:tcW w:w="871" w:type="pct"/>
            <w:vAlign w:val="center"/>
          </w:tcPr>
          <w:p w14:paraId="004736CE" w14:textId="78C431D7" w:rsidR="001E6757" w:rsidRPr="006D3B27" w:rsidRDefault="009D338F" w:rsidP="001E6757">
            <w:pPr>
              <w:pStyle w:val="CommentText"/>
              <w:tabs>
                <w:tab w:val="decimal" w:pos="1350"/>
              </w:tabs>
              <w:jc w:val="right"/>
              <w:rPr>
                <w:sz w:val="24"/>
                <w:szCs w:val="24"/>
              </w:rPr>
            </w:pPr>
            <w:r>
              <w:rPr>
                <w:sz w:val="24"/>
                <w:szCs w:val="24"/>
              </w:rPr>
              <w:t>(2,000)</w:t>
            </w:r>
          </w:p>
        </w:tc>
        <w:tc>
          <w:tcPr>
            <w:tcW w:w="932" w:type="pct"/>
            <w:vAlign w:val="center"/>
          </w:tcPr>
          <w:p w14:paraId="27FE3670" w14:textId="120150A2" w:rsidR="001E6757" w:rsidRPr="006822CA" w:rsidRDefault="001E6757" w:rsidP="001E6757">
            <w:pPr>
              <w:pStyle w:val="CommentText"/>
              <w:tabs>
                <w:tab w:val="decimal" w:pos="1350"/>
              </w:tabs>
              <w:jc w:val="right"/>
              <w:rPr>
                <w:sz w:val="24"/>
                <w:szCs w:val="24"/>
              </w:rPr>
            </w:pPr>
            <w:r w:rsidRPr="006D3B27">
              <w:rPr>
                <w:sz w:val="24"/>
                <w:szCs w:val="24"/>
              </w:rPr>
              <w:t>(2,000)</w:t>
            </w:r>
          </w:p>
        </w:tc>
      </w:tr>
      <w:tr w:rsidR="001E6757" w:rsidRPr="00D948C1" w14:paraId="6C35C4CF" w14:textId="77777777" w:rsidTr="008F7BCA">
        <w:tc>
          <w:tcPr>
            <w:tcW w:w="2669" w:type="pct"/>
            <w:tcBorders>
              <w:bottom w:val="single" w:sz="4" w:space="0" w:color="auto"/>
            </w:tcBorders>
            <w:vAlign w:val="center"/>
          </w:tcPr>
          <w:p w14:paraId="400AF1D2" w14:textId="53D82DDF" w:rsidR="001E6757" w:rsidRPr="00D948C1" w:rsidRDefault="001E6757" w:rsidP="001E6757">
            <w:pPr>
              <w:rPr>
                <w:szCs w:val="24"/>
              </w:rPr>
            </w:pPr>
            <w:r w:rsidRPr="00D948C1">
              <w:rPr>
                <w:szCs w:val="24"/>
              </w:rPr>
              <w:t>Other Long-Term Liabilities</w:t>
            </w:r>
          </w:p>
        </w:tc>
        <w:tc>
          <w:tcPr>
            <w:tcW w:w="528" w:type="pct"/>
            <w:tcBorders>
              <w:bottom w:val="single" w:sz="4" w:space="0" w:color="auto"/>
            </w:tcBorders>
          </w:tcPr>
          <w:p w14:paraId="0C821935" w14:textId="7407CC7A" w:rsidR="001E6757" w:rsidRPr="00D948C1" w:rsidRDefault="001E6757" w:rsidP="001E6757">
            <w:pPr>
              <w:jc w:val="center"/>
              <w:rPr>
                <w:rStyle w:val="Hyperlink"/>
              </w:rPr>
            </w:pPr>
            <w:hyperlink w:anchor="_14_Other_Long-Term" w:history="1">
              <w:r>
                <w:rPr>
                  <w:rStyle w:val="Hyperlink"/>
                  <w:szCs w:val="24"/>
                </w:rPr>
                <w:t>14</w:t>
              </w:r>
            </w:hyperlink>
          </w:p>
        </w:tc>
        <w:tc>
          <w:tcPr>
            <w:tcW w:w="871" w:type="pct"/>
            <w:tcBorders>
              <w:bottom w:val="single" w:sz="4" w:space="0" w:color="auto"/>
            </w:tcBorders>
            <w:vAlign w:val="center"/>
          </w:tcPr>
          <w:p w14:paraId="7EEBE724" w14:textId="53F6624D" w:rsidR="001E6757" w:rsidRPr="006D3B27" w:rsidRDefault="009D338F" w:rsidP="001E6757">
            <w:pPr>
              <w:pStyle w:val="CommentText"/>
              <w:tabs>
                <w:tab w:val="decimal" w:pos="1350"/>
              </w:tabs>
              <w:jc w:val="right"/>
              <w:rPr>
                <w:sz w:val="24"/>
                <w:szCs w:val="24"/>
              </w:rPr>
            </w:pPr>
            <w:r>
              <w:rPr>
                <w:sz w:val="24"/>
                <w:szCs w:val="24"/>
              </w:rPr>
              <w:t>(587,811)</w:t>
            </w:r>
          </w:p>
        </w:tc>
        <w:tc>
          <w:tcPr>
            <w:tcW w:w="932" w:type="pct"/>
            <w:tcBorders>
              <w:bottom w:val="single" w:sz="4" w:space="0" w:color="auto"/>
            </w:tcBorders>
            <w:vAlign w:val="center"/>
          </w:tcPr>
          <w:p w14:paraId="385ED89D" w14:textId="42512C71" w:rsidR="001E6757" w:rsidRPr="006822CA" w:rsidRDefault="001E6757" w:rsidP="001E6757">
            <w:pPr>
              <w:tabs>
                <w:tab w:val="decimal" w:pos="1350"/>
              </w:tabs>
              <w:jc w:val="right"/>
              <w:rPr>
                <w:szCs w:val="24"/>
              </w:rPr>
            </w:pPr>
            <w:r w:rsidRPr="006D3B27">
              <w:rPr>
                <w:szCs w:val="24"/>
              </w:rPr>
              <w:t>(600,340)</w:t>
            </w:r>
          </w:p>
        </w:tc>
      </w:tr>
      <w:tr w:rsidR="001E6757" w:rsidRPr="00D948C1" w14:paraId="4A7FDAF3" w14:textId="77777777" w:rsidTr="008F7BCA">
        <w:tc>
          <w:tcPr>
            <w:tcW w:w="2669" w:type="pct"/>
            <w:tcBorders>
              <w:top w:val="single" w:sz="4" w:space="0" w:color="auto"/>
              <w:left w:val="single" w:sz="4" w:space="0" w:color="auto"/>
              <w:bottom w:val="single" w:sz="4" w:space="0" w:color="auto"/>
              <w:right w:val="single" w:sz="4" w:space="0" w:color="auto"/>
            </w:tcBorders>
          </w:tcPr>
          <w:p w14:paraId="650E09D2" w14:textId="2BF5314C" w:rsidR="001E6757" w:rsidRPr="00D948C1" w:rsidRDefault="001E6757" w:rsidP="001E6757">
            <w:pPr>
              <w:pStyle w:val="CommentText"/>
              <w:rPr>
                <w:sz w:val="24"/>
                <w:szCs w:val="24"/>
              </w:rPr>
            </w:pPr>
            <w:r w:rsidRPr="00D948C1">
              <w:rPr>
                <w:sz w:val="24"/>
                <w:szCs w:val="24"/>
              </w:rPr>
              <w:t>Long-Term Liabilities total</w:t>
            </w:r>
          </w:p>
        </w:tc>
        <w:tc>
          <w:tcPr>
            <w:tcW w:w="528" w:type="pct"/>
            <w:tcBorders>
              <w:top w:val="single" w:sz="4" w:space="0" w:color="auto"/>
              <w:left w:val="single" w:sz="4" w:space="0" w:color="auto"/>
              <w:bottom w:val="single" w:sz="4" w:space="0" w:color="auto"/>
              <w:right w:val="single" w:sz="4" w:space="0" w:color="auto"/>
            </w:tcBorders>
          </w:tcPr>
          <w:p w14:paraId="0AF685F1" w14:textId="77777777" w:rsidR="001E6757" w:rsidRPr="00D948C1" w:rsidRDefault="001E6757" w:rsidP="001E6757">
            <w:pPr>
              <w:pStyle w:val="CommentText"/>
              <w:tabs>
                <w:tab w:val="decimal" w:pos="1350"/>
              </w:tabs>
              <w:jc w:val="right"/>
              <w:rPr>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669BAA3C" w14:textId="498B1E7A" w:rsidR="001E6757" w:rsidRPr="006D3B27" w:rsidRDefault="009D338F" w:rsidP="001E6757">
            <w:pPr>
              <w:pStyle w:val="CommentText"/>
              <w:tabs>
                <w:tab w:val="decimal" w:pos="1350"/>
              </w:tabs>
              <w:jc w:val="right"/>
              <w:rPr>
                <w:sz w:val="24"/>
                <w:szCs w:val="24"/>
              </w:rPr>
            </w:pPr>
            <w:r>
              <w:rPr>
                <w:sz w:val="24"/>
                <w:szCs w:val="24"/>
              </w:rPr>
              <w:t>(591,464)</w:t>
            </w:r>
          </w:p>
        </w:tc>
        <w:tc>
          <w:tcPr>
            <w:tcW w:w="932" w:type="pct"/>
            <w:tcBorders>
              <w:top w:val="single" w:sz="4" w:space="0" w:color="auto"/>
              <w:left w:val="single" w:sz="4" w:space="0" w:color="auto"/>
              <w:bottom w:val="single" w:sz="4" w:space="0" w:color="auto"/>
              <w:right w:val="single" w:sz="4" w:space="0" w:color="auto"/>
            </w:tcBorders>
            <w:vAlign w:val="center"/>
          </w:tcPr>
          <w:p w14:paraId="4CD72395" w14:textId="35861DE1" w:rsidR="001E6757" w:rsidRPr="006822CA" w:rsidRDefault="001E6757" w:rsidP="001E6757">
            <w:pPr>
              <w:tabs>
                <w:tab w:val="decimal" w:pos="1350"/>
              </w:tabs>
              <w:jc w:val="right"/>
              <w:rPr>
                <w:szCs w:val="24"/>
              </w:rPr>
            </w:pPr>
            <w:r w:rsidRPr="006D3B27">
              <w:rPr>
                <w:szCs w:val="24"/>
              </w:rPr>
              <w:t>(603,586)</w:t>
            </w:r>
          </w:p>
        </w:tc>
      </w:tr>
    </w:tbl>
    <w:p w14:paraId="165F26C0" w14:textId="77777777" w:rsidR="00F32423" w:rsidRPr="00D948C1"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1066"/>
        <w:gridCol w:w="1759"/>
        <w:gridCol w:w="1880"/>
      </w:tblGrid>
      <w:tr w:rsidR="00FA18E2" w:rsidRPr="00D948C1" w14:paraId="3907ADF3" w14:textId="77777777" w:rsidTr="006822CA">
        <w:tc>
          <w:tcPr>
            <w:tcW w:w="2669" w:type="pct"/>
          </w:tcPr>
          <w:p w14:paraId="7C453D70" w14:textId="77777777" w:rsidR="00FA18E2" w:rsidRPr="00D948C1" w:rsidRDefault="00FA18E2" w:rsidP="00FA18E2">
            <w:pPr>
              <w:rPr>
                <w:b/>
                <w:szCs w:val="24"/>
              </w:rPr>
            </w:pPr>
            <w:r w:rsidRPr="00D948C1">
              <w:rPr>
                <w:b/>
                <w:szCs w:val="24"/>
              </w:rPr>
              <w:t xml:space="preserve">Net Liabilities </w:t>
            </w:r>
          </w:p>
        </w:tc>
        <w:tc>
          <w:tcPr>
            <w:tcW w:w="528" w:type="pct"/>
          </w:tcPr>
          <w:p w14:paraId="10D180C1" w14:textId="77777777" w:rsidR="00FA18E2" w:rsidRPr="00D948C1" w:rsidRDefault="00FA18E2" w:rsidP="00FA18E2">
            <w:pPr>
              <w:pStyle w:val="CommentText"/>
              <w:tabs>
                <w:tab w:val="decimal" w:pos="1350"/>
              </w:tabs>
              <w:jc w:val="right"/>
              <w:rPr>
                <w:sz w:val="24"/>
                <w:szCs w:val="24"/>
              </w:rPr>
            </w:pPr>
          </w:p>
        </w:tc>
        <w:tc>
          <w:tcPr>
            <w:tcW w:w="871" w:type="pct"/>
            <w:vAlign w:val="center"/>
          </w:tcPr>
          <w:p w14:paraId="0752F770" w14:textId="2D1195F3" w:rsidR="00FA18E2" w:rsidRPr="006D3B27" w:rsidRDefault="009D338F" w:rsidP="00233A66">
            <w:pPr>
              <w:pStyle w:val="CommentText"/>
              <w:tabs>
                <w:tab w:val="decimal" w:pos="1350"/>
              </w:tabs>
              <w:jc w:val="right"/>
              <w:rPr>
                <w:b/>
                <w:bCs/>
                <w:sz w:val="24"/>
                <w:szCs w:val="24"/>
              </w:rPr>
            </w:pPr>
            <w:r>
              <w:rPr>
                <w:b/>
                <w:bCs/>
                <w:sz w:val="24"/>
                <w:szCs w:val="24"/>
              </w:rPr>
              <w:t>(425,0</w:t>
            </w:r>
            <w:r w:rsidR="00FA54E3">
              <w:rPr>
                <w:b/>
                <w:bCs/>
                <w:sz w:val="24"/>
                <w:szCs w:val="24"/>
              </w:rPr>
              <w:t>05</w:t>
            </w:r>
            <w:r>
              <w:rPr>
                <w:b/>
                <w:bCs/>
                <w:sz w:val="24"/>
                <w:szCs w:val="24"/>
              </w:rPr>
              <w:t>)</w:t>
            </w:r>
          </w:p>
        </w:tc>
        <w:tc>
          <w:tcPr>
            <w:tcW w:w="931" w:type="pct"/>
            <w:vAlign w:val="center"/>
          </w:tcPr>
          <w:p w14:paraId="0BD9BC60" w14:textId="45A5534A" w:rsidR="00FA18E2" w:rsidRPr="006D3B27" w:rsidRDefault="001E6757" w:rsidP="00233A66">
            <w:pPr>
              <w:pStyle w:val="CommentText"/>
              <w:tabs>
                <w:tab w:val="decimal" w:pos="1350"/>
              </w:tabs>
              <w:jc w:val="right"/>
              <w:rPr>
                <w:b/>
                <w:bCs/>
                <w:sz w:val="24"/>
                <w:szCs w:val="24"/>
              </w:rPr>
            </w:pPr>
            <w:r w:rsidRPr="006D3B27">
              <w:rPr>
                <w:b/>
                <w:bCs/>
                <w:sz w:val="24"/>
                <w:szCs w:val="24"/>
              </w:rPr>
              <w:t>(435,162)</w:t>
            </w:r>
          </w:p>
        </w:tc>
      </w:tr>
    </w:tbl>
    <w:p w14:paraId="5B5E4161" w14:textId="77777777" w:rsidR="00F32423" w:rsidRPr="00D948C1"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1232"/>
        <w:gridCol w:w="1703"/>
        <w:gridCol w:w="1781"/>
      </w:tblGrid>
      <w:tr w:rsidR="006F5D07" w:rsidRPr="00D948C1" w14:paraId="727AFFE7" w14:textId="77777777" w:rsidTr="009E1151">
        <w:tc>
          <w:tcPr>
            <w:tcW w:w="2665" w:type="pct"/>
            <w:shd w:val="clear" w:color="auto" w:fill="BD2716"/>
            <w:vAlign w:val="center"/>
          </w:tcPr>
          <w:p w14:paraId="4740E046" w14:textId="77777777" w:rsidR="006F5D07" w:rsidRPr="006F5D07" w:rsidRDefault="006F5D07" w:rsidP="006F5D07">
            <w:pPr>
              <w:rPr>
                <w:color w:val="FFFFFF" w:themeColor="background1"/>
                <w:szCs w:val="24"/>
              </w:rPr>
            </w:pPr>
          </w:p>
        </w:tc>
        <w:tc>
          <w:tcPr>
            <w:tcW w:w="610" w:type="pct"/>
            <w:shd w:val="clear" w:color="auto" w:fill="BD2716"/>
            <w:vAlign w:val="center"/>
          </w:tcPr>
          <w:p w14:paraId="1EE8AE34" w14:textId="05C5634A" w:rsidR="006F5D07" w:rsidRPr="006F5D07" w:rsidRDefault="006F5D07" w:rsidP="006F5D07">
            <w:pPr>
              <w:rPr>
                <w:color w:val="FFFFFF" w:themeColor="background1"/>
                <w:szCs w:val="24"/>
              </w:rPr>
            </w:pPr>
            <w:r w:rsidRPr="00D948C1">
              <w:rPr>
                <w:color w:val="FFFFFF" w:themeColor="background1"/>
                <w:szCs w:val="24"/>
              </w:rPr>
              <w:t>Notes</w:t>
            </w:r>
          </w:p>
        </w:tc>
        <w:tc>
          <w:tcPr>
            <w:tcW w:w="843" w:type="pct"/>
            <w:shd w:val="clear" w:color="auto" w:fill="BD2716"/>
            <w:vAlign w:val="center"/>
          </w:tcPr>
          <w:p w14:paraId="007ECAE1" w14:textId="04ACB79E" w:rsidR="006F5D07" w:rsidRPr="00D948C1" w:rsidRDefault="006F5D07" w:rsidP="006F5D07">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9E1151">
              <w:rPr>
                <w:color w:val="FFFFFF" w:themeColor="background1"/>
                <w:szCs w:val="24"/>
              </w:rPr>
              <w:t>6</w:t>
            </w:r>
          </w:p>
          <w:p w14:paraId="5F6FD363" w14:textId="1B39C7AC" w:rsidR="006F5D07" w:rsidRPr="006F5D07" w:rsidRDefault="006F5D07" w:rsidP="006F5D07">
            <w:pPr>
              <w:jc w:val="right"/>
              <w:rPr>
                <w:color w:val="FFFFFF" w:themeColor="background1"/>
                <w:szCs w:val="24"/>
              </w:rPr>
            </w:pPr>
            <w:r w:rsidRPr="00D948C1">
              <w:rPr>
                <w:color w:val="FFFFFF" w:themeColor="background1"/>
                <w:szCs w:val="24"/>
              </w:rPr>
              <w:t>£000</w:t>
            </w:r>
          </w:p>
        </w:tc>
        <w:tc>
          <w:tcPr>
            <w:tcW w:w="882" w:type="pct"/>
            <w:shd w:val="clear" w:color="auto" w:fill="BD2716"/>
            <w:vAlign w:val="center"/>
          </w:tcPr>
          <w:p w14:paraId="12ADD23A" w14:textId="3B925F10" w:rsidR="006F5D07" w:rsidRPr="00D948C1" w:rsidRDefault="006F5D07" w:rsidP="006F5D07">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sidR="009E1151">
              <w:rPr>
                <w:color w:val="FFFFFF" w:themeColor="background1"/>
                <w:szCs w:val="24"/>
              </w:rPr>
              <w:t>5</w:t>
            </w:r>
          </w:p>
          <w:p w14:paraId="0E6276FA" w14:textId="13079D6F" w:rsidR="006F5D07" w:rsidRPr="006F5D07" w:rsidRDefault="006F5D07" w:rsidP="006F5D07">
            <w:pPr>
              <w:jc w:val="right"/>
              <w:rPr>
                <w:color w:val="FFFFFF" w:themeColor="background1"/>
                <w:szCs w:val="24"/>
              </w:rPr>
            </w:pPr>
            <w:r w:rsidRPr="00D948C1">
              <w:rPr>
                <w:color w:val="FFFFFF" w:themeColor="background1"/>
                <w:szCs w:val="24"/>
              </w:rPr>
              <w:t>£000</w:t>
            </w:r>
          </w:p>
        </w:tc>
      </w:tr>
      <w:tr w:rsidR="006F5D07" w:rsidRPr="00D948C1" w14:paraId="22B85105" w14:textId="77777777" w:rsidTr="00036C34">
        <w:tc>
          <w:tcPr>
            <w:tcW w:w="5000" w:type="pct"/>
            <w:gridSpan w:val="4"/>
            <w:shd w:val="clear" w:color="auto" w:fill="D9D9D9" w:themeFill="background1" w:themeFillShade="D9"/>
          </w:tcPr>
          <w:p w14:paraId="3D773EFD" w14:textId="5992B682" w:rsidR="006F5D07" w:rsidRPr="00D948C1" w:rsidRDefault="006F5D07" w:rsidP="006F5D07">
            <w:pPr>
              <w:pStyle w:val="CommentText"/>
              <w:tabs>
                <w:tab w:val="decimal" w:pos="1350"/>
              </w:tabs>
              <w:rPr>
                <w:sz w:val="24"/>
                <w:szCs w:val="24"/>
              </w:rPr>
            </w:pPr>
            <w:r w:rsidRPr="00D948C1">
              <w:rPr>
                <w:b/>
                <w:sz w:val="24"/>
                <w:szCs w:val="24"/>
              </w:rPr>
              <w:t>Usable Reserves</w:t>
            </w:r>
          </w:p>
        </w:tc>
      </w:tr>
      <w:tr w:rsidR="009E1151" w:rsidRPr="00D948C1" w14:paraId="1A22FF8C" w14:textId="77777777" w:rsidTr="009E1151">
        <w:tc>
          <w:tcPr>
            <w:tcW w:w="2665" w:type="pct"/>
          </w:tcPr>
          <w:p w14:paraId="5780D26F" w14:textId="53BBC19F" w:rsidR="009E1151" w:rsidRPr="00D948C1" w:rsidRDefault="009E1151" w:rsidP="009E1151">
            <w:pPr>
              <w:rPr>
                <w:szCs w:val="24"/>
              </w:rPr>
            </w:pPr>
            <w:r>
              <w:rPr>
                <w:szCs w:val="24"/>
              </w:rPr>
              <w:t>General Fund</w:t>
            </w:r>
          </w:p>
        </w:tc>
        <w:tc>
          <w:tcPr>
            <w:tcW w:w="610" w:type="pct"/>
          </w:tcPr>
          <w:p w14:paraId="074CB05C" w14:textId="4633DAE9" w:rsidR="009E1151" w:rsidRPr="00D948C1" w:rsidRDefault="009E1151" w:rsidP="009E1151">
            <w:pPr>
              <w:jc w:val="center"/>
              <w:rPr>
                <w:rStyle w:val="Hyperlink"/>
              </w:rPr>
            </w:pPr>
            <w:hyperlink w:anchor="_17_Usable_Reserves" w:history="1">
              <w:r>
                <w:rPr>
                  <w:rStyle w:val="Hyperlink"/>
                  <w:szCs w:val="24"/>
                </w:rPr>
                <w:t>17</w:t>
              </w:r>
            </w:hyperlink>
          </w:p>
        </w:tc>
        <w:tc>
          <w:tcPr>
            <w:tcW w:w="843" w:type="pct"/>
            <w:vAlign w:val="center"/>
          </w:tcPr>
          <w:p w14:paraId="0415D9CC" w14:textId="26710059" w:rsidR="009E1151" w:rsidRPr="006D3B27" w:rsidRDefault="009D338F" w:rsidP="009E1151">
            <w:pPr>
              <w:pStyle w:val="CommentText"/>
              <w:tabs>
                <w:tab w:val="decimal" w:pos="1350"/>
              </w:tabs>
              <w:jc w:val="right"/>
              <w:rPr>
                <w:sz w:val="24"/>
                <w:szCs w:val="24"/>
              </w:rPr>
            </w:pPr>
            <w:r>
              <w:rPr>
                <w:sz w:val="24"/>
                <w:szCs w:val="24"/>
              </w:rPr>
              <w:t>(</w:t>
            </w:r>
            <w:r w:rsidR="00FA54E3">
              <w:rPr>
                <w:sz w:val="24"/>
                <w:szCs w:val="24"/>
              </w:rPr>
              <w:t>6,923</w:t>
            </w:r>
            <w:r>
              <w:rPr>
                <w:sz w:val="24"/>
                <w:szCs w:val="24"/>
              </w:rPr>
              <w:t>)</w:t>
            </w:r>
          </w:p>
        </w:tc>
        <w:tc>
          <w:tcPr>
            <w:tcW w:w="882" w:type="pct"/>
            <w:vAlign w:val="center"/>
          </w:tcPr>
          <w:p w14:paraId="78B7DFDA" w14:textId="45FE6A39" w:rsidR="009E1151" w:rsidRPr="006822CA" w:rsidRDefault="009E1151" w:rsidP="009E1151">
            <w:pPr>
              <w:pStyle w:val="CommentText"/>
              <w:tabs>
                <w:tab w:val="decimal" w:pos="1350"/>
              </w:tabs>
              <w:jc w:val="right"/>
              <w:rPr>
                <w:sz w:val="24"/>
                <w:szCs w:val="24"/>
              </w:rPr>
            </w:pPr>
            <w:r>
              <w:rPr>
                <w:sz w:val="24"/>
                <w:szCs w:val="24"/>
              </w:rPr>
              <w:t>(6,564)</w:t>
            </w:r>
          </w:p>
        </w:tc>
      </w:tr>
      <w:tr w:rsidR="009E1151" w:rsidRPr="00D948C1" w14:paraId="4AAA4BBE" w14:textId="77777777" w:rsidTr="009E1151">
        <w:tc>
          <w:tcPr>
            <w:tcW w:w="2665" w:type="pct"/>
          </w:tcPr>
          <w:p w14:paraId="163FBB61" w14:textId="58931F9F" w:rsidR="009E1151" w:rsidRPr="00D948C1" w:rsidRDefault="009E1151" w:rsidP="009E1151">
            <w:pPr>
              <w:rPr>
                <w:szCs w:val="24"/>
              </w:rPr>
            </w:pPr>
            <w:r>
              <w:rPr>
                <w:szCs w:val="24"/>
              </w:rPr>
              <w:t>Earmarked Reserves</w:t>
            </w:r>
          </w:p>
        </w:tc>
        <w:tc>
          <w:tcPr>
            <w:tcW w:w="610" w:type="pct"/>
          </w:tcPr>
          <w:p w14:paraId="099659AA" w14:textId="5B1BBB4E" w:rsidR="009E1151" w:rsidRPr="00D948C1" w:rsidRDefault="009E1151" w:rsidP="009E1151">
            <w:pPr>
              <w:jc w:val="center"/>
              <w:rPr>
                <w:rStyle w:val="Hyperlink"/>
              </w:rPr>
            </w:pPr>
            <w:hyperlink w:anchor="_17_Usable_Reserves" w:history="1">
              <w:r>
                <w:rPr>
                  <w:rStyle w:val="Hyperlink"/>
                  <w:szCs w:val="24"/>
                </w:rPr>
                <w:t>17</w:t>
              </w:r>
            </w:hyperlink>
          </w:p>
        </w:tc>
        <w:tc>
          <w:tcPr>
            <w:tcW w:w="843" w:type="pct"/>
            <w:vAlign w:val="center"/>
          </w:tcPr>
          <w:p w14:paraId="26042AD1" w14:textId="25BDF6E1" w:rsidR="009E1151" w:rsidRPr="006D3B27" w:rsidRDefault="009D338F" w:rsidP="009E1151">
            <w:pPr>
              <w:pStyle w:val="CommentText"/>
              <w:tabs>
                <w:tab w:val="decimal" w:pos="1350"/>
              </w:tabs>
              <w:jc w:val="right"/>
              <w:rPr>
                <w:sz w:val="24"/>
                <w:szCs w:val="24"/>
              </w:rPr>
            </w:pPr>
            <w:r>
              <w:rPr>
                <w:sz w:val="24"/>
                <w:szCs w:val="24"/>
              </w:rPr>
              <w:t>(2</w:t>
            </w:r>
            <w:r w:rsidR="00FA54E3">
              <w:rPr>
                <w:sz w:val="24"/>
                <w:szCs w:val="24"/>
              </w:rPr>
              <w:t>8,350</w:t>
            </w:r>
            <w:r>
              <w:rPr>
                <w:sz w:val="24"/>
                <w:szCs w:val="24"/>
              </w:rPr>
              <w:t>)</w:t>
            </w:r>
          </w:p>
        </w:tc>
        <w:tc>
          <w:tcPr>
            <w:tcW w:w="882" w:type="pct"/>
            <w:vAlign w:val="center"/>
          </w:tcPr>
          <w:p w14:paraId="2B416EF0" w14:textId="00463D91" w:rsidR="009E1151" w:rsidRPr="006822CA" w:rsidRDefault="009E1151" w:rsidP="009E1151">
            <w:pPr>
              <w:tabs>
                <w:tab w:val="decimal" w:pos="1350"/>
              </w:tabs>
              <w:jc w:val="right"/>
              <w:rPr>
                <w:szCs w:val="24"/>
              </w:rPr>
            </w:pPr>
            <w:r>
              <w:rPr>
                <w:szCs w:val="24"/>
              </w:rPr>
              <w:t>(29,012)</w:t>
            </w:r>
          </w:p>
        </w:tc>
      </w:tr>
      <w:tr w:rsidR="009E1151" w:rsidRPr="00D948C1" w14:paraId="315CBBC3" w14:textId="77777777" w:rsidTr="009E1151">
        <w:tc>
          <w:tcPr>
            <w:tcW w:w="2665" w:type="pct"/>
          </w:tcPr>
          <w:p w14:paraId="67E9AE8B" w14:textId="77777777" w:rsidR="009E1151" w:rsidRPr="00D948C1" w:rsidRDefault="009E1151" w:rsidP="009E1151">
            <w:pPr>
              <w:rPr>
                <w:szCs w:val="24"/>
              </w:rPr>
            </w:pPr>
            <w:r w:rsidRPr="00D948C1">
              <w:rPr>
                <w:szCs w:val="24"/>
              </w:rPr>
              <w:t>Capital Grants Unapplied Account</w:t>
            </w:r>
          </w:p>
        </w:tc>
        <w:tc>
          <w:tcPr>
            <w:tcW w:w="610" w:type="pct"/>
          </w:tcPr>
          <w:p w14:paraId="10298C0F" w14:textId="7F97EAB6" w:rsidR="009E1151" w:rsidRPr="00D948C1" w:rsidRDefault="009E1151" w:rsidP="009E1151">
            <w:pPr>
              <w:jc w:val="center"/>
              <w:rPr>
                <w:rStyle w:val="Hyperlink"/>
              </w:rPr>
            </w:pPr>
            <w:hyperlink w:anchor="_17_Usable_Reserves" w:history="1">
              <w:r>
                <w:rPr>
                  <w:rStyle w:val="Hyperlink"/>
                  <w:szCs w:val="24"/>
                </w:rPr>
                <w:t>17</w:t>
              </w:r>
            </w:hyperlink>
          </w:p>
        </w:tc>
        <w:tc>
          <w:tcPr>
            <w:tcW w:w="843" w:type="pct"/>
            <w:vAlign w:val="center"/>
          </w:tcPr>
          <w:p w14:paraId="0AD9FB45" w14:textId="2D17F7C7" w:rsidR="009E1151" w:rsidRPr="006D3B27" w:rsidRDefault="007D6B6E" w:rsidP="009E1151">
            <w:pPr>
              <w:pStyle w:val="CommentText"/>
              <w:tabs>
                <w:tab w:val="decimal" w:pos="1350"/>
              </w:tabs>
              <w:jc w:val="right"/>
              <w:rPr>
                <w:sz w:val="24"/>
                <w:szCs w:val="24"/>
              </w:rPr>
            </w:pPr>
            <w:r>
              <w:rPr>
                <w:sz w:val="24"/>
                <w:szCs w:val="24"/>
              </w:rPr>
              <w:t>-</w:t>
            </w:r>
          </w:p>
        </w:tc>
        <w:tc>
          <w:tcPr>
            <w:tcW w:w="882" w:type="pct"/>
            <w:vAlign w:val="center"/>
          </w:tcPr>
          <w:p w14:paraId="0FE6DA6B" w14:textId="27AA49C2" w:rsidR="009E1151" w:rsidRPr="006822CA" w:rsidRDefault="009E1151" w:rsidP="009E1151">
            <w:pPr>
              <w:tabs>
                <w:tab w:val="decimal" w:pos="1350"/>
              </w:tabs>
              <w:jc w:val="right"/>
              <w:rPr>
                <w:szCs w:val="24"/>
              </w:rPr>
            </w:pPr>
            <w:r w:rsidRPr="006D3B27">
              <w:rPr>
                <w:szCs w:val="24"/>
              </w:rPr>
              <w:t>-</w:t>
            </w:r>
          </w:p>
        </w:tc>
      </w:tr>
      <w:tr w:rsidR="009E1151" w:rsidRPr="00D948C1" w14:paraId="00F6B3DD" w14:textId="77777777" w:rsidTr="009E1151">
        <w:tc>
          <w:tcPr>
            <w:tcW w:w="2665" w:type="pct"/>
          </w:tcPr>
          <w:p w14:paraId="7255C046" w14:textId="77777777" w:rsidR="009E1151" w:rsidRPr="00D948C1" w:rsidRDefault="009E1151" w:rsidP="009E1151">
            <w:pPr>
              <w:rPr>
                <w:szCs w:val="24"/>
              </w:rPr>
            </w:pPr>
            <w:r w:rsidRPr="00D948C1">
              <w:rPr>
                <w:szCs w:val="24"/>
              </w:rPr>
              <w:t>Usable Capital Receipts Reserve</w:t>
            </w:r>
          </w:p>
        </w:tc>
        <w:tc>
          <w:tcPr>
            <w:tcW w:w="610" w:type="pct"/>
          </w:tcPr>
          <w:p w14:paraId="794E62B7" w14:textId="48DF7621" w:rsidR="009E1151" w:rsidRPr="00D948C1" w:rsidRDefault="009E1151" w:rsidP="009E1151">
            <w:pPr>
              <w:jc w:val="center"/>
              <w:rPr>
                <w:rStyle w:val="Hyperlink"/>
              </w:rPr>
            </w:pPr>
            <w:hyperlink w:anchor="_17_Usable_Reserves" w:history="1">
              <w:r>
                <w:rPr>
                  <w:rStyle w:val="Hyperlink"/>
                  <w:szCs w:val="24"/>
                </w:rPr>
                <w:t>17</w:t>
              </w:r>
            </w:hyperlink>
          </w:p>
        </w:tc>
        <w:tc>
          <w:tcPr>
            <w:tcW w:w="843" w:type="pct"/>
            <w:vAlign w:val="center"/>
          </w:tcPr>
          <w:p w14:paraId="5EBE202F" w14:textId="68E8F0E7" w:rsidR="009E1151" w:rsidRPr="006D3B27" w:rsidRDefault="007D6B6E" w:rsidP="009E1151">
            <w:pPr>
              <w:pStyle w:val="CommentText"/>
              <w:tabs>
                <w:tab w:val="decimal" w:pos="1350"/>
              </w:tabs>
              <w:jc w:val="right"/>
              <w:rPr>
                <w:sz w:val="24"/>
                <w:szCs w:val="24"/>
              </w:rPr>
            </w:pPr>
            <w:r>
              <w:rPr>
                <w:sz w:val="24"/>
                <w:szCs w:val="24"/>
              </w:rPr>
              <w:t>(272)</w:t>
            </w:r>
          </w:p>
        </w:tc>
        <w:tc>
          <w:tcPr>
            <w:tcW w:w="882" w:type="pct"/>
            <w:vAlign w:val="center"/>
          </w:tcPr>
          <w:p w14:paraId="4B3AEBC5" w14:textId="02C3A6D5" w:rsidR="009E1151" w:rsidRPr="006822CA" w:rsidRDefault="009E1151" w:rsidP="009E1151">
            <w:pPr>
              <w:tabs>
                <w:tab w:val="decimal" w:pos="1350"/>
              </w:tabs>
              <w:jc w:val="right"/>
              <w:rPr>
                <w:szCs w:val="24"/>
              </w:rPr>
            </w:pPr>
            <w:r w:rsidRPr="006D3B27">
              <w:rPr>
                <w:szCs w:val="24"/>
              </w:rPr>
              <w:t>(194)</w:t>
            </w:r>
          </w:p>
        </w:tc>
      </w:tr>
      <w:tr w:rsidR="009E1151" w:rsidRPr="00D948C1" w14:paraId="7E7C63B6" w14:textId="77777777" w:rsidTr="009E1151">
        <w:tc>
          <w:tcPr>
            <w:tcW w:w="2665" w:type="pct"/>
          </w:tcPr>
          <w:p w14:paraId="371EF47D" w14:textId="5932F186" w:rsidR="009E1151" w:rsidRPr="00D948C1" w:rsidRDefault="009E1151" w:rsidP="009E1151">
            <w:pPr>
              <w:rPr>
                <w:bCs/>
                <w:szCs w:val="24"/>
              </w:rPr>
            </w:pPr>
            <w:r w:rsidRPr="00D948C1">
              <w:rPr>
                <w:bCs/>
                <w:szCs w:val="24"/>
              </w:rPr>
              <w:t>Usable Reserves total</w:t>
            </w:r>
          </w:p>
        </w:tc>
        <w:tc>
          <w:tcPr>
            <w:tcW w:w="610" w:type="pct"/>
          </w:tcPr>
          <w:p w14:paraId="30B55C80" w14:textId="7E99BAFD" w:rsidR="009E1151" w:rsidRPr="00D948C1" w:rsidRDefault="009E1151" w:rsidP="009E1151">
            <w:pPr>
              <w:jc w:val="center"/>
              <w:rPr>
                <w:rStyle w:val="Hyperlink"/>
              </w:rPr>
            </w:pPr>
            <w:hyperlink w:anchor="_17_Usable_Reserves" w:history="1">
              <w:r>
                <w:rPr>
                  <w:rStyle w:val="Hyperlink"/>
                  <w:szCs w:val="24"/>
                </w:rPr>
                <w:t>17</w:t>
              </w:r>
            </w:hyperlink>
          </w:p>
        </w:tc>
        <w:tc>
          <w:tcPr>
            <w:tcW w:w="843" w:type="pct"/>
            <w:vAlign w:val="center"/>
          </w:tcPr>
          <w:p w14:paraId="399641AE" w14:textId="203752A4" w:rsidR="009E1151" w:rsidRPr="006D3B27" w:rsidRDefault="007D6B6E" w:rsidP="009E1151">
            <w:pPr>
              <w:pStyle w:val="CommentText"/>
              <w:tabs>
                <w:tab w:val="decimal" w:pos="1350"/>
              </w:tabs>
              <w:jc w:val="right"/>
              <w:rPr>
                <w:sz w:val="24"/>
                <w:szCs w:val="24"/>
              </w:rPr>
            </w:pPr>
            <w:r>
              <w:rPr>
                <w:sz w:val="24"/>
                <w:szCs w:val="24"/>
              </w:rPr>
              <w:t>(35,545)</w:t>
            </w:r>
          </w:p>
        </w:tc>
        <w:tc>
          <w:tcPr>
            <w:tcW w:w="882" w:type="pct"/>
            <w:vAlign w:val="center"/>
          </w:tcPr>
          <w:p w14:paraId="287397EE" w14:textId="0E1CC09A" w:rsidR="009E1151" w:rsidRPr="006822CA" w:rsidRDefault="009E1151" w:rsidP="009E1151">
            <w:pPr>
              <w:tabs>
                <w:tab w:val="decimal" w:pos="1350"/>
              </w:tabs>
              <w:jc w:val="right"/>
              <w:rPr>
                <w:szCs w:val="24"/>
              </w:rPr>
            </w:pPr>
            <w:r w:rsidRPr="006D3B27">
              <w:rPr>
                <w:szCs w:val="24"/>
              </w:rPr>
              <w:t>(35,770)</w:t>
            </w:r>
          </w:p>
        </w:tc>
      </w:tr>
    </w:tbl>
    <w:p w14:paraId="66EAFC94" w14:textId="77777777" w:rsidR="00F32423" w:rsidRPr="00D948C1" w:rsidRDefault="00F32423">
      <w:r w:rsidRPr="00D948C1">
        <w:br w:type="page"/>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1276"/>
        <w:gridCol w:w="1701"/>
        <w:gridCol w:w="1701"/>
      </w:tblGrid>
      <w:tr w:rsidR="009E1151" w:rsidRPr="00D948C1" w14:paraId="2DF7DF7F" w14:textId="77777777" w:rsidTr="00611673">
        <w:tc>
          <w:tcPr>
            <w:tcW w:w="2684" w:type="pct"/>
            <w:shd w:val="clear" w:color="auto" w:fill="BD2716"/>
          </w:tcPr>
          <w:p w14:paraId="0F56B118" w14:textId="77777777" w:rsidR="009E1151" w:rsidRPr="00D948C1" w:rsidRDefault="009E1151" w:rsidP="009E1151">
            <w:pPr>
              <w:spacing w:before="240"/>
              <w:rPr>
                <w:b/>
                <w:color w:val="FFFFFF" w:themeColor="background1"/>
                <w:szCs w:val="24"/>
              </w:rPr>
            </w:pPr>
          </w:p>
        </w:tc>
        <w:tc>
          <w:tcPr>
            <w:tcW w:w="632" w:type="pct"/>
            <w:shd w:val="clear" w:color="auto" w:fill="BD2716"/>
            <w:vAlign w:val="center"/>
          </w:tcPr>
          <w:p w14:paraId="0BD4A736" w14:textId="76458E58" w:rsidR="009E1151" w:rsidRPr="00D948C1" w:rsidRDefault="009E1151" w:rsidP="009E1151">
            <w:pPr>
              <w:spacing w:before="240"/>
              <w:rPr>
                <w:rStyle w:val="Hyperlink"/>
                <w:color w:val="FFFFFF" w:themeColor="background1"/>
                <w:u w:val="none"/>
              </w:rPr>
            </w:pPr>
            <w:r w:rsidRPr="00D948C1">
              <w:rPr>
                <w:rStyle w:val="Hyperlink"/>
                <w:color w:val="FFFFFF" w:themeColor="background1"/>
                <w:u w:val="none"/>
              </w:rPr>
              <w:t>Notes</w:t>
            </w:r>
          </w:p>
        </w:tc>
        <w:tc>
          <w:tcPr>
            <w:tcW w:w="842" w:type="pct"/>
            <w:shd w:val="clear" w:color="auto" w:fill="BD2716"/>
            <w:vAlign w:val="center"/>
          </w:tcPr>
          <w:p w14:paraId="46FD1CE3" w14:textId="77777777" w:rsidR="009E1151" w:rsidRPr="00D948C1" w:rsidRDefault="009E1151" w:rsidP="009E1151">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6</w:t>
            </w:r>
          </w:p>
          <w:p w14:paraId="781F6CA6" w14:textId="774A026F" w:rsidR="009E1151" w:rsidRPr="00D948C1" w:rsidRDefault="009E1151" w:rsidP="009E1151">
            <w:pPr>
              <w:jc w:val="right"/>
              <w:rPr>
                <w:color w:val="FFFFFF" w:themeColor="background1"/>
                <w:szCs w:val="24"/>
              </w:rPr>
            </w:pPr>
            <w:r w:rsidRPr="00D948C1">
              <w:rPr>
                <w:color w:val="FFFFFF" w:themeColor="background1"/>
                <w:szCs w:val="24"/>
              </w:rPr>
              <w:t>£000</w:t>
            </w:r>
          </w:p>
        </w:tc>
        <w:tc>
          <w:tcPr>
            <w:tcW w:w="842" w:type="pct"/>
            <w:shd w:val="clear" w:color="auto" w:fill="BD2716"/>
            <w:vAlign w:val="center"/>
          </w:tcPr>
          <w:p w14:paraId="23E2CBAC" w14:textId="77777777" w:rsidR="009E1151" w:rsidRPr="00D948C1" w:rsidRDefault="009E1151" w:rsidP="009E1151">
            <w:pPr>
              <w:jc w:val="right"/>
              <w:rPr>
                <w:color w:val="FFFFFF" w:themeColor="background1"/>
                <w:szCs w:val="24"/>
              </w:rPr>
            </w:pP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5</w:t>
            </w:r>
          </w:p>
          <w:p w14:paraId="689818AF" w14:textId="4EAC59C7" w:rsidR="009E1151" w:rsidRPr="00D948C1" w:rsidRDefault="009E1151" w:rsidP="009E1151">
            <w:pPr>
              <w:jc w:val="right"/>
              <w:rPr>
                <w:color w:val="FFFFFF" w:themeColor="background1"/>
                <w:szCs w:val="24"/>
              </w:rPr>
            </w:pPr>
            <w:r w:rsidRPr="00D948C1">
              <w:rPr>
                <w:color w:val="FFFFFF" w:themeColor="background1"/>
                <w:szCs w:val="24"/>
              </w:rPr>
              <w:t>£000</w:t>
            </w:r>
          </w:p>
        </w:tc>
      </w:tr>
      <w:tr w:rsidR="00233A66" w:rsidRPr="00D948C1" w14:paraId="5F6CD18A" w14:textId="77777777" w:rsidTr="00036C34">
        <w:tc>
          <w:tcPr>
            <w:tcW w:w="5000" w:type="pct"/>
            <w:gridSpan w:val="4"/>
            <w:shd w:val="clear" w:color="auto" w:fill="D9D9D9" w:themeFill="background1" w:themeFillShade="D9"/>
          </w:tcPr>
          <w:p w14:paraId="611E3890" w14:textId="4B4838CA" w:rsidR="00233A66" w:rsidRPr="00D948C1" w:rsidRDefault="00233A66" w:rsidP="00233A66">
            <w:pPr>
              <w:tabs>
                <w:tab w:val="decimal" w:pos="1350"/>
              </w:tabs>
              <w:rPr>
                <w:szCs w:val="24"/>
              </w:rPr>
            </w:pPr>
            <w:r w:rsidRPr="00D948C1">
              <w:rPr>
                <w:b/>
                <w:szCs w:val="24"/>
              </w:rPr>
              <w:t>Unusable Reserves</w:t>
            </w:r>
          </w:p>
        </w:tc>
      </w:tr>
      <w:tr w:rsidR="009E1151" w:rsidRPr="00423935" w14:paraId="6A9F6680" w14:textId="77777777" w:rsidTr="00233A66">
        <w:tc>
          <w:tcPr>
            <w:tcW w:w="2684" w:type="pct"/>
          </w:tcPr>
          <w:p w14:paraId="5A364972" w14:textId="77777777" w:rsidR="009E1151" w:rsidRPr="00423935" w:rsidRDefault="009E1151" w:rsidP="009E1151">
            <w:pPr>
              <w:rPr>
                <w:szCs w:val="24"/>
              </w:rPr>
            </w:pPr>
            <w:r w:rsidRPr="00423935">
              <w:rPr>
                <w:szCs w:val="24"/>
              </w:rPr>
              <w:t>Revaluation Reserve</w:t>
            </w:r>
          </w:p>
        </w:tc>
        <w:tc>
          <w:tcPr>
            <w:tcW w:w="632" w:type="pct"/>
          </w:tcPr>
          <w:p w14:paraId="7ABA47C1" w14:textId="04664F51" w:rsidR="009E1151" w:rsidRPr="00423935" w:rsidRDefault="009E1151" w:rsidP="009E1151">
            <w:pPr>
              <w:jc w:val="center"/>
              <w:rPr>
                <w:rStyle w:val="Hyperlink"/>
              </w:rPr>
            </w:pPr>
            <w:hyperlink w:anchor="_19_Unusable_Reserves" w:history="1">
              <w:r>
                <w:rPr>
                  <w:rStyle w:val="Hyperlink"/>
                  <w:szCs w:val="24"/>
                </w:rPr>
                <w:t>19</w:t>
              </w:r>
            </w:hyperlink>
          </w:p>
        </w:tc>
        <w:tc>
          <w:tcPr>
            <w:tcW w:w="842" w:type="pct"/>
            <w:vAlign w:val="center"/>
          </w:tcPr>
          <w:p w14:paraId="6FAC6EC8" w14:textId="741E625A" w:rsidR="009E1151" w:rsidRPr="00423935" w:rsidRDefault="007D6B6E" w:rsidP="009E1151">
            <w:pPr>
              <w:pStyle w:val="CommentText"/>
              <w:tabs>
                <w:tab w:val="decimal" w:pos="1350"/>
              </w:tabs>
              <w:jc w:val="right"/>
              <w:rPr>
                <w:sz w:val="24"/>
                <w:szCs w:val="24"/>
              </w:rPr>
            </w:pPr>
            <w:r>
              <w:rPr>
                <w:sz w:val="24"/>
                <w:szCs w:val="24"/>
              </w:rPr>
              <w:t>(69,226)</w:t>
            </w:r>
          </w:p>
        </w:tc>
        <w:tc>
          <w:tcPr>
            <w:tcW w:w="842" w:type="pct"/>
            <w:vAlign w:val="center"/>
          </w:tcPr>
          <w:p w14:paraId="48AF4FCF" w14:textId="44132CC8" w:rsidR="009E1151" w:rsidRPr="006822CA" w:rsidRDefault="009E1151" w:rsidP="009E1151">
            <w:pPr>
              <w:tabs>
                <w:tab w:val="decimal" w:pos="1350"/>
              </w:tabs>
              <w:jc w:val="right"/>
              <w:rPr>
                <w:szCs w:val="24"/>
              </w:rPr>
            </w:pPr>
            <w:r w:rsidRPr="00423935">
              <w:rPr>
                <w:szCs w:val="24"/>
              </w:rPr>
              <w:t>(73,745)</w:t>
            </w:r>
          </w:p>
        </w:tc>
      </w:tr>
      <w:tr w:rsidR="009E1151" w:rsidRPr="00423935" w14:paraId="756E60B9" w14:textId="77777777" w:rsidTr="00233A66">
        <w:tc>
          <w:tcPr>
            <w:tcW w:w="2684" w:type="pct"/>
          </w:tcPr>
          <w:p w14:paraId="384A834B" w14:textId="77777777" w:rsidR="009E1151" w:rsidRPr="00423935" w:rsidRDefault="009E1151" w:rsidP="009E1151">
            <w:pPr>
              <w:rPr>
                <w:szCs w:val="24"/>
              </w:rPr>
            </w:pPr>
            <w:r w:rsidRPr="00423935">
              <w:rPr>
                <w:szCs w:val="24"/>
              </w:rPr>
              <w:t>Capital Adjustment Account</w:t>
            </w:r>
          </w:p>
        </w:tc>
        <w:tc>
          <w:tcPr>
            <w:tcW w:w="632" w:type="pct"/>
          </w:tcPr>
          <w:p w14:paraId="0BCC69D6" w14:textId="5238A774" w:rsidR="009E1151" w:rsidRPr="00423935" w:rsidRDefault="009E1151" w:rsidP="009E1151">
            <w:pPr>
              <w:jc w:val="center"/>
              <w:rPr>
                <w:rStyle w:val="Hyperlink"/>
              </w:rPr>
            </w:pPr>
            <w:hyperlink w:anchor="_18_Transfers_(to)/from" w:history="1">
              <w:r w:rsidRPr="00423935">
                <w:rPr>
                  <w:rStyle w:val="Hyperlink"/>
                  <w:szCs w:val="24"/>
                </w:rPr>
                <w:t>18</w:t>
              </w:r>
            </w:hyperlink>
          </w:p>
        </w:tc>
        <w:tc>
          <w:tcPr>
            <w:tcW w:w="842" w:type="pct"/>
            <w:vAlign w:val="center"/>
          </w:tcPr>
          <w:p w14:paraId="1D9BA399" w14:textId="2FB9E129" w:rsidR="009E1151" w:rsidRPr="00423935" w:rsidRDefault="007D6B6E" w:rsidP="009E1151">
            <w:pPr>
              <w:pStyle w:val="CommentText"/>
              <w:tabs>
                <w:tab w:val="decimal" w:pos="1350"/>
              </w:tabs>
              <w:jc w:val="right"/>
              <w:rPr>
                <w:sz w:val="24"/>
                <w:szCs w:val="24"/>
              </w:rPr>
            </w:pPr>
            <w:r>
              <w:rPr>
                <w:sz w:val="24"/>
                <w:szCs w:val="24"/>
              </w:rPr>
              <w:t>(46,8</w:t>
            </w:r>
            <w:r w:rsidR="001B5A27">
              <w:rPr>
                <w:sz w:val="24"/>
                <w:szCs w:val="24"/>
              </w:rPr>
              <w:t>9</w:t>
            </w:r>
            <w:r>
              <w:rPr>
                <w:sz w:val="24"/>
                <w:szCs w:val="24"/>
              </w:rPr>
              <w:t>8)</w:t>
            </w:r>
          </w:p>
        </w:tc>
        <w:tc>
          <w:tcPr>
            <w:tcW w:w="842" w:type="pct"/>
            <w:vAlign w:val="center"/>
          </w:tcPr>
          <w:p w14:paraId="6ECDE742" w14:textId="42443CBE" w:rsidR="009E1151" w:rsidRPr="006822CA" w:rsidRDefault="009E1151" w:rsidP="009E1151">
            <w:pPr>
              <w:tabs>
                <w:tab w:val="decimal" w:pos="1350"/>
              </w:tabs>
              <w:jc w:val="right"/>
              <w:rPr>
                <w:szCs w:val="24"/>
              </w:rPr>
            </w:pPr>
            <w:r w:rsidRPr="00423935">
              <w:rPr>
                <w:szCs w:val="24"/>
              </w:rPr>
              <w:t>(43,858)</w:t>
            </w:r>
          </w:p>
        </w:tc>
      </w:tr>
      <w:tr w:rsidR="009E1151" w:rsidRPr="00423935" w14:paraId="287EAC33" w14:textId="77777777" w:rsidTr="00233A66">
        <w:tc>
          <w:tcPr>
            <w:tcW w:w="2684" w:type="pct"/>
          </w:tcPr>
          <w:p w14:paraId="5243A135" w14:textId="77777777" w:rsidR="009E1151" w:rsidRPr="00423935" w:rsidRDefault="009E1151" w:rsidP="009E1151">
            <w:pPr>
              <w:rPr>
                <w:szCs w:val="24"/>
              </w:rPr>
            </w:pPr>
            <w:r w:rsidRPr="00423935">
              <w:rPr>
                <w:szCs w:val="24"/>
              </w:rPr>
              <w:t>Pension Reserve</w:t>
            </w:r>
          </w:p>
        </w:tc>
        <w:tc>
          <w:tcPr>
            <w:tcW w:w="632" w:type="pct"/>
          </w:tcPr>
          <w:p w14:paraId="25B3BFD5" w14:textId="59B42244" w:rsidR="009E1151" w:rsidRPr="00423935" w:rsidRDefault="009E1151" w:rsidP="009E1151">
            <w:pPr>
              <w:jc w:val="center"/>
              <w:rPr>
                <w:rStyle w:val="Hyperlink"/>
              </w:rPr>
            </w:pPr>
            <w:hyperlink w:anchor="_14_Other_Long-Term" w:history="1">
              <w:r>
                <w:rPr>
                  <w:rStyle w:val="Hyperlink"/>
                  <w:szCs w:val="24"/>
                </w:rPr>
                <w:t>14</w:t>
              </w:r>
            </w:hyperlink>
            <w:r w:rsidR="00B67A59">
              <w:t xml:space="preserve"> </w:t>
            </w:r>
            <w:hyperlink w:anchor="_16_Net_Liability" w:history="1">
              <w:r>
                <w:rPr>
                  <w:rStyle w:val="Hyperlink"/>
                  <w:szCs w:val="24"/>
                </w:rPr>
                <w:t>16</w:t>
              </w:r>
            </w:hyperlink>
            <w:r w:rsidR="00B67A59">
              <w:t xml:space="preserve"> </w:t>
            </w:r>
            <w:hyperlink w:anchor="_19_Unusable_Reserves" w:history="1">
              <w:r>
                <w:rPr>
                  <w:rStyle w:val="Hyperlink"/>
                  <w:szCs w:val="24"/>
                </w:rPr>
                <w:t>19</w:t>
              </w:r>
            </w:hyperlink>
          </w:p>
        </w:tc>
        <w:tc>
          <w:tcPr>
            <w:tcW w:w="842" w:type="pct"/>
            <w:vAlign w:val="center"/>
          </w:tcPr>
          <w:p w14:paraId="078C5103" w14:textId="1E953308" w:rsidR="009E1151" w:rsidRPr="00423935" w:rsidRDefault="007D6B6E" w:rsidP="009E1151">
            <w:pPr>
              <w:pStyle w:val="CommentText"/>
              <w:tabs>
                <w:tab w:val="decimal" w:pos="1350"/>
              </w:tabs>
              <w:jc w:val="right"/>
              <w:rPr>
                <w:sz w:val="24"/>
                <w:szCs w:val="24"/>
              </w:rPr>
            </w:pPr>
            <w:r>
              <w:rPr>
                <w:sz w:val="24"/>
                <w:szCs w:val="24"/>
              </w:rPr>
              <w:t>576,571</w:t>
            </w:r>
          </w:p>
        </w:tc>
        <w:tc>
          <w:tcPr>
            <w:tcW w:w="842" w:type="pct"/>
            <w:vAlign w:val="center"/>
          </w:tcPr>
          <w:p w14:paraId="30A3753A" w14:textId="45AF27CE" w:rsidR="009E1151" w:rsidRPr="006822CA" w:rsidRDefault="009E1151" w:rsidP="009E1151">
            <w:pPr>
              <w:tabs>
                <w:tab w:val="decimal" w:pos="1350"/>
              </w:tabs>
              <w:jc w:val="right"/>
              <w:rPr>
                <w:szCs w:val="24"/>
              </w:rPr>
            </w:pPr>
            <w:r w:rsidRPr="00423935">
              <w:rPr>
                <w:szCs w:val="24"/>
              </w:rPr>
              <w:t>588,430</w:t>
            </w:r>
          </w:p>
        </w:tc>
      </w:tr>
      <w:tr w:rsidR="009E1151" w:rsidRPr="00423935" w14:paraId="569FD4F8" w14:textId="77777777" w:rsidTr="00233A66">
        <w:tc>
          <w:tcPr>
            <w:tcW w:w="2684" w:type="pct"/>
          </w:tcPr>
          <w:p w14:paraId="1F056D18" w14:textId="77777777" w:rsidR="009E1151" w:rsidRPr="00423935" w:rsidRDefault="009E1151" w:rsidP="009E1151">
            <w:pPr>
              <w:rPr>
                <w:szCs w:val="24"/>
              </w:rPr>
            </w:pPr>
            <w:r w:rsidRPr="00423935">
              <w:rPr>
                <w:szCs w:val="24"/>
              </w:rPr>
              <w:t>Collection Fund Adjustment Account</w:t>
            </w:r>
          </w:p>
        </w:tc>
        <w:tc>
          <w:tcPr>
            <w:tcW w:w="632" w:type="pct"/>
          </w:tcPr>
          <w:p w14:paraId="6E28249C" w14:textId="7758C59A" w:rsidR="009E1151" w:rsidRPr="00423935" w:rsidRDefault="009E1151" w:rsidP="009E1151">
            <w:pPr>
              <w:jc w:val="center"/>
              <w:rPr>
                <w:rStyle w:val="Hyperlink"/>
              </w:rPr>
            </w:pPr>
            <w:hyperlink w:anchor="_19_Unusable_Reserves" w:history="1">
              <w:r>
                <w:rPr>
                  <w:rStyle w:val="Hyperlink"/>
                  <w:szCs w:val="24"/>
                </w:rPr>
                <w:t>19</w:t>
              </w:r>
            </w:hyperlink>
          </w:p>
        </w:tc>
        <w:tc>
          <w:tcPr>
            <w:tcW w:w="842" w:type="pct"/>
            <w:vAlign w:val="center"/>
          </w:tcPr>
          <w:p w14:paraId="2E36E4F9" w14:textId="7082DDD3" w:rsidR="009E1151" w:rsidRPr="00423935" w:rsidRDefault="007D6B6E" w:rsidP="009E1151">
            <w:pPr>
              <w:pStyle w:val="CommentText"/>
              <w:tabs>
                <w:tab w:val="decimal" w:pos="1350"/>
              </w:tabs>
              <w:jc w:val="right"/>
              <w:rPr>
                <w:sz w:val="24"/>
                <w:szCs w:val="24"/>
              </w:rPr>
            </w:pPr>
            <w:r>
              <w:rPr>
                <w:sz w:val="24"/>
                <w:szCs w:val="24"/>
              </w:rPr>
              <w:t>(550)</w:t>
            </w:r>
          </w:p>
        </w:tc>
        <w:tc>
          <w:tcPr>
            <w:tcW w:w="842" w:type="pct"/>
            <w:vAlign w:val="center"/>
          </w:tcPr>
          <w:p w14:paraId="49CCE2A2" w14:textId="159541F0" w:rsidR="009E1151" w:rsidRPr="006822CA" w:rsidRDefault="009E1151" w:rsidP="009E1151">
            <w:pPr>
              <w:tabs>
                <w:tab w:val="decimal" w:pos="1350"/>
              </w:tabs>
              <w:jc w:val="right"/>
              <w:rPr>
                <w:szCs w:val="24"/>
              </w:rPr>
            </w:pPr>
            <w:r w:rsidRPr="00423935">
              <w:rPr>
                <w:szCs w:val="24"/>
              </w:rPr>
              <w:t>(591)</w:t>
            </w:r>
          </w:p>
        </w:tc>
      </w:tr>
      <w:tr w:rsidR="009E1151" w:rsidRPr="00423935" w14:paraId="4C1488AA" w14:textId="77777777" w:rsidTr="00233A66">
        <w:trPr>
          <w:trHeight w:val="197"/>
        </w:trPr>
        <w:tc>
          <w:tcPr>
            <w:tcW w:w="2684" w:type="pct"/>
          </w:tcPr>
          <w:p w14:paraId="17481394" w14:textId="77777777" w:rsidR="009E1151" w:rsidRPr="00423935" w:rsidRDefault="009E1151" w:rsidP="009E1151">
            <w:pPr>
              <w:rPr>
                <w:szCs w:val="24"/>
              </w:rPr>
            </w:pPr>
            <w:r w:rsidRPr="00423935">
              <w:rPr>
                <w:szCs w:val="24"/>
              </w:rPr>
              <w:t>Accumulated Absences Adjustment Account</w:t>
            </w:r>
          </w:p>
        </w:tc>
        <w:tc>
          <w:tcPr>
            <w:tcW w:w="632" w:type="pct"/>
          </w:tcPr>
          <w:p w14:paraId="56AFAA4C" w14:textId="749B1FC1" w:rsidR="009E1151" w:rsidRPr="00423935" w:rsidRDefault="009E1151" w:rsidP="009E1151">
            <w:pPr>
              <w:jc w:val="center"/>
              <w:rPr>
                <w:rStyle w:val="Hyperlink"/>
              </w:rPr>
            </w:pPr>
            <w:hyperlink w:anchor="_19_Unusable_Reserves" w:history="1">
              <w:r>
                <w:rPr>
                  <w:rStyle w:val="Hyperlink"/>
                  <w:szCs w:val="24"/>
                </w:rPr>
                <w:t>19</w:t>
              </w:r>
            </w:hyperlink>
          </w:p>
        </w:tc>
        <w:tc>
          <w:tcPr>
            <w:tcW w:w="842" w:type="pct"/>
            <w:vAlign w:val="center"/>
          </w:tcPr>
          <w:p w14:paraId="4323C9AA" w14:textId="60D8713E" w:rsidR="009E1151" w:rsidRPr="00423935" w:rsidRDefault="007D6B6E" w:rsidP="009E1151">
            <w:pPr>
              <w:pStyle w:val="CommentText"/>
              <w:tabs>
                <w:tab w:val="decimal" w:pos="1350"/>
              </w:tabs>
              <w:jc w:val="right"/>
              <w:rPr>
                <w:sz w:val="24"/>
                <w:szCs w:val="24"/>
              </w:rPr>
            </w:pPr>
            <w:r>
              <w:rPr>
                <w:sz w:val="24"/>
                <w:szCs w:val="24"/>
              </w:rPr>
              <w:t>653</w:t>
            </w:r>
          </w:p>
        </w:tc>
        <w:tc>
          <w:tcPr>
            <w:tcW w:w="842" w:type="pct"/>
            <w:vAlign w:val="center"/>
          </w:tcPr>
          <w:p w14:paraId="4B104182" w14:textId="58FD8241" w:rsidR="009E1151" w:rsidRPr="006822CA" w:rsidRDefault="009E1151" w:rsidP="009E1151">
            <w:pPr>
              <w:tabs>
                <w:tab w:val="decimal" w:pos="1350"/>
              </w:tabs>
              <w:jc w:val="right"/>
              <w:rPr>
                <w:szCs w:val="24"/>
              </w:rPr>
            </w:pPr>
            <w:r w:rsidRPr="00423935">
              <w:rPr>
                <w:szCs w:val="24"/>
              </w:rPr>
              <w:t>696</w:t>
            </w:r>
          </w:p>
        </w:tc>
      </w:tr>
      <w:tr w:rsidR="009E1151" w:rsidRPr="00423935" w14:paraId="75F617FB" w14:textId="77777777" w:rsidTr="00233A66">
        <w:tc>
          <w:tcPr>
            <w:tcW w:w="2684" w:type="pct"/>
          </w:tcPr>
          <w:p w14:paraId="0444D5A1" w14:textId="205DD539" w:rsidR="009E1151" w:rsidRPr="00423935" w:rsidRDefault="009E1151" w:rsidP="009E1151">
            <w:pPr>
              <w:rPr>
                <w:bCs/>
                <w:szCs w:val="24"/>
              </w:rPr>
            </w:pPr>
            <w:r w:rsidRPr="00423935">
              <w:rPr>
                <w:bCs/>
                <w:szCs w:val="24"/>
              </w:rPr>
              <w:t>Unusable Reserves total</w:t>
            </w:r>
          </w:p>
        </w:tc>
        <w:tc>
          <w:tcPr>
            <w:tcW w:w="632" w:type="pct"/>
          </w:tcPr>
          <w:p w14:paraId="24A4B6B7" w14:textId="58785204" w:rsidR="009E1151" w:rsidRPr="00423935" w:rsidRDefault="009E1151" w:rsidP="009E1151">
            <w:pPr>
              <w:jc w:val="center"/>
              <w:rPr>
                <w:rStyle w:val="Hyperlink"/>
              </w:rPr>
            </w:pPr>
            <w:hyperlink w:anchor="_19_Unusable_Reserves" w:history="1">
              <w:r>
                <w:rPr>
                  <w:rStyle w:val="Hyperlink"/>
                  <w:szCs w:val="24"/>
                </w:rPr>
                <w:t>19</w:t>
              </w:r>
            </w:hyperlink>
          </w:p>
        </w:tc>
        <w:tc>
          <w:tcPr>
            <w:tcW w:w="842" w:type="pct"/>
            <w:vAlign w:val="center"/>
          </w:tcPr>
          <w:p w14:paraId="5FC4393C" w14:textId="0D4F59B4" w:rsidR="009E1151" w:rsidRPr="00423935" w:rsidRDefault="001A6896" w:rsidP="009E1151">
            <w:pPr>
              <w:pStyle w:val="CommentText"/>
              <w:tabs>
                <w:tab w:val="decimal" w:pos="1350"/>
              </w:tabs>
              <w:jc w:val="right"/>
              <w:rPr>
                <w:sz w:val="24"/>
                <w:szCs w:val="24"/>
              </w:rPr>
            </w:pPr>
            <w:r>
              <w:rPr>
                <w:sz w:val="24"/>
                <w:szCs w:val="24"/>
              </w:rPr>
              <w:t>460,5</w:t>
            </w:r>
            <w:r w:rsidR="001B5A27">
              <w:rPr>
                <w:sz w:val="24"/>
                <w:szCs w:val="24"/>
              </w:rPr>
              <w:t>50</w:t>
            </w:r>
          </w:p>
        </w:tc>
        <w:tc>
          <w:tcPr>
            <w:tcW w:w="842" w:type="pct"/>
            <w:vAlign w:val="center"/>
          </w:tcPr>
          <w:p w14:paraId="3445A428" w14:textId="5415518D" w:rsidR="009E1151" w:rsidRPr="006822CA" w:rsidRDefault="009E1151" w:rsidP="009E1151">
            <w:pPr>
              <w:tabs>
                <w:tab w:val="decimal" w:pos="1350"/>
              </w:tabs>
              <w:jc w:val="right"/>
              <w:rPr>
                <w:szCs w:val="24"/>
              </w:rPr>
            </w:pPr>
            <w:r w:rsidRPr="00423935">
              <w:rPr>
                <w:szCs w:val="24"/>
              </w:rPr>
              <w:t>470,932</w:t>
            </w:r>
          </w:p>
        </w:tc>
      </w:tr>
    </w:tbl>
    <w:p w14:paraId="4AC9B057" w14:textId="77777777" w:rsidR="00F32423" w:rsidRPr="00423935" w:rsidRDefault="00F32423"/>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1276"/>
        <w:gridCol w:w="1701"/>
        <w:gridCol w:w="1701"/>
      </w:tblGrid>
      <w:tr w:rsidR="00FA18E2" w:rsidRPr="00D948C1" w14:paraId="71CD8CCE" w14:textId="77777777" w:rsidTr="00233A66">
        <w:tc>
          <w:tcPr>
            <w:tcW w:w="2684" w:type="pct"/>
          </w:tcPr>
          <w:p w14:paraId="61024DB4" w14:textId="77777777" w:rsidR="00FA18E2" w:rsidRPr="00423935" w:rsidRDefault="00FA18E2" w:rsidP="00FA18E2">
            <w:pPr>
              <w:rPr>
                <w:b/>
                <w:szCs w:val="24"/>
              </w:rPr>
            </w:pPr>
            <w:r w:rsidRPr="00423935">
              <w:rPr>
                <w:b/>
                <w:szCs w:val="24"/>
              </w:rPr>
              <w:t>Total Reserves</w:t>
            </w:r>
          </w:p>
        </w:tc>
        <w:tc>
          <w:tcPr>
            <w:tcW w:w="632" w:type="pct"/>
          </w:tcPr>
          <w:p w14:paraId="1A936933" w14:textId="77777777" w:rsidR="00FA18E2" w:rsidRPr="00423935" w:rsidRDefault="00FA18E2" w:rsidP="00FA18E2">
            <w:pPr>
              <w:pStyle w:val="CommentText"/>
              <w:tabs>
                <w:tab w:val="decimal" w:pos="1350"/>
              </w:tabs>
              <w:jc w:val="right"/>
              <w:rPr>
                <w:sz w:val="24"/>
                <w:szCs w:val="24"/>
              </w:rPr>
            </w:pPr>
          </w:p>
        </w:tc>
        <w:tc>
          <w:tcPr>
            <w:tcW w:w="842" w:type="pct"/>
            <w:vAlign w:val="center"/>
          </w:tcPr>
          <w:p w14:paraId="306BEE40" w14:textId="4E0DB698" w:rsidR="00FA18E2" w:rsidRPr="00423935" w:rsidRDefault="001A6896" w:rsidP="00233A66">
            <w:pPr>
              <w:pStyle w:val="CommentText"/>
              <w:tabs>
                <w:tab w:val="decimal" w:pos="1350"/>
              </w:tabs>
              <w:jc w:val="right"/>
              <w:rPr>
                <w:b/>
                <w:bCs/>
                <w:sz w:val="24"/>
                <w:szCs w:val="24"/>
              </w:rPr>
            </w:pPr>
            <w:r>
              <w:rPr>
                <w:b/>
                <w:bCs/>
                <w:sz w:val="24"/>
                <w:szCs w:val="24"/>
              </w:rPr>
              <w:t>425,0</w:t>
            </w:r>
            <w:r w:rsidR="001B5A27">
              <w:rPr>
                <w:b/>
                <w:bCs/>
                <w:sz w:val="24"/>
                <w:szCs w:val="24"/>
              </w:rPr>
              <w:t>05</w:t>
            </w:r>
          </w:p>
        </w:tc>
        <w:tc>
          <w:tcPr>
            <w:tcW w:w="842" w:type="pct"/>
            <w:vAlign w:val="center"/>
          </w:tcPr>
          <w:p w14:paraId="37F7ACEC" w14:textId="2085A54D" w:rsidR="00FA18E2" w:rsidRPr="00D948C1" w:rsidRDefault="009E1151" w:rsidP="00233A66">
            <w:pPr>
              <w:pStyle w:val="CommentText"/>
              <w:tabs>
                <w:tab w:val="decimal" w:pos="1350"/>
              </w:tabs>
              <w:jc w:val="right"/>
              <w:rPr>
                <w:b/>
                <w:bCs/>
                <w:sz w:val="24"/>
                <w:szCs w:val="24"/>
              </w:rPr>
            </w:pPr>
            <w:r w:rsidRPr="00423935">
              <w:rPr>
                <w:b/>
                <w:bCs/>
                <w:sz w:val="24"/>
                <w:szCs w:val="24"/>
              </w:rPr>
              <w:t>435,162</w:t>
            </w:r>
          </w:p>
        </w:tc>
      </w:tr>
    </w:tbl>
    <w:p w14:paraId="754E968C" w14:textId="77777777" w:rsidR="008A52B6" w:rsidRDefault="008A52B6" w:rsidP="00FA71D8">
      <w:pPr>
        <w:rPr>
          <w:szCs w:val="24"/>
        </w:rPr>
      </w:pPr>
    </w:p>
    <w:p w14:paraId="33641819" w14:textId="1AC5DA0E" w:rsidR="00A32EA2" w:rsidRPr="00D948C1" w:rsidRDefault="00C37996" w:rsidP="00FA71D8">
      <w:r>
        <w:t xml:space="preserve">This Statement of Accounts is that upon which the Auditor should enter his certificate and opinion. It presents a true and fair view of the financial position of the Authority </w:t>
      </w:r>
      <w:proofErr w:type="gramStart"/>
      <w:r>
        <w:t>at</w:t>
      </w:r>
      <w:proofErr w:type="gramEnd"/>
      <w:r>
        <w:t xml:space="preserve"> 31 March </w:t>
      </w:r>
      <w:r w:rsidR="000870F3">
        <w:t>202</w:t>
      </w:r>
      <w:r w:rsidR="009E1151">
        <w:t>6</w:t>
      </w:r>
      <w:r w:rsidR="000870F3">
        <w:t xml:space="preserve"> </w:t>
      </w:r>
      <w:r>
        <w:t>and its income and expenditure for the year then ended.</w:t>
      </w:r>
    </w:p>
    <w:p w14:paraId="2139A82C" w14:textId="77777777" w:rsidR="000870F3" w:rsidRPr="00D948C1" w:rsidRDefault="000870F3" w:rsidP="00C37996">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1661"/>
        <w:gridCol w:w="4391"/>
      </w:tblGrid>
      <w:tr w:rsidR="00EB128F" w:rsidRPr="00D948C1" w14:paraId="39E4C1FB" w14:textId="77777777" w:rsidTr="00773567">
        <w:trPr>
          <w:trHeight w:val="729"/>
        </w:trPr>
        <w:tc>
          <w:tcPr>
            <w:tcW w:w="4415" w:type="dxa"/>
          </w:tcPr>
          <w:p w14:paraId="3B59139A" w14:textId="2B9783DF" w:rsidR="00EF1CEF" w:rsidRPr="00620F97" w:rsidRDefault="00D062BC" w:rsidP="00EF1CEF">
            <w:pPr>
              <w:jc w:val="both"/>
              <w:rPr>
                <w:rFonts w:ascii="Brush Script MT" w:hAnsi="Brush Script MT"/>
                <w:sz w:val="48"/>
                <w:szCs w:val="48"/>
              </w:rPr>
            </w:pPr>
            <w:r w:rsidRPr="00620F97">
              <w:rPr>
                <w:rFonts w:ascii="Brush Script MT" w:hAnsi="Brush Script MT"/>
                <w:sz w:val="48"/>
                <w:szCs w:val="48"/>
              </w:rPr>
              <w:t>Steven Brown</w:t>
            </w:r>
          </w:p>
          <w:p w14:paraId="21FD3FD7" w14:textId="4503BC3C" w:rsidR="00EB128F" w:rsidRPr="00620F97" w:rsidRDefault="00EB128F" w:rsidP="00C37996">
            <w:pPr>
              <w:jc w:val="both"/>
              <w:rPr>
                <w:sz w:val="20"/>
              </w:rPr>
            </w:pPr>
          </w:p>
        </w:tc>
        <w:tc>
          <w:tcPr>
            <w:tcW w:w="1661" w:type="dxa"/>
          </w:tcPr>
          <w:p w14:paraId="0B86DCE5" w14:textId="77777777" w:rsidR="00EB128F" w:rsidRPr="00620F97" w:rsidRDefault="00EB128F" w:rsidP="00C37996">
            <w:pPr>
              <w:jc w:val="both"/>
              <w:rPr>
                <w:sz w:val="20"/>
              </w:rPr>
            </w:pPr>
          </w:p>
        </w:tc>
        <w:tc>
          <w:tcPr>
            <w:tcW w:w="4391" w:type="dxa"/>
          </w:tcPr>
          <w:p w14:paraId="45334352" w14:textId="17E08629" w:rsidR="005138FC" w:rsidRPr="00620F97" w:rsidRDefault="005138FC" w:rsidP="005138FC">
            <w:pPr>
              <w:jc w:val="both"/>
              <w:rPr>
                <w:rFonts w:ascii="Brush Script MT" w:hAnsi="Brush Script MT"/>
                <w:sz w:val="48"/>
                <w:szCs w:val="48"/>
              </w:rPr>
            </w:pPr>
            <w:r w:rsidRPr="00620F97">
              <w:rPr>
                <w:rFonts w:ascii="Brush Script MT" w:hAnsi="Brush Script MT"/>
                <w:sz w:val="48"/>
                <w:szCs w:val="48"/>
              </w:rPr>
              <w:t>Mark Clifford</w:t>
            </w:r>
          </w:p>
          <w:p w14:paraId="4FD50319" w14:textId="54E15A40" w:rsidR="00EB128F" w:rsidRPr="00620F97" w:rsidRDefault="00EB128F" w:rsidP="00E949AD">
            <w:pPr>
              <w:jc w:val="both"/>
              <w:rPr>
                <w:sz w:val="20"/>
              </w:rPr>
            </w:pPr>
          </w:p>
        </w:tc>
      </w:tr>
      <w:tr w:rsidR="00EB128F" w:rsidRPr="00D948C1" w14:paraId="77CCDD32" w14:textId="77777777" w:rsidTr="00773567">
        <w:tc>
          <w:tcPr>
            <w:tcW w:w="4415" w:type="dxa"/>
          </w:tcPr>
          <w:p w14:paraId="206052FB" w14:textId="5BE1CCDD" w:rsidR="00D062BC" w:rsidRPr="00620F97" w:rsidRDefault="00D062BC" w:rsidP="00D062BC">
            <w:pPr>
              <w:jc w:val="both"/>
              <w:rPr>
                <w:szCs w:val="24"/>
              </w:rPr>
            </w:pPr>
            <w:r w:rsidRPr="00620F97">
              <w:rPr>
                <w:szCs w:val="24"/>
              </w:rPr>
              <w:t>Steven Brown CGMA</w:t>
            </w:r>
          </w:p>
          <w:p w14:paraId="4DA198D2" w14:textId="77777777" w:rsidR="00EB128F" w:rsidRPr="00620F97" w:rsidRDefault="00EB128F" w:rsidP="00EB128F">
            <w:pPr>
              <w:rPr>
                <w:szCs w:val="24"/>
              </w:rPr>
            </w:pPr>
            <w:r w:rsidRPr="00620F97">
              <w:rPr>
                <w:szCs w:val="24"/>
              </w:rPr>
              <w:t>Treasurer to the Combined Fire Authority</w:t>
            </w:r>
          </w:p>
          <w:p w14:paraId="4B708C13" w14:textId="47825482" w:rsidR="00EB128F" w:rsidRPr="00620F97" w:rsidRDefault="00E05566" w:rsidP="00EB128F">
            <w:pPr>
              <w:jc w:val="both"/>
              <w:rPr>
                <w:szCs w:val="24"/>
              </w:rPr>
            </w:pPr>
            <w:r>
              <w:t>30</w:t>
            </w:r>
            <w:r w:rsidRPr="00534795">
              <w:rPr>
                <w:vertAlign w:val="superscript"/>
              </w:rPr>
              <w:t>th</w:t>
            </w:r>
            <w:r>
              <w:t xml:space="preserve"> June 2026</w:t>
            </w:r>
          </w:p>
        </w:tc>
        <w:tc>
          <w:tcPr>
            <w:tcW w:w="1661" w:type="dxa"/>
          </w:tcPr>
          <w:p w14:paraId="37BAA24C" w14:textId="77777777" w:rsidR="00EB128F" w:rsidRPr="00620F97" w:rsidRDefault="00EB128F" w:rsidP="00C37996">
            <w:pPr>
              <w:jc w:val="both"/>
              <w:rPr>
                <w:szCs w:val="24"/>
              </w:rPr>
            </w:pPr>
          </w:p>
        </w:tc>
        <w:tc>
          <w:tcPr>
            <w:tcW w:w="4391" w:type="dxa"/>
          </w:tcPr>
          <w:p w14:paraId="0DF11EF2" w14:textId="18FAC066" w:rsidR="00EB128F" w:rsidRPr="00620F97" w:rsidRDefault="00E949AD" w:rsidP="00EB128F">
            <w:pPr>
              <w:rPr>
                <w:szCs w:val="24"/>
              </w:rPr>
            </w:pPr>
            <w:r w:rsidRPr="00620F97">
              <w:rPr>
                <w:szCs w:val="24"/>
              </w:rPr>
              <w:t>Mark Clifford</w:t>
            </w:r>
          </w:p>
          <w:p w14:paraId="763CDB83" w14:textId="77777777" w:rsidR="00EB128F" w:rsidRPr="00620F97" w:rsidRDefault="00EB128F" w:rsidP="00EB128F">
            <w:pPr>
              <w:rPr>
                <w:szCs w:val="24"/>
              </w:rPr>
            </w:pPr>
            <w:r w:rsidRPr="00620F97">
              <w:rPr>
                <w:szCs w:val="24"/>
              </w:rPr>
              <w:t>Chair of Audit Committee</w:t>
            </w:r>
          </w:p>
          <w:p w14:paraId="17BE3A3C" w14:textId="5BBF268A" w:rsidR="00EB128F" w:rsidRPr="00620F97" w:rsidRDefault="009E1151" w:rsidP="00EB128F">
            <w:pPr>
              <w:jc w:val="both"/>
              <w:rPr>
                <w:szCs w:val="24"/>
              </w:rPr>
            </w:pPr>
            <w:r w:rsidRPr="00620F97">
              <w:rPr>
                <w:szCs w:val="24"/>
              </w:rPr>
              <w:t>[Date]</w:t>
            </w:r>
          </w:p>
        </w:tc>
      </w:tr>
    </w:tbl>
    <w:p w14:paraId="5FBE98CF" w14:textId="77777777" w:rsidR="005D04CB" w:rsidRPr="00D948C1" w:rsidRDefault="005D04CB">
      <w:pPr>
        <w:rPr>
          <w:b/>
          <w:sz w:val="22"/>
          <w:szCs w:val="22"/>
        </w:rPr>
      </w:pPr>
      <w:bookmarkStart w:id="17" w:name="Cashflow"/>
      <w:bookmarkEnd w:id="17"/>
      <w:r w:rsidRPr="00D948C1">
        <w:rPr>
          <w:sz w:val="22"/>
          <w:szCs w:val="22"/>
        </w:rPr>
        <w:br w:type="page"/>
      </w:r>
    </w:p>
    <w:p w14:paraId="55922220" w14:textId="5FAFB1BC" w:rsidR="00D90216" w:rsidRPr="009E1151" w:rsidRDefault="005C1944" w:rsidP="00FA71D8">
      <w:pPr>
        <w:pStyle w:val="Heading1"/>
      </w:pPr>
      <w:bookmarkStart w:id="18" w:name="_Toc233717517"/>
      <w:r>
        <w:lastRenderedPageBreak/>
        <w:t>Cash Flow Statement</w:t>
      </w:r>
      <w:bookmarkEnd w:id="18"/>
    </w:p>
    <w:p w14:paraId="6233FA84" w14:textId="77777777" w:rsidR="00D90216" w:rsidRPr="009E1151" w:rsidRDefault="00D90216" w:rsidP="00FA71D8">
      <w:pPr>
        <w:ind w:left="540" w:hanging="540"/>
        <w:rPr>
          <w:u w:val="single"/>
        </w:rPr>
      </w:pPr>
    </w:p>
    <w:p w14:paraId="7F1E926F" w14:textId="6F07706C" w:rsidR="00D90216" w:rsidRPr="00D948C1" w:rsidRDefault="00D90216" w:rsidP="00FA71D8">
      <w:r>
        <w:t>The cash flow statement shows the changes in cash and cash equivalents of the Authority during the reporting period. The statement shows how the Authority generates and uses cash and cash equivalents by classifying cash flows as operating, investing and financing activities. The amounts of net cash flows arising from operating activities is an indicator of the extent to which the operations are funded by way of taxation and grant income or from the recipients of services provided by the Authority. Investing activities represent the extent to which cash outflows have been made for resources which are intended to contribute to the Author</w:t>
      </w:r>
      <w:r w:rsidR="00F73C99">
        <w:t>ity’s future service delivery.</w:t>
      </w:r>
    </w:p>
    <w:p w14:paraId="52E4AF86" w14:textId="77777777" w:rsidR="00D90216" w:rsidRPr="00D948C1" w:rsidRDefault="00D90216" w:rsidP="00D90216">
      <w:pPr>
        <w:rPr>
          <w:sz w:val="22"/>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9E1151" w:rsidRPr="00D948C1" w14:paraId="271FFD36" w14:textId="77777777" w:rsidTr="00611673">
        <w:trPr>
          <w:trHeight w:hRule="exact" w:val="578"/>
          <w:tblHeader/>
        </w:trPr>
        <w:tc>
          <w:tcPr>
            <w:tcW w:w="4927" w:type="dxa"/>
            <w:shd w:val="clear" w:color="auto" w:fill="BD2716"/>
          </w:tcPr>
          <w:p w14:paraId="60F71C1E" w14:textId="77777777" w:rsidR="009E1151" w:rsidRPr="00D948C1" w:rsidRDefault="009E1151" w:rsidP="009E1151">
            <w:pPr>
              <w:pStyle w:val="Footer"/>
              <w:tabs>
                <w:tab w:val="clear" w:pos="4153"/>
                <w:tab w:val="clear" w:pos="8306"/>
                <w:tab w:val="left" w:pos="284"/>
              </w:tabs>
              <w:rPr>
                <w:color w:val="FFFFFF" w:themeColor="background1"/>
                <w:szCs w:val="24"/>
              </w:rPr>
            </w:pPr>
          </w:p>
        </w:tc>
        <w:tc>
          <w:tcPr>
            <w:tcW w:w="1100" w:type="dxa"/>
            <w:shd w:val="clear" w:color="auto" w:fill="BD2716"/>
            <w:vAlign w:val="center"/>
          </w:tcPr>
          <w:p w14:paraId="54DAA8D4" w14:textId="2D96C9E8" w:rsidR="009E1151" w:rsidRPr="00D948C1" w:rsidRDefault="009E1151" w:rsidP="009E1151">
            <w:pPr>
              <w:pStyle w:val="Footer"/>
              <w:tabs>
                <w:tab w:val="clear" w:pos="4153"/>
                <w:tab w:val="clear" w:pos="8306"/>
                <w:tab w:val="left" w:pos="284"/>
              </w:tabs>
              <w:rPr>
                <w:color w:val="FFFFFF" w:themeColor="background1"/>
                <w:szCs w:val="24"/>
              </w:rPr>
            </w:pPr>
            <w:r w:rsidRPr="00D948C1">
              <w:rPr>
                <w:color w:val="FFFFFF" w:themeColor="background1"/>
                <w:szCs w:val="24"/>
              </w:rPr>
              <w:t>Notes</w:t>
            </w:r>
          </w:p>
        </w:tc>
        <w:tc>
          <w:tcPr>
            <w:tcW w:w="1134" w:type="dxa"/>
            <w:shd w:val="clear" w:color="auto" w:fill="BD2716"/>
            <w:vAlign w:val="center"/>
          </w:tcPr>
          <w:p w14:paraId="1DFB0FAE" w14:textId="777EE5C5" w:rsidR="009E1151" w:rsidRPr="00D948C1" w:rsidRDefault="001A42DD" w:rsidP="009E1151">
            <w:pPr>
              <w:tabs>
                <w:tab w:val="decimal" w:pos="743"/>
                <w:tab w:val="decimal" w:pos="882"/>
              </w:tabs>
              <w:jc w:val="right"/>
              <w:rPr>
                <w:color w:val="FFFFFF" w:themeColor="background1"/>
                <w:szCs w:val="24"/>
              </w:rPr>
            </w:pPr>
            <w:r>
              <w:rPr>
                <w:color w:val="FFFFFF" w:themeColor="background1"/>
                <w:szCs w:val="24"/>
              </w:rPr>
              <w:t>2025-26</w:t>
            </w:r>
          </w:p>
          <w:p w14:paraId="02FE9EBE" w14:textId="60D9A908" w:rsidR="009E1151" w:rsidRPr="00D948C1" w:rsidRDefault="009E1151" w:rsidP="009E1151">
            <w:pPr>
              <w:tabs>
                <w:tab w:val="decimal" w:pos="743"/>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014067F" w14:textId="22C61B14" w:rsidR="009E1151" w:rsidRPr="00D948C1" w:rsidRDefault="001A42DD" w:rsidP="009E1151">
            <w:pPr>
              <w:tabs>
                <w:tab w:val="decimal" w:pos="743"/>
                <w:tab w:val="decimal" w:pos="882"/>
              </w:tabs>
              <w:jc w:val="right"/>
              <w:rPr>
                <w:color w:val="FFFFFF" w:themeColor="background1"/>
                <w:szCs w:val="24"/>
              </w:rPr>
            </w:pPr>
            <w:r>
              <w:rPr>
                <w:color w:val="FFFFFF" w:themeColor="background1"/>
                <w:szCs w:val="24"/>
              </w:rPr>
              <w:t>2025-26</w:t>
            </w:r>
          </w:p>
          <w:p w14:paraId="7D1C8B74" w14:textId="2A281E02" w:rsidR="009E1151" w:rsidRPr="00D948C1" w:rsidRDefault="009E1151" w:rsidP="009E1151">
            <w:pPr>
              <w:tabs>
                <w:tab w:val="decimal" w:pos="743"/>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11DC0D7B" w14:textId="4B3B9DDF" w:rsidR="009E1151" w:rsidRPr="00D948C1" w:rsidRDefault="001A42DD" w:rsidP="009E1151">
            <w:pPr>
              <w:tabs>
                <w:tab w:val="decimal" w:pos="743"/>
                <w:tab w:val="decimal" w:pos="882"/>
              </w:tabs>
              <w:jc w:val="right"/>
              <w:rPr>
                <w:color w:val="FFFFFF" w:themeColor="background1"/>
                <w:szCs w:val="24"/>
              </w:rPr>
            </w:pPr>
            <w:r>
              <w:rPr>
                <w:color w:val="FFFFFF" w:themeColor="background1"/>
                <w:szCs w:val="24"/>
              </w:rPr>
              <w:t>2024-25</w:t>
            </w:r>
          </w:p>
          <w:p w14:paraId="4B1ED655" w14:textId="41FDF562" w:rsidR="009E1151" w:rsidRPr="00D948C1" w:rsidRDefault="009E1151" w:rsidP="009E1151">
            <w:pPr>
              <w:tabs>
                <w:tab w:val="decimal" w:pos="742"/>
                <w:tab w:val="decimal" w:pos="882"/>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25CEAACD" w14:textId="0F082A2D" w:rsidR="009E1151" w:rsidRPr="00D948C1" w:rsidRDefault="001A42DD" w:rsidP="009E1151">
            <w:pPr>
              <w:tabs>
                <w:tab w:val="decimal" w:pos="743"/>
                <w:tab w:val="decimal" w:pos="882"/>
              </w:tabs>
              <w:jc w:val="right"/>
              <w:rPr>
                <w:color w:val="FFFFFF" w:themeColor="background1"/>
                <w:szCs w:val="24"/>
              </w:rPr>
            </w:pPr>
            <w:r>
              <w:rPr>
                <w:color w:val="FFFFFF" w:themeColor="background1"/>
                <w:szCs w:val="24"/>
              </w:rPr>
              <w:t>2024-25</w:t>
            </w:r>
          </w:p>
          <w:p w14:paraId="791148BA" w14:textId="047B3260" w:rsidR="009E1151" w:rsidRPr="00D948C1" w:rsidRDefault="009E1151" w:rsidP="009E1151">
            <w:pPr>
              <w:tabs>
                <w:tab w:val="decimal" w:pos="742"/>
                <w:tab w:val="decimal" w:pos="882"/>
              </w:tabs>
              <w:jc w:val="right"/>
              <w:rPr>
                <w:color w:val="FFFFFF" w:themeColor="background1"/>
                <w:szCs w:val="24"/>
              </w:rPr>
            </w:pPr>
            <w:r w:rsidRPr="00D948C1">
              <w:rPr>
                <w:color w:val="FFFFFF" w:themeColor="background1"/>
                <w:szCs w:val="24"/>
              </w:rPr>
              <w:t>£000</w:t>
            </w:r>
          </w:p>
        </w:tc>
      </w:tr>
      <w:tr w:rsidR="009E1151" w:rsidRPr="00D948C1" w14:paraId="1F9D3C7E" w14:textId="77777777" w:rsidTr="00036C34">
        <w:trPr>
          <w:trHeight w:hRule="exact" w:val="300"/>
        </w:trPr>
        <w:tc>
          <w:tcPr>
            <w:tcW w:w="4927" w:type="dxa"/>
          </w:tcPr>
          <w:p w14:paraId="0F641F65" w14:textId="21C3FC8A" w:rsidR="009E1151" w:rsidRPr="00D948C1" w:rsidRDefault="009E1151" w:rsidP="009E1151">
            <w:pPr>
              <w:pStyle w:val="Footer"/>
              <w:tabs>
                <w:tab w:val="clear" w:pos="4153"/>
                <w:tab w:val="clear" w:pos="8306"/>
                <w:tab w:val="left" w:pos="284"/>
              </w:tabs>
              <w:rPr>
                <w:szCs w:val="24"/>
              </w:rPr>
            </w:pPr>
            <w:r w:rsidRPr="00D948C1">
              <w:rPr>
                <w:szCs w:val="24"/>
              </w:rPr>
              <w:t>Net deficit on the provision of services</w:t>
            </w:r>
          </w:p>
        </w:tc>
        <w:tc>
          <w:tcPr>
            <w:tcW w:w="1100" w:type="dxa"/>
            <w:vAlign w:val="center"/>
          </w:tcPr>
          <w:p w14:paraId="7F9870B6" w14:textId="77777777" w:rsidR="009E1151" w:rsidRPr="00D948C1" w:rsidRDefault="009E1151" w:rsidP="009E1151">
            <w:pPr>
              <w:pStyle w:val="Footer"/>
              <w:tabs>
                <w:tab w:val="clear" w:pos="4153"/>
                <w:tab w:val="clear" w:pos="8306"/>
                <w:tab w:val="left" w:pos="284"/>
              </w:tabs>
              <w:jc w:val="center"/>
              <w:rPr>
                <w:szCs w:val="24"/>
              </w:rPr>
            </w:pPr>
          </w:p>
        </w:tc>
        <w:tc>
          <w:tcPr>
            <w:tcW w:w="1134" w:type="dxa"/>
            <w:vAlign w:val="center"/>
          </w:tcPr>
          <w:p w14:paraId="0F152037" w14:textId="56A0389D" w:rsidR="009E1151" w:rsidRPr="00543C89" w:rsidRDefault="00A87328" w:rsidP="009E1151">
            <w:pPr>
              <w:tabs>
                <w:tab w:val="decimal" w:pos="743"/>
                <w:tab w:val="decimal" w:pos="882"/>
              </w:tabs>
              <w:jc w:val="right"/>
              <w:rPr>
                <w:szCs w:val="24"/>
              </w:rPr>
            </w:pPr>
            <w:r>
              <w:rPr>
                <w:szCs w:val="24"/>
              </w:rPr>
              <w:t>(2,8</w:t>
            </w:r>
            <w:r w:rsidR="00B868A6">
              <w:rPr>
                <w:szCs w:val="24"/>
              </w:rPr>
              <w:t>3</w:t>
            </w:r>
            <w:r>
              <w:rPr>
                <w:szCs w:val="24"/>
              </w:rPr>
              <w:t>4)</w:t>
            </w:r>
          </w:p>
        </w:tc>
        <w:tc>
          <w:tcPr>
            <w:tcW w:w="1134" w:type="dxa"/>
            <w:vAlign w:val="center"/>
          </w:tcPr>
          <w:p w14:paraId="38818C23" w14:textId="170DFF38" w:rsidR="009E1151" w:rsidRPr="00543C89" w:rsidRDefault="009E1151" w:rsidP="009E1151">
            <w:pPr>
              <w:pStyle w:val="CommentText"/>
              <w:tabs>
                <w:tab w:val="decimal" w:pos="743"/>
              </w:tabs>
              <w:spacing w:after="240"/>
              <w:jc w:val="right"/>
              <w:rPr>
                <w:sz w:val="24"/>
                <w:szCs w:val="24"/>
              </w:rPr>
            </w:pPr>
          </w:p>
        </w:tc>
        <w:tc>
          <w:tcPr>
            <w:tcW w:w="1134" w:type="dxa"/>
            <w:vAlign w:val="center"/>
          </w:tcPr>
          <w:p w14:paraId="5CE9F05B" w14:textId="3CFF6F37" w:rsidR="009E1151" w:rsidRPr="00543C89" w:rsidRDefault="009E1151" w:rsidP="009E1151">
            <w:pPr>
              <w:tabs>
                <w:tab w:val="decimal" w:pos="742"/>
              </w:tabs>
              <w:jc w:val="right"/>
              <w:rPr>
                <w:szCs w:val="24"/>
              </w:rPr>
            </w:pPr>
            <w:r w:rsidRPr="00543C89">
              <w:rPr>
                <w:szCs w:val="24"/>
              </w:rPr>
              <w:t>(3,054)</w:t>
            </w:r>
          </w:p>
        </w:tc>
        <w:tc>
          <w:tcPr>
            <w:tcW w:w="1134" w:type="dxa"/>
            <w:vAlign w:val="center"/>
          </w:tcPr>
          <w:p w14:paraId="15B6C481" w14:textId="0A1A5316" w:rsidR="009E1151" w:rsidRPr="00FB606A" w:rsidRDefault="009E1151" w:rsidP="009E1151">
            <w:pPr>
              <w:pStyle w:val="CommentText"/>
              <w:tabs>
                <w:tab w:val="decimal" w:pos="743"/>
              </w:tabs>
              <w:spacing w:after="240"/>
              <w:jc w:val="right"/>
              <w:rPr>
                <w:sz w:val="24"/>
                <w:szCs w:val="24"/>
              </w:rPr>
            </w:pPr>
          </w:p>
        </w:tc>
      </w:tr>
      <w:tr w:rsidR="009E1151" w:rsidRPr="00D948C1" w14:paraId="2806C46A" w14:textId="77777777" w:rsidTr="00A066AE">
        <w:trPr>
          <w:trHeight w:hRule="exact" w:val="587"/>
        </w:trPr>
        <w:tc>
          <w:tcPr>
            <w:tcW w:w="4927" w:type="dxa"/>
          </w:tcPr>
          <w:p w14:paraId="7481CC42" w14:textId="28516456" w:rsidR="009E1151" w:rsidRPr="00D948C1" w:rsidRDefault="009E1151" w:rsidP="009E1151">
            <w:pPr>
              <w:tabs>
                <w:tab w:val="left" w:pos="284"/>
              </w:tabs>
              <w:rPr>
                <w:szCs w:val="24"/>
              </w:rPr>
            </w:pPr>
            <w:r w:rsidRPr="00D948C1">
              <w:rPr>
                <w:szCs w:val="24"/>
              </w:rPr>
              <w:t>Adjustments to net deficit on the provision of services for non-cash movements</w:t>
            </w:r>
          </w:p>
        </w:tc>
        <w:tc>
          <w:tcPr>
            <w:tcW w:w="1100" w:type="dxa"/>
            <w:vAlign w:val="center"/>
          </w:tcPr>
          <w:p w14:paraId="39F4D6C4" w14:textId="586C5D9B" w:rsidR="009E1151" w:rsidRPr="00D948C1" w:rsidRDefault="009E1151" w:rsidP="009E1151">
            <w:pPr>
              <w:tabs>
                <w:tab w:val="left" w:pos="284"/>
              </w:tabs>
              <w:jc w:val="center"/>
              <w:rPr>
                <w:rStyle w:val="Hyperlink"/>
              </w:rPr>
            </w:pPr>
            <w:hyperlink w:anchor="_24_Adjust_Net" w:history="1">
              <w:r>
                <w:rPr>
                  <w:rStyle w:val="Hyperlink"/>
                  <w:szCs w:val="24"/>
                </w:rPr>
                <w:t>24</w:t>
              </w:r>
            </w:hyperlink>
          </w:p>
        </w:tc>
        <w:tc>
          <w:tcPr>
            <w:tcW w:w="1134" w:type="dxa"/>
            <w:vAlign w:val="center"/>
          </w:tcPr>
          <w:p w14:paraId="3285FE88" w14:textId="755CED67" w:rsidR="009E1151" w:rsidRPr="00543C89" w:rsidRDefault="0099035B" w:rsidP="009E1151">
            <w:pPr>
              <w:tabs>
                <w:tab w:val="decimal" w:pos="743"/>
              </w:tabs>
              <w:spacing w:after="120"/>
              <w:jc w:val="right"/>
              <w:rPr>
                <w:bCs/>
                <w:szCs w:val="24"/>
              </w:rPr>
            </w:pPr>
            <w:r>
              <w:rPr>
                <w:bCs/>
                <w:szCs w:val="24"/>
              </w:rPr>
              <w:t>(8</w:t>
            </w:r>
            <w:r w:rsidR="00B868A6">
              <w:rPr>
                <w:bCs/>
                <w:szCs w:val="24"/>
              </w:rPr>
              <w:t>3</w:t>
            </w:r>
            <w:r>
              <w:rPr>
                <w:bCs/>
                <w:szCs w:val="24"/>
              </w:rPr>
              <w:t>4)</w:t>
            </w:r>
          </w:p>
        </w:tc>
        <w:tc>
          <w:tcPr>
            <w:tcW w:w="1134" w:type="dxa"/>
            <w:vAlign w:val="center"/>
          </w:tcPr>
          <w:p w14:paraId="5982794D" w14:textId="0F04BCFF" w:rsidR="009E1151" w:rsidRPr="00543C89" w:rsidRDefault="009E1151" w:rsidP="009E1151">
            <w:pPr>
              <w:tabs>
                <w:tab w:val="decimal" w:pos="743"/>
              </w:tabs>
              <w:spacing w:after="120"/>
              <w:jc w:val="right"/>
              <w:rPr>
                <w:bCs/>
                <w:szCs w:val="24"/>
              </w:rPr>
            </w:pPr>
          </w:p>
        </w:tc>
        <w:tc>
          <w:tcPr>
            <w:tcW w:w="1134" w:type="dxa"/>
            <w:vAlign w:val="center"/>
          </w:tcPr>
          <w:p w14:paraId="7D746D44" w14:textId="5F5339DB" w:rsidR="009E1151" w:rsidRPr="00543C89" w:rsidRDefault="009E1151" w:rsidP="009E1151">
            <w:pPr>
              <w:tabs>
                <w:tab w:val="decimal" w:pos="743"/>
              </w:tabs>
              <w:spacing w:after="120"/>
              <w:jc w:val="right"/>
              <w:rPr>
                <w:bCs/>
                <w:szCs w:val="24"/>
              </w:rPr>
            </w:pPr>
            <w:r w:rsidRPr="00543C89">
              <w:rPr>
                <w:bCs/>
                <w:szCs w:val="24"/>
              </w:rPr>
              <w:t>30,251</w:t>
            </w:r>
          </w:p>
        </w:tc>
        <w:tc>
          <w:tcPr>
            <w:tcW w:w="1134" w:type="dxa"/>
            <w:vAlign w:val="center"/>
          </w:tcPr>
          <w:p w14:paraId="7690B1ED" w14:textId="2EF21D1A" w:rsidR="009E1151" w:rsidRPr="00FB606A" w:rsidRDefault="009E1151" w:rsidP="009E1151">
            <w:pPr>
              <w:tabs>
                <w:tab w:val="decimal" w:pos="743"/>
              </w:tabs>
              <w:spacing w:after="120"/>
              <w:jc w:val="right"/>
              <w:rPr>
                <w:bCs/>
                <w:szCs w:val="24"/>
              </w:rPr>
            </w:pPr>
          </w:p>
        </w:tc>
      </w:tr>
      <w:tr w:rsidR="009E1151" w:rsidRPr="00D948C1" w14:paraId="4522AD1A" w14:textId="77777777" w:rsidTr="00036C34">
        <w:trPr>
          <w:trHeight w:hRule="exact" w:val="820"/>
        </w:trPr>
        <w:tc>
          <w:tcPr>
            <w:tcW w:w="4927" w:type="dxa"/>
          </w:tcPr>
          <w:p w14:paraId="5DDB7602" w14:textId="77777777" w:rsidR="009E1151" w:rsidRPr="00D948C1" w:rsidRDefault="009E1151" w:rsidP="009E1151">
            <w:pPr>
              <w:tabs>
                <w:tab w:val="left" w:pos="284"/>
              </w:tabs>
              <w:rPr>
                <w:szCs w:val="24"/>
              </w:rPr>
            </w:pPr>
            <w:r w:rsidRPr="00D948C1">
              <w:rPr>
                <w:szCs w:val="24"/>
              </w:rPr>
              <w:t>Adjustments for items included in the net (deficit) on the provision of services that are investing and financing activities</w:t>
            </w:r>
          </w:p>
        </w:tc>
        <w:tc>
          <w:tcPr>
            <w:tcW w:w="1100" w:type="dxa"/>
            <w:vAlign w:val="center"/>
          </w:tcPr>
          <w:p w14:paraId="27E7B745" w14:textId="77777777" w:rsidR="009E1151" w:rsidRPr="00D948C1" w:rsidRDefault="009E1151" w:rsidP="009E1151">
            <w:pPr>
              <w:tabs>
                <w:tab w:val="left" w:pos="284"/>
              </w:tabs>
              <w:jc w:val="center"/>
              <w:rPr>
                <w:rStyle w:val="Hyperlink"/>
              </w:rPr>
            </w:pPr>
          </w:p>
        </w:tc>
        <w:tc>
          <w:tcPr>
            <w:tcW w:w="1134" w:type="dxa"/>
            <w:vAlign w:val="center"/>
          </w:tcPr>
          <w:p w14:paraId="474B011E" w14:textId="69865934" w:rsidR="009E1151" w:rsidRPr="00543C89" w:rsidRDefault="0099035B" w:rsidP="009E1151">
            <w:pPr>
              <w:tabs>
                <w:tab w:val="decimal" w:pos="743"/>
              </w:tabs>
              <w:spacing w:after="120"/>
              <w:jc w:val="right"/>
              <w:rPr>
                <w:bCs/>
                <w:szCs w:val="24"/>
              </w:rPr>
            </w:pPr>
            <w:r>
              <w:rPr>
                <w:bCs/>
                <w:szCs w:val="24"/>
              </w:rPr>
              <w:t>(105)</w:t>
            </w:r>
          </w:p>
        </w:tc>
        <w:tc>
          <w:tcPr>
            <w:tcW w:w="1134" w:type="dxa"/>
            <w:vAlign w:val="center"/>
          </w:tcPr>
          <w:p w14:paraId="2376C64C" w14:textId="43D33836" w:rsidR="009E1151" w:rsidRPr="00543C89" w:rsidRDefault="009E1151" w:rsidP="009E1151">
            <w:pPr>
              <w:pStyle w:val="CommentText"/>
              <w:tabs>
                <w:tab w:val="decimal" w:pos="743"/>
              </w:tabs>
              <w:spacing w:after="120"/>
              <w:jc w:val="right"/>
              <w:rPr>
                <w:bCs/>
                <w:sz w:val="24"/>
                <w:szCs w:val="24"/>
              </w:rPr>
            </w:pPr>
          </w:p>
        </w:tc>
        <w:tc>
          <w:tcPr>
            <w:tcW w:w="1134" w:type="dxa"/>
            <w:vAlign w:val="center"/>
          </w:tcPr>
          <w:p w14:paraId="1EA228C1" w14:textId="12373E18" w:rsidR="009E1151" w:rsidRPr="00543C89" w:rsidRDefault="009E1151" w:rsidP="009E1151">
            <w:pPr>
              <w:tabs>
                <w:tab w:val="decimal" w:pos="743"/>
              </w:tabs>
              <w:spacing w:after="120"/>
              <w:jc w:val="right"/>
              <w:rPr>
                <w:bCs/>
                <w:szCs w:val="24"/>
              </w:rPr>
            </w:pPr>
            <w:r w:rsidRPr="00543C89">
              <w:rPr>
                <w:bCs/>
                <w:szCs w:val="24"/>
              </w:rPr>
              <w:t>(681)</w:t>
            </w:r>
          </w:p>
        </w:tc>
        <w:tc>
          <w:tcPr>
            <w:tcW w:w="1134" w:type="dxa"/>
            <w:vAlign w:val="center"/>
          </w:tcPr>
          <w:p w14:paraId="4E02311B" w14:textId="19534B6F" w:rsidR="009E1151" w:rsidRPr="00FB606A" w:rsidRDefault="009E1151" w:rsidP="009E1151">
            <w:pPr>
              <w:pStyle w:val="CommentText"/>
              <w:tabs>
                <w:tab w:val="decimal" w:pos="743"/>
              </w:tabs>
              <w:spacing w:after="120"/>
              <w:jc w:val="right"/>
              <w:rPr>
                <w:bCs/>
                <w:sz w:val="24"/>
                <w:szCs w:val="24"/>
              </w:rPr>
            </w:pPr>
          </w:p>
        </w:tc>
      </w:tr>
      <w:tr w:rsidR="009E1151" w:rsidRPr="00D948C1" w14:paraId="133A9507" w14:textId="77777777" w:rsidTr="00036C34">
        <w:trPr>
          <w:trHeight w:hRule="exact" w:val="300"/>
        </w:trPr>
        <w:tc>
          <w:tcPr>
            <w:tcW w:w="4927" w:type="dxa"/>
          </w:tcPr>
          <w:p w14:paraId="3A816E97" w14:textId="77777777" w:rsidR="009E1151" w:rsidRPr="00D948C1" w:rsidRDefault="009E1151" w:rsidP="009E1151">
            <w:pPr>
              <w:tabs>
                <w:tab w:val="left" w:pos="284"/>
              </w:tabs>
              <w:rPr>
                <w:b/>
                <w:szCs w:val="24"/>
              </w:rPr>
            </w:pPr>
            <w:r w:rsidRPr="00D948C1">
              <w:rPr>
                <w:b/>
                <w:szCs w:val="24"/>
              </w:rPr>
              <w:t>Net cash flows from Operating Activities</w:t>
            </w:r>
          </w:p>
        </w:tc>
        <w:tc>
          <w:tcPr>
            <w:tcW w:w="1100" w:type="dxa"/>
            <w:vAlign w:val="center"/>
          </w:tcPr>
          <w:p w14:paraId="504208EF" w14:textId="77777777" w:rsidR="009E1151" w:rsidRPr="00D948C1" w:rsidRDefault="009E1151" w:rsidP="009E1151">
            <w:pPr>
              <w:tabs>
                <w:tab w:val="left" w:pos="284"/>
              </w:tabs>
              <w:jc w:val="center"/>
              <w:rPr>
                <w:rStyle w:val="Hyperlink"/>
              </w:rPr>
            </w:pPr>
          </w:p>
        </w:tc>
        <w:tc>
          <w:tcPr>
            <w:tcW w:w="1134" w:type="dxa"/>
            <w:vAlign w:val="center"/>
          </w:tcPr>
          <w:p w14:paraId="127C786A" w14:textId="5FDD3370" w:rsidR="009E1151" w:rsidRPr="00543C89" w:rsidRDefault="009E1151" w:rsidP="009E1151">
            <w:pPr>
              <w:tabs>
                <w:tab w:val="decimal" w:pos="743"/>
              </w:tabs>
              <w:jc w:val="right"/>
              <w:rPr>
                <w:b/>
                <w:szCs w:val="24"/>
              </w:rPr>
            </w:pPr>
          </w:p>
        </w:tc>
        <w:tc>
          <w:tcPr>
            <w:tcW w:w="1134" w:type="dxa"/>
            <w:vAlign w:val="center"/>
          </w:tcPr>
          <w:p w14:paraId="4C244104" w14:textId="3FB2575D" w:rsidR="009E1151" w:rsidRPr="00543C89" w:rsidRDefault="0099035B" w:rsidP="009E1151">
            <w:pPr>
              <w:pStyle w:val="CommentText"/>
              <w:tabs>
                <w:tab w:val="decimal" w:pos="743"/>
              </w:tabs>
              <w:spacing w:after="240"/>
              <w:jc w:val="right"/>
              <w:rPr>
                <w:b/>
                <w:sz w:val="24"/>
                <w:szCs w:val="24"/>
              </w:rPr>
            </w:pPr>
            <w:r>
              <w:rPr>
                <w:b/>
                <w:sz w:val="24"/>
                <w:szCs w:val="24"/>
              </w:rPr>
              <w:t>(3,773)</w:t>
            </w:r>
          </w:p>
        </w:tc>
        <w:tc>
          <w:tcPr>
            <w:tcW w:w="1134" w:type="dxa"/>
            <w:vAlign w:val="center"/>
          </w:tcPr>
          <w:p w14:paraId="25DF0D5F" w14:textId="77777777" w:rsidR="009E1151" w:rsidRPr="00543C89" w:rsidRDefault="009E1151" w:rsidP="009E1151">
            <w:pPr>
              <w:tabs>
                <w:tab w:val="decimal" w:pos="743"/>
              </w:tabs>
              <w:jc w:val="right"/>
              <w:rPr>
                <w:b/>
                <w:szCs w:val="24"/>
              </w:rPr>
            </w:pPr>
          </w:p>
        </w:tc>
        <w:tc>
          <w:tcPr>
            <w:tcW w:w="1134" w:type="dxa"/>
            <w:vAlign w:val="center"/>
          </w:tcPr>
          <w:p w14:paraId="7910C3F5" w14:textId="322BA852" w:rsidR="009E1151" w:rsidRPr="00FB606A" w:rsidRDefault="009E1151" w:rsidP="009E1151">
            <w:pPr>
              <w:pStyle w:val="CommentText"/>
              <w:tabs>
                <w:tab w:val="decimal" w:pos="743"/>
              </w:tabs>
              <w:spacing w:after="240"/>
              <w:jc w:val="right"/>
              <w:rPr>
                <w:b/>
                <w:sz w:val="24"/>
                <w:szCs w:val="24"/>
              </w:rPr>
            </w:pPr>
            <w:r w:rsidRPr="00543C89">
              <w:rPr>
                <w:b/>
                <w:sz w:val="24"/>
                <w:szCs w:val="24"/>
              </w:rPr>
              <w:t>26,516</w:t>
            </w:r>
          </w:p>
        </w:tc>
      </w:tr>
    </w:tbl>
    <w:p w14:paraId="7C0C084A" w14:textId="77777777" w:rsidR="00DD2894" w:rsidRPr="00D948C1" w:rsidRDefault="00DD2894"/>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DD2894" w:rsidRPr="00D948C1" w14:paraId="08E23E5D" w14:textId="77777777" w:rsidTr="00036C34">
        <w:trPr>
          <w:trHeight w:hRule="exact" w:val="334"/>
        </w:trPr>
        <w:tc>
          <w:tcPr>
            <w:tcW w:w="10563" w:type="dxa"/>
            <w:gridSpan w:val="6"/>
            <w:shd w:val="clear" w:color="auto" w:fill="D9D9D9" w:themeFill="background1" w:themeFillShade="D9"/>
          </w:tcPr>
          <w:p w14:paraId="2F0FB6BD" w14:textId="329F12A1" w:rsidR="00DD2894" w:rsidRPr="00D948C1" w:rsidRDefault="00DD2894" w:rsidP="00DD2894">
            <w:pPr>
              <w:pStyle w:val="Footer"/>
              <w:tabs>
                <w:tab w:val="clear" w:pos="4153"/>
                <w:tab w:val="clear" w:pos="8306"/>
                <w:tab w:val="left" w:pos="284"/>
              </w:tabs>
              <w:rPr>
                <w:b/>
                <w:bCs/>
                <w:szCs w:val="24"/>
              </w:rPr>
            </w:pPr>
            <w:r w:rsidRPr="00D948C1">
              <w:rPr>
                <w:b/>
                <w:bCs/>
                <w:szCs w:val="24"/>
              </w:rPr>
              <w:t>Investing activities</w:t>
            </w:r>
          </w:p>
        </w:tc>
      </w:tr>
      <w:tr w:rsidR="009E1151" w:rsidRPr="00D948C1" w14:paraId="29925C5D" w14:textId="77777777" w:rsidTr="0078602B">
        <w:trPr>
          <w:trHeight w:hRule="exact" w:val="582"/>
        </w:trPr>
        <w:tc>
          <w:tcPr>
            <w:tcW w:w="4927" w:type="dxa"/>
          </w:tcPr>
          <w:p w14:paraId="2D728916" w14:textId="77777777" w:rsidR="009E1151" w:rsidRPr="00D948C1" w:rsidRDefault="009E1151" w:rsidP="009E1151">
            <w:pPr>
              <w:tabs>
                <w:tab w:val="left" w:pos="284"/>
              </w:tabs>
              <w:rPr>
                <w:szCs w:val="24"/>
              </w:rPr>
            </w:pPr>
            <w:r w:rsidRPr="00D948C1">
              <w:rPr>
                <w:szCs w:val="24"/>
              </w:rPr>
              <w:t>Purchase of property plant and equipment &amp; other capital spend</w:t>
            </w:r>
          </w:p>
        </w:tc>
        <w:tc>
          <w:tcPr>
            <w:tcW w:w="1100" w:type="dxa"/>
            <w:vAlign w:val="center"/>
          </w:tcPr>
          <w:p w14:paraId="161B4898" w14:textId="54163C55" w:rsidR="009E1151" w:rsidRPr="00D948C1" w:rsidRDefault="009E1151" w:rsidP="009E1151">
            <w:pPr>
              <w:tabs>
                <w:tab w:val="left" w:pos="284"/>
              </w:tabs>
              <w:jc w:val="center"/>
              <w:rPr>
                <w:rStyle w:val="Hyperlink"/>
              </w:rPr>
            </w:pPr>
            <w:hyperlink w:anchor="_6_Property,_Plant" w:history="1">
              <w:r w:rsidRPr="00D948C1">
                <w:rPr>
                  <w:rStyle w:val="Hyperlink"/>
                  <w:szCs w:val="24"/>
                </w:rPr>
                <w:t>6</w:t>
              </w:r>
            </w:hyperlink>
            <w:r w:rsidR="007E0E1E">
              <w:t xml:space="preserve"> </w:t>
            </w:r>
            <w:hyperlink w:anchor="N7" w:history="1">
              <w:r w:rsidRPr="00D948C1">
                <w:rPr>
                  <w:rStyle w:val="Hyperlink"/>
                  <w:szCs w:val="24"/>
                </w:rPr>
                <w:t>7</w:t>
              </w:r>
            </w:hyperlink>
          </w:p>
        </w:tc>
        <w:tc>
          <w:tcPr>
            <w:tcW w:w="1134" w:type="dxa"/>
            <w:vAlign w:val="center"/>
          </w:tcPr>
          <w:p w14:paraId="1E01EF41" w14:textId="55C44439" w:rsidR="009E1151" w:rsidRPr="00543C89" w:rsidRDefault="0099035B" w:rsidP="009E1151">
            <w:pPr>
              <w:tabs>
                <w:tab w:val="decimal" w:pos="743"/>
              </w:tabs>
              <w:spacing w:after="120"/>
              <w:jc w:val="right"/>
              <w:rPr>
                <w:bCs/>
                <w:szCs w:val="24"/>
              </w:rPr>
            </w:pPr>
            <w:r>
              <w:rPr>
                <w:bCs/>
                <w:szCs w:val="24"/>
              </w:rPr>
              <w:t>(6,213)</w:t>
            </w:r>
          </w:p>
        </w:tc>
        <w:tc>
          <w:tcPr>
            <w:tcW w:w="1134" w:type="dxa"/>
            <w:vAlign w:val="center"/>
          </w:tcPr>
          <w:p w14:paraId="4B44576C" w14:textId="77777777" w:rsidR="009E1151" w:rsidRPr="00543C89" w:rsidRDefault="009E1151" w:rsidP="009E1151">
            <w:pPr>
              <w:tabs>
                <w:tab w:val="decimal" w:pos="743"/>
              </w:tabs>
              <w:spacing w:after="120"/>
              <w:jc w:val="right"/>
              <w:rPr>
                <w:bCs/>
                <w:szCs w:val="24"/>
              </w:rPr>
            </w:pPr>
          </w:p>
        </w:tc>
        <w:tc>
          <w:tcPr>
            <w:tcW w:w="1134" w:type="dxa"/>
            <w:vAlign w:val="center"/>
          </w:tcPr>
          <w:p w14:paraId="17DA96AA" w14:textId="0D10FD50" w:rsidR="009E1151" w:rsidRPr="00FB606A" w:rsidRDefault="009E1151" w:rsidP="009E1151">
            <w:pPr>
              <w:tabs>
                <w:tab w:val="decimal" w:pos="743"/>
              </w:tabs>
              <w:spacing w:after="120"/>
              <w:jc w:val="right"/>
              <w:rPr>
                <w:bCs/>
                <w:szCs w:val="24"/>
              </w:rPr>
            </w:pPr>
            <w:r w:rsidRPr="00543C89">
              <w:rPr>
                <w:bCs/>
                <w:szCs w:val="24"/>
              </w:rPr>
              <w:t>(4,261)</w:t>
            </w:r>
          </w:p>
        </w:tc>
        <w:tc>
          <w:tcPr>
            <w:tcW w:w="1134" w:type="dxa"/>
            <w:vAlign w:val="center"/>
          </w:tcPr>
          <w:p w14:paraId="37D2B5B9" w14:textId="77777777" w:rsidR="009E1151" w:rsidRPr="00FB606A" w:rsidRDefault="009E1151" w:rsidP="009E1151">
            <w:pPr>
              <w:tabs>
                <w:tab w:val="decimal" w:pos="743"/>
              </w:tabs>
              <w:spacing w:after="120"/>
              <w:jc w:val="right"/>
              <w:rPr>
                <w:bCs/>
                <w:szCs w:val="24"/>
              </w:rPr>
            </w:pPr>
          </w:p>
        </w:tc>
      </w:tr>
      <w:tr w:rsidR="009E1151" w:rsidRPr="00D948C1" w14:paraId="68AFA0B9" w14:textId="77777777" w:rsidTr="0078602B">
        <w:trPr>
          <w:trHeight w:hRule="exact" w:val="300"/>
        </w:trPr>
        <w:tc>
          <w:tcPr>
            <w:tcW w:w="4927" w:type="dxa"/>
          </w:tcPr>
          <w:p w14:paraId="43415029" w14:textId="5B1EE773" w:rsidR="009E1151" w:rsidRPr="00D948C1" w:rsidRDefault="009E1151" w:rsidP="009E1151">
            <w:pPr>
              <w:pStyle w:val="Footer"/>
              <w:tabs>
                <w:tab w:val="clear" w:pos="4153"/>
                <w:tab w:val="clear" w:pos="8306"/>
                <w:tab w:val="left" w:pos="284"/>
              </w:tabs>
              <w:spacing w:after="240"/>
              <w:rPr>
                <w:szCs w:val="24"/>
              </w:rPr>
            </w:pPr>
            <w:r w:rsidRPr="00D948C1">
              <w:rPr>
                <w:szCs w:val="24"/>
              </w:rPr>
              <w:t>(Increase)</w:t>
            </w:r>
            <w:r w:rsidR="007E0E1E">
              <w:rPr>
                <w:szCs w:val="24"/>
              </w:rPr>
              <w:t xml:space="preserve"> or d</w:t>
            </w:r>
            <w:r w:rsidRPr="00D948C1">
              <w:rPr>
                <w:szCs w:val="24"/>
              </w:rPr>
              <w:t>ecrease in short-term deposits</w:t>
            </w:r>
          </w:p>
        </w:tc>
        <w:tc>
          <w:tcPr>
            <w:tcW w:w="1100" w:type="dxa"/>
            <w:vAlign w:val="center"/>
          </w:tcPr>
          <w:p w14:paraId="116128E1" w14:textId="77777777" w:rsidR="009E1151" w:rsidRPr="00D948C1" w:rsidRDefault="009E1151" w:rsidP="009E1151">
            <w:pPr>
              <w:tabs>
                <w:tab w:val="left" w:pos="284"/>
              </w:tabs>
              <w:jc w:val="center"/>
              <w:rPr>
                <w:rStyle w:val="Hyperlink"/>
              </w:rPr>
            </w:pPr>
          </w:p>
        </w:tc>
        <w:tc>
          <w:tcPr>
            <w:tcW w:w="1134" w:type="dxa"/>
            <w:vAlign w:val="center"/>
          </w:tcPr>
          <w:p w14:paraId="3BAD0658" w14:textId="106E1AF8" w:rsidR="009E1151" w:rsidRPr="00543C89" w:rsidRDefault="0099035B" w:rsidP="009E1151">
            <w:pPr>
              <w:tabs>
                <w:tab w:val="decimal" w:pos="743"/>
              </w:tabs>
              <w:spacing w:after="240"/>
              <w:jc w:val="right"/>
              <w:rPr>
                <w:szCs w:val="24"/>
              </w:rPr>
            </w:pPr>
            <w:r>
              <w:rPr>
                <w:szCs w:val="24"/>
              </w:rPr>
              <w:t>10,425</w:t>
            </w:r>
          </w:p>
        </w:tc>
        <w:tc>
          <w:tcPr>
            <w:tcW w:w="1134" w:type="dxa"/>
            <w:vAlign w:val="center"/>
          </w:tcPr>
          <w:p w14:paraId="77D92273" w14:textId="77777777" w:rsidR="009E1151" w:rsidRPr="00543C89" w:rsidRDefault="009E1151" w:rsidP="009E1151">
            <w:pPr>
              <w:pStyle w:val="CommentText"/>
              <w:tabs>
                <w:tab w:val="decimal" w:pos="743"/>
              </w:tabs>
              <w:spacing w:after="240"/>
              <w:jc w:val="right"/>
              <w:rPr>
                <w:sz w:val="24"/>
                <w:szCs w:val="24"/>
              </w:rPr>
            </w:pPr>
          </w:p>
        </w:tc>
        <w:tc>
          <w:tcPr>
            <w:tcW w:w="1134" w:type="dxa"/>
            <w:vAlign w:val="center"/>
          </w:tcPr>
          <w:p w14:paraId="600B96BA" w14:textId="2D6A5408" w:rsidR="009E1151" w:rsidRPr="00FB606A" w:rsidRDefault="009E1151" w:rsidP="009E1151">
            <w:pPr>
              <w:tabs>
                <w:tab w:val="decimal" w:pos="743"/>
              </w:tabs>
              <w:spacing w:after="240"/>
              <w:jc w:val="right"/>
              <w:rPr>
                <w:szCs w:val="24"/>
              </w:rPr>
            </w:pPr>
            <w:r w:rsidRPr="00543C89">
              <w:rPr>
                <w:szCs w:val="24"/>
              </w:rPr>
              <w:t>(26,040)</w:t>
            </w:r>
          </w:p>
        </w:tc>
        <w:tc>
          <w:tcPr>
            <w:tcW w:w="1134" w:type="dxa"/>
            <w:vAlign w:val="center"/>
          </w:tcPr>
          <w:p w14:paraId="37A24EA3" w14:textId="77777777" w:rsidR="009E1151" w:rsidRPr="00FB606A" w:rsidRDefault="009E1151" w:rsidP="009E1151">
            <w:pPr>
              <w:pStyle w:val="CommentText"/>
              <w:tabs>
                <w:tab w:val="decimal" w:pos="743"/>
              </w:tabs>
              <w:spacing w:after="240"/>
              <w:jc w:val="right"/>
              <w:rPr>
                <w:sz w:val="24"/>
                <w:szCs w:val="24"/>
              </w:rPr>
            </w:pPr>
          </w:p>
        </w:tc>
      </w:tr>
      <w:tr w:rsidR="009E1151" w:rsidRPr="00D948C1" w14:paraId="44D25AA8" w14:textId="77777777" w:rsidTr="0078602B">
        <w:trPr>
          <w:trHeight w:hRule="exact" w:val="300"/>
        </w:trPr>
        <w:tc>
          <w:tcPr>
            <w:tcW w:w="4927" w:type="dxa"/>
          </w:tcPr>
          <w:p w14:paraId="3D967782" w14:textId="77777777" w:rsidR="009E1151" w:rsidRPr="00D948C1" w:rsidRDefault="009E1151" w:rsidP="009E1151">
            <w:pPr>
              <w:pStyle w:val="Footer"/>
              <w:tabs>
                <w:tab w:val="clear" w:pos="4153"/>
                <w:tab w:val="clear" w:pos="8306"/>
                <w:tab w:val="left" w:pos="284"/>
              </w:tabs>
              <w:spacing w:after="240"/>
              <w:rPr>
                <w:szCs w:val="24"/>
              </w:rPr>
            </w:pPr>
            <w:r w:rsidRPr="00D948C1">
              <w:rPr>
                <w:szCs w:val="24"/>
              </w:rPr>
              <w:t>Receipts from investing activities</w:t>
            </w:r>
          </w:p>
        </w:tc>
        <w:tc>
          <w:tcPr>
            <w:tcW w:w="1100" w:type="dxa"/>
            <w:vAlign w:val="center"/>
          </w:tcPr>
          <w:p w14:paraId="150F08E4" w14:textId="515A915C" w:rsidR="009E1151" w:rsidRPr="00D948C1" w:rsidRDefault="009E1151" w:rsidP="009E1151">
            <w:pPr>
              <w:tabs>
                <w:tab w:val="left" w:pos="284"/>
              </w:tabs>
              <w:jc w:val="center"/>
              <w:rPr>
                <w:rStyle w:val="Hyperlink"/>
              </w:rPr>
            </w:pPr>
            <w:hyperlink w:anchor="_25_Adjust_for" w:history="1">
              <w:r>
                <w:rPr>
                  <w:rStyle w:val="Hyperlink"/>
                  <w:szCs w:val="24"/>
                </w:rPr>
                <w:t>25</w:t>
              </w:r>
            </w:hyperlink>
          </w:p>
        </w:tc>
        <w:tc>
          <w:tcPr>
            <w:tcW w:w="1134" w:type="dxa"/>
            <w:vAlign w:val="center"/>
          </w:tcPr>
          <w:p w14:paraId="507396CF" w14:textId="247FEC41" w:rsidR="009E1151" w:rsidRPr="00543C89" w:rsidRDefault="0099035B" w:rsidP="009E1151">
            <w:pPr>
              <w:tabs>
                <w:tab w:val="decimal" w:pos="743"/>
              </w:tabs>
              <w:spacing w:after="240"/>
              <w:jc w:val="right"/>
              <w:rPr>
                <w:szCs w:val="24"/>
              </w:rPr>
            </w:pPr>
            <w:r>
              <w:rPr>
                <w:szCs w:val="24"/>
              </w:rPr>
              <w:t>1,302</w:t>
            </w:r>
          </w:p>
        </w:tc>
        <w:tc>
          <w:tcPr>
            <w:tcW w:w="1134" w:type="dxa"/>
            <w:vAlign w:val="center"/>
          </w:tcPr>
          <w:p w14:paraId="7D6D6234" w14:textId="76786834" w:rsidR="009E1151" w:rsidRPr="00543C89" w:rsidRDefault="009E1151" w:rsidP="009E1151">
            <w:pPr>
              <w:pStyle w:val="CommentText"/>
              <w:tabs>
                <w:tab w:val="decimal" w:pos="743"/>
              </w:tabs>
              <w:spacing w:after="240"/>
              <w:jc w:val="right"/>
              <w:rPr>
                <w:sz w:val="24"/>
                <w:szCs w:val="24"/>
              </w:rPr>
            </w:pPr>
          </w:p>
        </w:tc>
        <w:tc>
          <w:tcPr>
            <w:tcW w:w="1134" w:type="dxa"/>
            <w:vAlign w:val="center"/>
          </w:tcPr>
          <w:p w14:paraId="685D7161" w14:textId="55C5EC83" w:rsidR="009E1151" w:rsidRPr="00FB606A" w:rsidRDefault="009E1151" w:rsidP="009E1151">
            <w:pPr>
              <w:tabs>
                <w:tab w:val="decimal" w:pos="743"/>
              </w:tabs>
              <w:spacing w:after="240"/>
              <w:jc w:val="right"/>
              <w:rPr>
                <w:szCs w:val="24"/>
              </w:rPr>
            </w:pPr>
            <w:r w:rsidRPr="00543C89">
              <w:rPr>
                <w:szCs w:val="24"/>
              </w:rPr>
              <w:t>1,931</w:t>
            </w:r>
          </w:p>
        </w:tc>
        <w:tc>
          <w:tcPr>
            <w:tcW w:w="1134" w:type="dxa"/>
            <w:vAlign w:val="center"/>
          </w:tcPr>
          <w:p w14:paraId="63D38641" w14:textId="77777777" w:rsidR="009E1151" w:rsidRPr="00FB606A" w:rsidRDefault="009E1151" w:rsidP="009E1151">
            <w:pPr>
              <w:pStyle w:val="CommentText"/>
              <w:tabs>
                <w:tab w:val="decimal" w:pos="743"/>
              </w:tabs>
              <w:spacing w:after="240"/>
              <w:jc w:val="right"/>
              <w:rPr>
                <w:sz w:val="24"/>
                <w:szCs w:val="24"/>
              </w:rPr>
            </w:pPr>
          </w:p>
        </w:tc>
      </w:tr>
      <w:tr w:rsidR="009E1151" w:rsidRPr="00D948C1" w14:paraId="2AF2D529" w14:textId="77777777" w:rsidTr="0078602B">
        <w:trPr>
          <w:trHeight w:hRule="exact" w:val="300"/>
        </w:trPr>
        <w:tc>
          <w:tcPr>
            <w:tcW w:w="4927" w:type="dxa"/>
          </w:tcPr>
          <w:p w14:paraId="1996C803" w14:textId="77777777" w:rsidR="009E1151" w:rsidRPr="0003554C" w:rsidRDefault="009E1151" w:rsidP="009E1151">
            <w:pPr>
              <w:tabs>
                <w:tab w:val="left" w:pos="284"/>
              </w:tabs>
              <w:spacing w:after="240"/>
              <w:rPr>
                <w:b/>
                <w:bCs/>
                <w:szCs w:val="24"/>
              </w:rPr>
            </w:pPr>
            <w:r w:rsidRPr="0003554C">
              <w:rPr>
                <w:b/>
                <w:bCs/>
                <w:szCs w:val="24"/>
              </w:rPr>
              <w:t>Net cash flows from investing activities</w:t>
            </w:r>
          </w:p>
        </w:tc>
        <w:tc>
          <w:tcPr>
            <w:tcW w:w="1100" w:type="dxa"/>
            <w:vAlign w:val="center"/>
          </w:tcPr>
          <w:p w14:paraId="0A8EC716" w14:textId="77777777" w:rsidR="009E1151" w:rsidRPr="00D948C1" w:rsidRDefault="009E1151" w:rsidP="009E1151">
            <w:pPr>
              <w:tabs>
                <w:tab w:val="left" w:pos="284"/>
              </w:tabs>
              <w:jc w:val="center"/>
              <w:rPr>
                <w:rStyle w:val="Hyperlink"/>
              </w:rPr>
            </w:pPr>
          </w:p>
        </w:tc>
        <w:tc>
          <w:tcPr>
            <w:tcW w:w="1134" w:type="dxa"/>
            <w:vAlign w:val="center"/>
          </w:tcPr>
          <w:p w14:paraId="4883E040" w14:textId="419A75ED" w:rsidR="009E1151" w:rsidRPr="00543C89" w:rsidRDefault="009E1151" w:rsidP="009E1151">
            <w:pPr>
              <w:tabs>
                <w:tab w:val="decimal" w:pos="743"/>
              </w:tabs>
              <w:spacing w:after="240"/>
              <w:jc w:val="right"/>
              <w:rPr>
                <w:szCs w:val="24"/>
              </w:rPr>
            </w:pPr>
          </w:p>
        </w:tc>
        <w:tc>
          <w:tcPr>
            <w:tcW w:w="1134" w:type="dxa"/>
            <w:vAlign w:val="center"/>
          </w:tcPr>
          <w:p w14:paraId="063EC3D5" w14:textId="131515B5" w:rsidR="009E1151" w:rsidRPr="00FB606A" w:rsidRDefault="0012546D" w:rsidP="009E1151">
            <w:pPr>
              <w:pStyle w:val="CommentText"/>
              <w:tabs>
                <w:tab w:val="decimal" w:pos="743"/>
              </w:tabs>
              <w:spacing w:after="240"/>
              <w:jc w:val="right"/>
              <w:rPr>
                <w:b/>
                <w:bCs/>
                <w:sz w:val="24"/>
                <w:szCs w:val="24"/>
              </w:rPr>
            </w:pPr>
            <w:r>
              <w:rPr>
                <w:b/>
                <w:bCs/>
                <w:sz w:val="24"/>
                <w:szCs w:val="24"/>
              </w:rPr>
              <w:t>5,514</w:t>
            </w:r>
          </w:p>
        </w:tc>
        <w:tc>
          <w:tcPr>
            <w:tcW w:w="1134" w:type="dxa"/>
            <w:vAlign w:val="center"/>
          </w:tcPr>
          <w:p w14:paraId="30EB67EB" w14:textId="77777777" w:rsidR="009E1151" w:rsidRPr="00FB606A" w:rsidRDefault="009E1151" w:rsidP="009E1151">
            <w:pPr>
              <w:tabs>
                <w:tab w:val="decimal" w:pos="743"/>
              </w:tabs>
              <w:spacing w:after="240"/>
              <w:jc w:val="right"/>
              <w:rPr>
                <w:szCs w:val="24"/>
              </w:rPr>
            </w:pPr>
          </w:p>
        </w:tc>
        <w:tc>
          <w:tcPr>
            <w:tcW w:w="1134" w:type="dxa"/>
            <w:vAlign w:val="center"/>
          </w:tcPr>
          <w:p w14:paraId="51FE7C49" w14:textId="54470333" w:rsidR="009E1151" w:rsidRPr="00FB606A" w:rsidRDefault="009E1151" w:rsidP="009E1151">
            <w:pPr>
              <w:pStyle w:val="CommentText"/>
              <w:tabs>
                <w:tab w:val="decimal" w:pos="743"/>
              </w:tabs>
              <w:spacing w:after="240"/>
              <w:jc w:val="right"/>
              <w:rPr>
                <w:b/>
                <w:bCs/>
                <w:sz w:val="24"/>
                <w:szCs w:val="24"/>
              </w:rPr>
            </w:pPr>
            <w:r w:rsidRPr="00FB606A">
              <w:rPr>
                <w:b/>
                <w:bCs/>
                <w:sz w:val="24"/>
                <w:szCs w:val="24"/>
              </w:rPr>
              <w:t>(28,370)</w:t>
            </w:r>
          </w:p>
        </w:tc>
      </w:tr>
    </w:tbl>
    <w:p w14:paraId="74A6F784" w14:textId="77777777" w:rsidR="00DD2894" w:rsidRPr="00D948C1" w:rsidRDefault="00DD2894"/>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100"/>
        <w:gridCol w:w="1134"/>
        <w:gridCol w:w="1134"/>
        <w:gridCol w:w="1134"/>
        <w:gridCol w:w="1134"/>
      </w:tblGrid>
      <w:tr w:rsidR="00DD2894" w:rsidRPr="00D948C1" w14:paraId="19434437" w14:textId="77777777" w:rsidTr="00036C34">
        <w:trPr>
          <w:trHeight w:hRule="exact" w:val="334"/>
        </w:trPr>
        <w:tc>
          <w:tcPr>
            <w:tcW w:w="10563" w:type="dxa"/>
            <w:gridSpan w:val="6"/>
            <w:shd w:val="clear" w:color="auto" w:fill="D9D9D9" w:themeFill="background1" w:themeFillShade="D9"/>
          </w:tcPr>
          <w:p w14:paraId="2D0AFAC6" w14:textId="0550FEBA" w:rsidR="00DD2894" w:rsidRPr="00D948C1" w:rsidRDefault="00DD2894" w:rsidP="00036C34">
            <w:pPr>
              <w:tabs>
                <w:tab w:val="decimal" w:pos="742"/>
              </w:tabs>
              <w:rPr>
                <w:b/>
                <w:bCs/>
                <w:szCs w:val="24"/>
              </w:rPr>
            </w:pPr>
            <w:r w:rsidRPr="00D948C1">
              <w:rPr>
                <w:b/>
                <w:bCs/>
                <w:szCs w:val="24"/>
              </w:rPr>
              <w:t>Financing activities</w:t>
            </w:r>
          </w:p>
        </w:tc>
      </w:tr>
      <w:tr w:rsidR="009E1151" w:rsidRPr="00D948C1" w14:paraId="1D10DEA3" w14:textId="77777777" w:rsidTr="0078602B">
        <w:trPr>
          <w:trHeight w:hRule="exact" w:val="902"/>
        </w:trPr>
        <w:tc>
          <w:tcPr>
            <w:tcW w:w="4927" w:type="dxa"/>
          </w:tcPr>
          <w:p w14:paraId="4AB1F216" w14:textId="77777777" w:rsidR="009E1151" w:rsidRPr="00D948C1" w:rsidRDefault="009E1151" w:rsidP="009E1151">
            <w:pPr>
              <w:pStyle w:val="Footer"/>
              <w:tabs>
                <w:tab w:val="clear" w:pos="4153"/>
                <w:tab w:val="clear" w:pos="8306"/>
                <w:tab w:val="left" w:pos="284"/>
              </w:tabs>
              <w:spacing w:after="240"/>
              <w:rPr>
                <w:szCs w:val="24"/>
              </w:rPr>
            </w:pPr>
            <w:r w:rsidRPr="00D948C1">
              <w:rPr>
                <w:szCs w:val="24"/>
              </w:rPr>
              <w:t>Cash payments for the reduction of the outstanding liabilities relating to finance leases and on-balance sheet PFI contracts</w:t>
            </w:r>
          </w:p>
        </w:tc>
        <w:tc>
          <w:tcPr>
            <w:tcW w:w="1100" w:type="dxa"/>
            <w:vAlign w:val="center"/>
          </w:tcPr>
          <w:p w14:paraId="4DD92C0A" w14:textId="77777777" w:rsidR="009E1151" w:rsidRPr="00D948C1" w:rsidRDefault="009E1151" w:rsidP="009E1151">
            <w:pPr>
              <w:tabs>
                <w:tab w:val="left" w:pos="284"/>
              </w:tabs>
              <w:jc w:val="center"/>
              <w:rPr>
                <w:rStyle w:val="Hyperlink"/>
              </w:rPr>
            </w:pPr>
          </w:p>
        </w:tc>
        <w:tc>
          <w:tcPr>
            <w:tcW w:w="1134" w:type="dxa"/>
            <w:vAlign w:val="center"/>
          </w:tcPr>
          <w:p w14:paraId="27A11587" w14:textId="7F44502E" w:rsidR="009E1151" w:rsidRPr="00543C89" w:rsidRDefault="0003554C" w:rsidP="009E1151">
            <w:pPr>
              <w:pStyle w:val="CommentText"/>
              <w:tabs>
                <w:tab w:val="decimal" w:pos="743"/>
              </w:tabs>
              <w:spacing w:after="240"/>
              <w:jc w:val="right"/>
              <w:rPr>
                <w:sz w:val="24"/>
                <w:szCs w:val="24"/>
              </w:rPr>
            </w:pPr>
            <w:r>
              <w:rPr>
                <w:sz w:val="24"/>
                <w:szCs w:val="24"/>
              </w:rPr>
              <w:t>(675)</w:t>
            </w:r>
          </w:p>
        </w:tc>
        <w:tc>
          <w:tcPr>
            <w:tcW w:w="1134" w:type="dxa"/>
            <w:vAlign w:val="center"/>
          </w:tcPr>
          <w:p w14:paraId="69C3A638" w14:textId="77777777" w:rsidR="009E1151" w:rsidRPr="00543C89" w:rsidRDefault="009E1151" w:rsidP="009E1151">
            <w:pPr>
              <w:pStyle w:val="CommentText"/>
              <w:tabs>
                <w:tab w:val="decimal" w:pos="743"/>
              </w:tabs>
              <w:spacing w:after="240"/>
              <w:jc w:val="right"/>
              <w:rPr>
                <w:sz w:val="24"/>
                <w:szCs w:val="24"/>
              </w:rPr>
            </w:pPr>
          </w:p>
        </w:tc>
        <w:tc>
          <w:tcPr>
            <w:tcW w:w="1134" w:type="dxa"/>
            <w:vAlign w:val="center"/>
          </w:tcPr>
          <w:p w14:paraId="11CCABCE" w14:textId="43E2425F" w:rsidR="009E1151" w:rsidRPr="00FB606A" w:rsidRDefault="009E1151" w:rsidP="009E1151">
            <w:pPr>
              <w:pStyle w:val="CommentText"/>
              <w:tabs>
                <w:tab w:val="decimal" w:pos="743"/>
              </w:tabs>
              <w:spacing w:after="240"/>
              <w:jc w:val="right"/>
              <w:rPr>
                <w:sz w:val="24"/>
                <w:szCs w:val="24"/>
              </w:rPr>
            </w:pPr>
            <w:r w:rsidRPr="00543C89">
              <w:rPr>
                <w:sz w:val="24"/>
                <w:szCs w:val="24"/>
              </w:rPr>
              <w:t>(611)</w:t>
            </w:r>
          </w:p>
        </w:tc>
        <w:tc>
          <w:tcPr>
            <w:tcW w:w="1134" w:type="dxa"/>
            <w:vAlign w:val="center"/>
          </w:tcPr>
          <w:p w14:paraId="73E7C22B" w14:textId="77777777" w:rsidR="009E1151" w:rsidRPr="00FB606A" w:rsidRDefault="009E1151" w:rsidP="009E1151">
            <w:pPr>
              <w:pStyle w:val="CommentText"/>
              <w:tabs>
                <w:tab w:val="decimal" w:pos="743"/>
              </w:tabs>
              <w:spacing w:after="240"/>
              <w:jc w:val="right"/>
              <w:rPr>
                <w:sz w:val="24"/>
                <w:szCs w:val="24"/>
              </w:rPr>
            </w:pPr>
          </w:p>
        </w:tc>
      </w:tr>
      <w:tr w:rsidR="009E1151" w:rsidRPr="00D948C1" w14:paraId="578916B7" w14:textId="77777777" w:rsidTr="0078602B">
        <w:trPr>
          <w:trHeight w:hRule="exact" w:val="361"/>
        </w:trPr>
        <w:tc>
          <w:tcPr>
            <w:tcW w:w="4927" w:type="dxa"/>
          </w:tcPr>
          <w:p w14:paraId="57F814D4" w14:textId="77777777" w:rsidR="009E1151" w:rsidRPr="00D948C1" w:rsidRDefault="009E1151" w:rsidP="009E1151">
            <w:pPr>
              <w:pStyle w:val="Footer"/>
              <w:tabs>
                <w:tab w:val="clear" w:pos="4153"/>
                <w:tab w:val="clear" w:pos="8306"/>
                <w:tab w:val="left" w:pos="284"/>
              </w:tabs>
              <w:spacing w:after="240"/>
              <w:rPr>
                <w:szCs w:val="24"/>
              </w:rPr>
            </w:pPr>
            <w:r w:rsidRPr="00D948C1">
              <w:rPr>
                <w:szCs w:val="24"/>
              </w:rPr>
              <w:t>Payments for financing activities</w:t>
            </w:r>
          </w:p>
        </w:tc>
        <w:tc>
          <w:tcPr>
            <w:tcW w:w="1100" w:type="dxa"/>
            <w:vAlign w:val="center"/>
          </w:tcPr>
          <w:p w14:paraId="118A19DC" w14:textId="5583DAD6" w:rsidR="009E1151" w:rsidRPr="00D948C1" w:rsidRDefault="009E1151" w:rsidP="009E1151">
            <w:pPr>
              <w:tabs>
                <w:tab w:val="left" w:pos="284"/>
              </w:tabs>
              <w:jc w:val="center"/>
              <w:rPr>
                <w:rStyle w:val="Hyperlink"/>
              </w:rPr>
            </w:pPr>
            <w:hyperlink w:anchor="_25_Adjust_for" w:history="1">
              <w:r>
                <w:rPr>
                  <w:rStyle w:val="Hyperlink"/>
                  <w:szCs w:val="24"/>
                </w:rPr>
                <w:t>25</w:t>
              </w:r>
            </w:hyperlink>
          </w:p>
        </w:tc>
        <w:tc>
          <w:tcPr>
            <w:tcW w:w="1134" w:type="dxa"/>
            <w:vAlign w:val="center"/>
          </w:tcPr>
          <w:p w14:paraId="6343E8C6" w14:textId="378714F8" w:rsidR="009E1151" w:rsidRPr="00543C89" w:rsidRDefault="000C2F3B" w:rsidP="009E1151">
            <w:pPr>
              <w:pStyle w:val="CommentText"/>
              <w:tabs>
                <w:tab w:val="decimal" w:pos="743"/>
              </w:tabs>
              <w:spacing w:after="240"/>
              <w:jc w:val="right"/>
              <w:rPr>
                <w:sz w:val="24"/>
                <w:szCs w:val="24"/>
              </w:rPr>
            </w:pPr>
            <w:r>
              <w:rPr>
                <w:sz w:val="24"/>
                <w:szCs w:val="24"/>
              </w:rPr>
              <w:t>(1,197)</w:t>
            </w:r>
          </w:p>
        </w:tc>
        <w:tc>
          <w:tcPr>
            <w:tcW w:w="1134" w:type="dxa"/>
            <w:vAlign w:val="center"/>
          </w:tcPr>
          <w:p w14:paraId="3F45D304" w14:textId="77777777" w:rsidR="009E1151" w:rsidRPr="00543C89" w:rsidRDefault="009E1151" w:rsidP="009E1151">
            <w:pPr>
              <w:pStyle w:val="CommentText"/>
              <w:tabs>
                <w:tab w:val="decimal" w:pos="743"/>
              </w:tabs>
              <w:spacing w:after="240"/>
              <w:jc w:val="right"/>
              <w:rPr>
                <w:sz w:val="24"/>
                <w:szCs w:val="24"/>
              </w:rPr>
            </w:pPr>
          </w:p>
        </w:tc>
        <w:tc>
          <w:tcPr>
            <w:tcW w:w="1134" w:type="dxa"/>
            <w:vAlign w:val="center"/>
          </w:tcPr>
          <w:p w14:paraId="74BD072F" w14:textId="0C9B3522" w:rsidR="009E1151" w:rsidRPr="00FB606A" w:rsidRDefault="009E1151" w:rsidP="009E1151">
            <w:pPr>
              <w:pStyle w:val="CommentText"/>
              <w:tabs>
                <w:tab w:val="decimal" w:pos="743"/>
              </w:tabs>
              <w:spacing w:after="240"/>
              <w:jc w:val="right"/>
              <w:rPr>
                <w:sz w:val="24"/>
                <w:szCs w:val="24"/>
              </w:rPr>
            </w:pPr>
            <w:r w:rsidRPr="00543C89">
              <w:rPr>
                <w:sz w:val="24"/>
                <w:szCs w:val="24"/>
              </w:rPr>
              <w:t>(1,249)</w:t>
            </w:r>
          </w:p>
        </w:tc>
        <w:tc>
          <w:tcPr>
            <w:tcW w:w="1134" w:type="dxa"/>
            <w:vAlign w:val="center"/>
          </w:tcPr>
          <w:p w14:paraId="12C981E6" w14:textId="77777777" w:rsidR="009E1151" w:rsidRPr="00FB606A" w:rsidRDefault="009E1151" w:rsidP="009E1151">
            <w:pPr>
              <w:pStyle w:val="CommentText"/>
              <w:tabs>
                <w:tab w:val="decimal" w:pos="743"/>
              </w:tabs>
              <w:spacing w:after="240"/>
              <w:jc w:val="right"/>
              <w:rPr>
                <w:sz w:val="24"/>
                <w:szCs w:val="24"/>
              </w:rPr>
            </w:pPr>
          </w:p>
        </w:tc>
      </w:tr>
      <w:tr w:rsidR="009E1151" w:rsidRPr="00D948C1" w14:paraId="15A8B311" w14:textId="77777777" w:rsidTr="0078602B">
        <w:trPr>
          <w:trHeight w:hRule="exact" w:val="374"/>
        </w:trPr>
        <w:tc>
          <w:tcPr>
            <w:tcW w:w="4927" w:type="dxa"/>
          </w:tcPr>
          <w:p w14:paraId="4F3AD5B9" w14:textId="77777777" w:rsidR="009E1151" w:rsidRPr="004206F6" w:rsidRDefault="009E1151" w:rsidP="009E1151">
            <w:pPr>
              <w:tabs>
                <w:tab w:val="left" w:pos="284"/>
              </w:tabs>
              <w:rPr>
                <w:b/>
                <w:bCs/>
                <w:szCs w:val="24"/>
              </w:rPr>
            </w:pPr>
            <w:r w:rsidRPr="004206F6">
              <w:rPr>
                <w:b/>
                <w:bCs/>
                <w:szCs w:val="24"/>
              </w:rPr>
              <w:t>Net cash flows from financing activities</w:t>
            </w:r>
          </w:p>
        </w:tc>
        <w:tc>
          <w:tcPr>
            <w:tcW w:w="1100" w:type="dxa"/>
            <w:vAlign w:val="center"/>
          </w:tcPr>
          <w:p w14:paraId="25731E26" w14:textId="77777777" w:rsidR="009E1151" w:rsidRPr="000C2F3B" w:rsidRDefault="009E1151" w:rsidP="009E1151">
            <w:pPr>
              <w:tabs>
                <w:tab w:val="left" w:pos="284"/>
              </w:tabs>
              <w:jc w:val="center"/>
              <w:rPr>
                <w:rStyle w:val="Hyperlink"/>
                <w:szCs w:val="24"/>
              </w:rPr>
            </w:pPr>
          </w:p>
        </w:tc>
        <w:tc>
          <w:tcPr>
            <w:tcW w:w="1134" w:type="dxa"/>
            <w:vAlign w:val="center"/>
          </w:tcPr>
          <w:p w14:paraId="1F260B80" w14:textId="260697EA" w:rsidR="009E1151" w:rsidRPr="000C2F3B" w:rsidRDefault="009E1151" w:rsidP="009E1151">
            <w:pPr>
              <w:tabs>
                <w:tab w:val="left" w:pos="284"/>
                <w:tab w:val="decimal" w:pos="743"/>
              </w:tabs>
              <w:jc w:val="right"/>
              <w:rPr>
                <w:szCs w:val="24"/>
              </w:rPr>
            </w:pPr>
          </w:p>
        </w:tc>
        <w:tc>
          <w:tcPr>
            <w:tcW w:w="1134" w:type="dxa"/>
            <w:vAlign w:val="center"/>
          </w:tcPr>
          <w:p w14:paraId="1193F98E" w14:textId="27C3E136" w:rsidR="009E1151" w:rsidRPr="000C2F3B" w:rsidRDefault="00975069" w:rsidP="009E1151">
            <w:pPr>
              <w:tabs>
                <w:tab w:val="decimal" w:pos="743"/>
              </w:tabs>
              <w:spacing w:after="120"/>
              <w:jc w:val="right"/>
              <w:rPr>
                <w:b/>
                <w:szCs w:val="24"/>
              </w:rPr>
            </w:pPr>
            <w:r>
              <w:rPr>
                <w:b/>
                <w:szCs w:val="24"/>
              </w:rPr>
              <w:t>(</w:t>
            </w:r>
            <w:r w:rsidR="004206F6">
              <w:rPr>
                <w:b/>
                <w:szCs w:val="24"/>
              </w:rPr>
              <w:t>1,872)</w:t>
            </w:r>
          </w:p>
        </w:tc>
        <w:tc>
          <w:tcPr>
            <w:tcW w:w="1134" w:type="dxa"/>
            <w:vAlign w:val="center"/>
          </w:tcPr>
          <w:p w14:paraId="74D97E12" w14:textId="77777777" w:rsidR="009E1151" w:rsidRPr="000C2F3B" w:rsidRDefault="009E1151" w:rsidP="009E1151">
            <w:pPr>
              <w:tabs>
                <w:tab w:val="decimal" w:pos="743"/>
              </w:tabs>
              <w:spacing w:after="120"/>
              <w:jc w:val="right"/>
              <w:rPr>
                <w:bCs/>
                <w:szCs w:val="24"/>
              </w:rPr>
            </w:pPr>
          </w:p>
        </w:tc>
        <w:tc>
          <w:tcPr>
            <w:tcW w:w="1134" w:type="dxa"/>
            <w:vAlign w:val="center"/>
          </w:tcPr>
          <w:p w14:paraId="56C66F4D" w14:textId="1B27B9AC" w:rsidR="009E1151" w:rsidRPr="000C2F3B" w:rsidRDefault="009E1151" w:rsidP="009E1151">
            <w:pPr>
              <w:pStyle w:val="CommentText"/>
              <w:tabs>
                <w:tab w:val="decimal" w:pos="743"/>
              </w:tabs>
              <w:spacing w:after="240"/>
              <w:jc w:val="right"/>
              <w:rPr>
                <w:b/>
                <w:sz w:val="24"/>
                <w:szCs w:val="24"/>
              </w:rPr>
            </w:pPr>
            <w:r w:rsidRPr="000C2F3B">
              <w:rPr>
                <w:b/>
                <w:sz w:val="24"/>
                <w:szCs w:val="24"/>
              </w:rPr>
              <w:t>(1,861)</w:t>
            </w:r>
          </w:p>
        </w:tc>
      </w:tr>
      <w:tr w:rsidR="009E1151" w:rsidRPr="00D948C1" w14:paraId="40219650" w14:textId="77777777" w:rsidTr="0078602B">
        <w:trPr>
          <w:trHeight w:val="177"/>
        </w:trPr>
        <w:tc>
          <w:tcPr>
            <w:tcW w:w="4927" w:type="dxa"/>
          </w:tcPr>
          <w:p w14:paraId="51B2F7A7" w14:textId="78B2AC73" w:rsidR="009E1151" w:rsidRPr="00D948C1" w:rsidRDefault="009E1151" w:rsidP="009E1151">
            <w:pPr>
              <w:pStyle w:val="Footer"/>
              <w:tabs>
                <w:tab w:val="clear" w:pos="4153"/>
                <w:tab w:val="clear" w:pos="8306"/>
                <w:tab w:val="left" w:pos="284"/>
              </w:tabs>
              <w:spacing w:after="120"/>
              <w:rPr>
                <w:szCs w:val="24"/>
              </w:rPr>
            </w:pPr>
            <w:r w:rsidRPr="00D948C1">
              <w:rPr>
                <w:b/>
                <w:szCs w:val="24"/>
              </w:rPr>
              <w:t>Net increase</w:t>
            </w:r>
            <w:r w:rsidR="007E0E1E">
              <w:rPr>
                <w:b/>
                <w:szCs w:val="24"/>
              </w:rPr>
              <w:t xml:space="preserve"> or </w:t>
            </w:r>
            <w:r w:rsidRPr="00D948C1">
              <w:rPr>
                <w:b/>
                <w:szCs w:val="24"/>
              </w:rPr>
              <w:t>(decrease) in cash and cash equivalents</w:t>
            </w:r>
          </w:p>
        </w:tc>
        <w:tc>
          <w:tcPr>
            <w:tcW w:w="1100" w:type="dxa"/>
            <w:vAlign w:val="center"/>
          </w:tcPr>
          <w:p w14:paraId="73BCCA46" w14:textId="77777777" w:rsidR="009E1151" w:rsidRPr="00D948C1" w:rsidRDefault="009E1151" w:rsidP="009E1151">
            <w:pPr>
              <w:tabs>
                <w:tab w:val="left" w:pos="284"/>
              </w:tabs>
              <w:jc w:val="center"/>
              <w:rPr>
                <w:rStyle w:val="Hyperlink"/>
              </w:rPr>
            </w:pPr>
          </w:p>
        </w:tc>
        <w:tc>
          <w:tcPr>
            <w:tcW w:w="1134" w:type="dxa"/>
            <w:vAlign w:val="center"/>
          </w:tcPr>
          <w:p w14:paraId="59D3A386" w14:textId="745BA82A" w:rsidR="009E1151" w:rsidRPr="00543C89" w:rsidRDefault="009E1151" w:rsidP="009E1151">
            <w:pPr>
              <w:tabs>
                <w:tab w:val="decimal" w:pos="743"/>
                <w:tab w:val="decimal" w:pos="882"/>
              </w:tabs>
              <w:spacing w:after="120"/>
              <w:jc w:val="right"/>
              <w:rPr>
                <w:szCs w:val="24"/>
              </w:rPr>
            </w:pPr>
          </w:p>
        </w:tc>
        <w:tc>
          <w:tcPr>
            <w:tcW w:w="1134" w:type="dxa"/>
            <w:vAlign w:val="center"/>
          </w:tcPr>
          <w:p w14:paraId="27352E10" w14:textId="0664296E" w:rsidR="009E1151" w:rsidRPr="00543C89" w:rsidRDefault="004206F6" w:rsidP="009E1151">
            <w:pPr>
              <w:tabs>
                <w:tab w:val="decimal" w:pos="742"/>
              </w:tabs>
              <w:spacing w:after="120"/>
              <w:jc w:val="right"/>
              <w:rPr>
                <w:b/>
                <w:szCs w:val="24"/>
              </w:rPr>
            </w:pPr>
            <w:r>
              <w:rPr>
                <w:b/>
                <w:szCs w:val="24"/>
              </w:rPr>
              <w:t>(131)</w:t>
            </w:r>
          </w:p>
        </w:tc>
        <w:tc>
          <w:tcPr>
            <w:tcW w:w="1134" w:type="dxa"/>
            <w:vAlign w:val="center"/>
          </w:tcPr>
          <w:p w14:paraId="3E34E23F" w14:textId="77777777" w:rsidR="009E1151" w:rsidRPr="00FB606A" w:rsidRDefault="009E1151" w:rsidP="009E1151">
            <w:pPr>
              <w:tabs>
                <w:tab w:val="decimal" w:pos="743"/>
                <w:tab w:val="decimal" w:pos="882"/>
              </w:tabs>
              <w:spacing w:after="120"/>
              <w:jc w:val="right"/>
              <w:rPr>
                <w:szCs w:val="24"/>
              </w:rPr>
            </w:pPr>
          </w:p>
        </w:tc>
        <w:tc>
          <w:tcPr>
            <w:tcW w:w="1134" w:type="dxa"/>
            <w:vAlign w:val="center"/>
          </w:tcPr>
          <w:p w14:paraId="0DD85AD7" w14:textId="5F7030CA" w:rsidR="009E1151" w:rsidRPr="00FB606A" w:rsidRDefault="009E1151" w:rsidP="009E1151">
            <w:pPr>
              <w:tabs>
                <w:tab w:val="decimal" w:pos="742"/>
              </w:tabs>
              <w:spacing w:after="120"/>
              <w:jc w:val="right"/>
              <w:rPr>
                <w:b/>
                <w:szCs w:val="24"/>
              </w:rPr>
            </w:pPr>
            <w:r w:rsidRPr="00543C89">
              <w:rPr>
                <w:b/>
                <w:szCs w:val="24"/>
              </w:rPr>
              <w:t>(3,715)</w:t>
            </w:r>
          </w:p>
        </w:tc>
      </w:tr>
      <w:tr w:rsidR="009E1151" w:rsidRPr="00D948C1" w14:paraId="42182475" w14:textId="77777777" w:rsidTr="0078602B">
        <w:trPr>
          <w:trHeight w:hRule="exact" w:val="575"/>
        </w:trPr>
        <w:tc>
          <w:tcPr>
            <w:tcW w:w="4927" w:type="dxa"/>
          </w:tcPr>
          <w:p w14:paraId="7ECBAD25" w14:textId="77777777" w:rsidR="009E1151" w:rsidRPr="00D948C1" w:rsidRDefault="009E1151" w:rsidP="009E1151">
            <w:pPr>
              <w:pStyle w:val="CommentText"/>
              <w:tabs>
                <w:tab w:val="left" w:pos="284"/>
              </w:tabs>
              <w:spacing w:after="240"/>
              <w:rPr>
                <w:sz w:val="24"/>
                <w:szCs w:val="24"/>
              </w:rPr>
            </w:pPr>
            <w:r w:rsidRPr="00D948C1">
              <w:rPr>
                <w:sz w:val="24"/>
                <w:szCs w:val="24"/>
              </w:rPr>
              <w:t>Cash and cash equivalents at the beginning of the reporting period</w:t>
            </w:r>
          </w:p>
        </w:tc>
        <w:tc>
          <w:tcPr>
            <w:tcW w:w="1100" w:type="dxa"/>
            <w:vAlign w:val="center"/>
          </w:tcPr>
          <w:p w14:paraId="61370E09" w14:textId="12EB809D" w:rsidR="009E1151" w:rsidRPr="00D948C1" w:rsidRDefault="009E1151" w:rsidP="009E1151">
            <w:pPr>
              <w:tabs>
                <w:tab w:val="left" w:pos="284"/>
              </w:tabs>
              <w:jc w:val="center"/>
              <w:rPr>
                <w:rStyle w:val="Hyperlink"/>
              </w:rPr>
            </w:pPr>
            <w:hyperlink w:anchor="N10" w:history="1">
              <w:r w:rsidRPr="00D948C1">
                <w:rPr>
                  <w:rStyle w:val="Hyperlink"/>
                  <w:szCs w:val="24"/>
                </w:rPr>
                <w:t>10</w:t>
              </w:r>
            </w:hyperlink>
          </w:p>
        </w:tc>
        <w:tc>
          <w:tcPr>
            <w:tcW w:w="1134" w:type="dxa"/>
            <w:vAlign w:val="center"/>
          </w:tcPr>
          <w:p w14:paraId="66BE4FBD" w14:textId="2B86FB88" w:rsidR="009E1151" w:rsidRPr="00543C89" w:rsidRDefault="009E1151" w:rsidP="009E1151">
            <w:pPr>
              <w:tabs>
                <w:tab w:val="decimal" w:pos="743"/>
              </w:tabs>
              <w:spacing w:after="120"/>
              <w:jc w:val="right"/>
              <w:rPr>
                <w:bCs/>
                <w:szCs w:val="24"/>
              </w:rPr>
            </w:pPr>
          </w:p>
        </w:tc>
        <w:tc>
          <w:tcPr>
            <w:tcW w:w="1134" w:type="dxa"/>
            <w:vAlign w:val="center"/>
          </w:tcPr>
          <w:p w14:paraId="2E05E3B2" w14:textId="7F5834F3" w:rsidR="009E1151" w:rsidRPr="00543C89" w:rsidRDefault="00F41CB4" w:rsidP="009E1151">
            <w:pPr>
              <w:tabs>
                <w:tab w:val="decimal" w:pos="743"/>
              </w:tabs>
              <w:spacing w:after="120"/>
              <w:jc w:val="right"/>
              <w:rPr>
                <w:bCs/>
                <w:szCs w:val="24"/>
              </w:rPr>
            </w:pPr>
            <w:r>
              <w:rPr>
                <w:bCs/>
                <w:szCs w:val="24"/>
              </w:rPr>
              <w:t>582</w:t>
            </w:r>
          </w:p>
        </w:tc>
        <w:tc>
          <w:tcPr>
            <w:tcW w:w="1134" w:type="dxa"/>
            <w:vAlign w:val="center"/>
          </w:tcPr>
          <w:p w14:paraId="32FCFBEE" w14:textId="77777777" w:rsidR="009E1151" w:rsidRPr="00FB606A" w:rsidRDefault="009E1151" w:rsidP="009E1151">
            <w:pPr>
              <w:tabs>
                <w:tab w:val="decimal" w:pos="743"/>
              </w:tabs>
              <w:spacing w:after="120"/>
              <w:jc w:val="right"/>
              <w:rPr>
                <w:bCs/>
                <w:szCs w:val="24"/>
              </w:rPr>
            </w:pPr>
          </w:p>
        </w:tc>
        <w:tc>
          <w:tcPr>
            <w:tcW w:w="1134" w:type="dxa"/>
            <w:vAlign w:val="center"/>
          </w:tcPr>
          <w:p w14:paraId="2E59B241" w14:textId="76436852" w:rsidR="009E1151" w:rsidRPr="00FB606A" w:rsidRDefault="009E1151" w:rsidP="009E1151">
            <w:pPr>
              <w:tabs>
                <w:tab w:val="decimal" w:pos="743"/>
              </w:tabs>
              <w:spacing w:after="120"/>
              <w:jc w:val="right"/>
              <w:rPr>
                <w:bCs/>
                <w:szCs w:val="24"/>
              </w:rPr>
            </w:pPr>
            <w:r w:rsidRPr="00FB606A">
              <w:rPr>
                <w:bCs/>
                <w:szCs w:val="24"/>
              </w:rPr>
              <w:t>4,297</w:t>
            </w:r>
          </w:p>
        </w:tc>
      </w:tr>
      <w:tr w:rsidR="009E1151" w:rsidRPr="00D948C1" w14:paraId="6542EB7B" w14:textId="77777777" w:rsidTr="006B1D0D">
        <w:trPr>
          <w:trHeight w:val="494"/>
        </w:trPr>
        <w:tc>
          <w:tcPr>
            <w:tcW w:w="4927" w:type="dxa"/>
          </w:tcPr>
          <w:p w14:paraId="60890E55" w14:textId="77777777" w:rsidR="009E1151" w:rsidRPr="00D948C1" w:rsidRDefault="009E1151" w:rsidP="009E1151">
            <w:pPr>
              <w:pStyle w:val="CommentText"/>
              <w:tabs>
                <w:tab w:val="left" w:pos="284"/>
              </w:tabs>
              <w:spacing w:after="240"/>
              <w:rPr>
                <w:b/>
                <w:sz w:val="24"/>
                <w:szCs w:val="24"/>
              </w:rPr>
            </w:pPr>
            <w:r w:rsidRPr="00D948C1">
              <w:rPr>
                <w:b/>
                <w:sz w:val="24"/>
                <w:szCs w:val="24"/>
              </w:rPr>
              <w:t>Cash and cash equivalents at the end of the reporting period</w:t>
            </w:r>
          </w:p>
        </w:tc>
        <w:tc>
          <w:tcPr>
            <w:tcW w:w="1100" w:type="dxa"/>
            <w:vAlign w:val="center"/>
          </w:tcPr>
          <w:p w14:paraId="76BA6493" w14:textId="6FB1CC57" w:rsidR="009E1151" w:rsidRPr="00D948C1" w:rsidRDefault="009E1151" w:rsidP="009E1151">
            <w:pPr>
              <w:tabs>
                <w:tab w:val="left" w:pos="284"/>
              </w:tabs>
              <w:jc w:val="center"/>
              <w:rPr>
                <w:rStyle w:val="Hyperlink"/>
              </w:rPr>
            </w:pPr>
            <w:hyperlink w:anchor="N10" w:history="1">
              <w:r w:rsidRPr="00D948C1">
                <w:rPr>
                  <w:rStyle w:val="Hyperlink"/>
                  <w:szCs w:val="24"/>
                </w:rPr>
                <w:t>10</w:t>
              </w:r>
            </w:hyperlink>
          </w:p>
        </w:tc>
        <w:tc>
          <w:tcPr>
            <w:tcW w:w="1134" w:type="dxa"/>
            <w:vAlign w:val="center"/>
          </w:tcPr>
          <w:p w14:paraId="04F7B21E" w14:textId="7C911770" w:rsidR="009E1151" w:rsidRPr="00543C89" w:rsidRDefault="009E1151" w:rsidP="009E1151">
            <w:pPr>
              <w:pStyle w:val="Footer"/>
              <w:tabs>
                <w:tab w:val="clear" w:pos="4153"/>
                <w:tab w:val="clear" w:pos="8306"/>
                <w:tab w:val="decimal" w:pos="743"/>
                <w:tab w:val="decimal" w:pos="882"/>
              </w:tabs>
              <w:spacing w:after="120"/>
              <w:jc w:val="right"/>
              <w:rPr>
                <w:b/>
                <w:szCs w:val="24"/>
              </w:rPr>
            </w:pPr>
          </w:p>
        </w:tc>
        <w:tc>
          <w:tcPr>
            <w:tcW w:w="1134" w:type="dxa"/>
            <w:vAlign w:val="center"/>
          </w:tcPr>
          <w:p w14:paraId="2D78D735" w14:textId="1AAA41D8" w:rsidR="009E1151" w:rsidRPr="00543C89" w:rsidRDefault="004206F6" w:rsidP="009E1151">
            <w:pPr>
              <w:pStyle w:val="Footer"/>
              <w:tabs>
                <w:tab w:val="clear" w:pos="4153"/>
                <w:tab w:val="clear" w:pos="8306"/>
                <w:tab w:val="decimal" w:pos="742"/>
              </w:tabs>
              <w:spacing w:after="120"/>
              <w:jc w:val="right"/>
              <w:rPr>
                <w:b/>
                <w:szCs w:val="24"/>
              </w:rPr>
            </w:pPr>
            <w:r>
              <w:rPr>
                <w:b/>
                <w:szCs w:val="24"/>
              </w:rPr>
              <w:t>451</w:t>
            </w:r>
          </w:p>
        </w:tc>
        <w:tc>
          <w:tcPr>
            <w:tcW w:w="1134" w:type="dxa"/>
            <w:vAlign w:val="center"/>
          </w:tcPr>
          <w:p w14:paraId="0FE4C979" w14:textId="77777777" w:rsidR="009E1151" w:rsidRPr="00FB606A" w:rsidRDefault="009E1151" w:rsidP="009E1151">
            <w:pPr>
              <w:pStyle w:val="Footer"/>
              <w:tabs>
                <w:tab w:val="clear" w:pos="4153"/>
                <w:tab w:val="clear" w:pos="8306"/>
                <w:tab w:val="decimal" w:pos="743"/>
                <w:tab w:val="decimal" w:pos="882"/>
              </w:tabs>
              <w:spacing w:after="120"/>
              <w:jc w:val="right"/>
              <w:rPr>
                <w:b/>
                <w:szCs w:val="24"/>
              </w:rPr>
            </w:pPr>
          </w:p>
        </w:tc>
        <w:tc>
          <w:tcPr>
            <w:tcW w:w="1134" w:type="dxa"/>
            <w:vAlign w:val="center"/>
          </w:tcPr>
          <w:p w14:paraId="5711E9CB" w14:textId="68522D06" w:rsidR="009E1151" w:rsidRPr="00FB606A" w:rsidRDefault="009E1151" w:rsidP="009E1151">
            <w:pPr>
              <w:pStyle w:val="Footer"/>
              <w:tabs>
                <w:tab w:val="clear" w:pos="4153"/>
                <w:tab w:val="clear" w:pos="8306"/>
                <w:tab w:val="decimal" w:pos="742"/>
              </w:tabs>
              <w:spacing w:after="120"/>
              <w:jc w:val="right"/>
              <w:rPr>
                <w:b/>
                <w:szCs w:val="24"/>
              </w:rPr>
            </w:pPr>
            <w:r w:rsidRPr="00543C89">
              <w:rPr>
                <w:b/>
                <w:szCs w:val="24"/>
              </w:rPr>
              <w:t>582</w:t>
            </w:r>
          </w:p>
        </w:tc>
      </w:tr>
    </w:tbl>
    <w:p w14:paraId="20F6C2F7" w14:textId="77777777" w:rsidR="00EE5263" w:rsidRPr="00D948C1" w:rsidRDefault="003105BA" w:rsidP="00887207">
      <w:pPr>
        <w:rPr>
          <w:sz w:val="22"/>
        </w:rPr>
      </w:pPr>
      <w:r w:rsidRPr="00D948C1">
        <w:rPr>
          <w:b/>
          <w:sz w:val="22"/>
        </w:rPr>
        <w:tab/>
      </w:r>
    </w:p>
    <w:p w14:paraId="0AAD779D" w14:textId="77777777" w:rsidR="009F51E5" w:rsidRPr="00D948C1" w:rsidRDefault="009F51E5" w:rsidP="005A3C76">
      <w:pPr>
        <w:pStyle w:val="Heading1"/>
        <w:jc w:val="center"/>
        <w:rPr>
          <w:sz w:val="22"/>
          <w:szCs w:val="22"/>
        </w:rPr>
        <w:sectPr w:rsidR="009F51E5" w:rsidRPr="00D948C1" w:rsidSect="0050229D">
          <w:pgSz w:w="11907" w:h="16840" w:code="9"/>
          <w:pgMar w:top="454" w:right="567" w:bottom="397" w:left="567" w:header="720" w:footer="720" w:gutter="0"/>
          <w:cols w:space="720"/>
          <w:docGrid w:linePitch="326"/>
        </w:sectPr>
      </w:pPr>
    </w:p>
    <w:p w14:paraId="2D546CC0" w14:textId="51AD5412" w:rsidR="003F061A" w:rsidRPr="00326640" w:rsidRDefault="003278CF" w:rsidP="00FA71D8">
      <w:pPr>
        <w:pStyle w:val="Heading1"/>
      </w:pPr>
      <w:bookmarkStart w:id="19" w:name="_Toc233717518"/>
      <w:r>
        <w:lastRenderedPageBreak/>
        <w:t>Notes to the Core Financial Statements</w:t>
      </w:r>
      <w:bookmarkEnd w:id="19"/>
    </w:p>
    <w:p w14:paraId="1ADCD2C0" w14:textId="77777777" w:rsidR="00EE5263" w:rsidRPr="00326640" w:rsidRDefault="00EE5263" w:rsidP="007F15C1">
      <w:pPr>
        <w:ind w:left="720"/>
        <w:jc w:val="both"/>
        <w:rPr>
          <w:sz w:val="22"/>
          <w:szCs w:val="22"/>
        </w:rPr>
      </w:pPr>
    </w:p>
    <w:p w14:paraId="248DD0CA" w14:textId="77777777" w:rsidR="009B6F2A" w:rsidRPr="00326640" w:rsidRDefault="003F061A" w:rsidP="002A04B9">
      <w:pPr>
        <w:pStyle w:val="Heading2"/>
        <w:numPr>
          <w:ilvl w:val="0"/>
          <w:numId w:val="40"/>
        </w:numPr>
        <w:jc w:val="left"/>
        <w:rPr>
          <w:sz w:val="24"/>
          <w:szCs w:val="24"/>
        </w:rPr>
      </w:pPr>
      <w:bookmarkStart w:id="20" w:name="Notes"/>
      <w:bookmarkStart w:id="21" w:name="_Toc233717519"/>
      <w:bookmarkEnd w:id="20"/>
      <w:r w:rsidRPr="6F4225AD">
        <w:rPr>
          <w:sz w:val="24"/>
          <w:szCs w:val="24"/>
        </w:rPr>
        <w:t>E</w:t>
      </w:r>
      <w:r w:rsidR="009B6F2A" w:rsidRPr="6F4225AD">
        <w:rPr>
          <w:sz w:val="24"/>
          <w:szCs w:val="24"/>
        </w:rPr>
        <w:t>xpenditure and Funding Analysis</w:t>
      </w:r>
      <w:bookmarkEnd w:id="21"/>
    </w:p>
    <w:p w14:paraId="6F8FA255" w14:textId="60FCEAF1" w:rsidR="005722FC" w:rsidRPr="00D948C1" w:rsidRDefault="005722FC" w:rsidP="006943DC">
      <w:pPr>
        <w:ind w:left="720"/>
        <w:rPr>
          <w:sz w:val="22"/>
          <w:szCs w:val="22"/>
        </w:rPr>
      </w:pPr>
    </w:p>
    <w:p w14:paraId="7453859F" w14:textId="3B676BF9" w:rsidR="00A50011" w:rsidRPr="00D948C1" w:rsidRDefault="00C975EA" w:rsidP="00FA71D8">
      <w:pPr>
        <w:ind w:left="720"/>
      </w:pPr>
      <w:r>
        <w:t xml:space="preserve">The objective of the Expenditure and Funding Analysis is to demonstrate to council </w:t>
      </w:r>
      <w:r w:rsidR="009F51E5">
        <w:t>taxpayers</w:t>
      </w:r>
      <w:r>
        <w:t xml:space="preserve"> how the funding available to the Authority (Government grants, council tax and business rates) for the year has been used in providing services in comparison with those resources consumed or earned by the Authority in accordance with generally accepted accounting practices. The Expenditure and Funding Analysis also shows how this expenditure is allocated for decision making purposes between the Authority’s directorates. Income and expenditure accounted for under generally accepted accounting practices </w:t>
      </w:r>
      <w:r w:rsidR="00A50011">
        <w:t>is presented more fully in the Comprehensive Income and Expenditure Statement.</w:t>
      </w:r>
    </w:p>
    <w:p w14:paraId="433A1095" w14:textId="77777777" w:rsidR="00296A09" w:rsidRPr="00D948C1" w:rsidRDefault="00296A09" w:rsidP="001E612D">
      <w:pPr>
        <w:ind w:left="720"/>
        <w:jc w:val="both"/>
        <w:rPr>
          <w:sz w:val="22"/>
        </w:rPr>
      </w:pPr>
    </w:p>
    <w:tbl>
      <w:tblPr>
        <w:tblStyle w:val="TableGrid"/>
        <w:tblW w:w="14698" w:type="dxa"/>
        <w:tblInd w:w="720" w:type="dxa"/>
        <w:tblLayout w:type="fixed"/>
        <w:tblLook w:val="04A0" w:firstRow="1" w:lastRow="0" w:firstColumn="1" w:lastColumn="0" w:noHBand="0" w:noVBand="1"/>
      </w:tblPr>
      <w:tblGrid>
        <w:gridCol w:w="3641"/>
        <w:gridCol w:w="1735"/>
        <w:gridCol w:w="2376"/>
        <w:gridCol w:w="1701"/>
        <w:gridCol w:w="2551"/>
        <w:gridCol w:w="2694"/>
      </w:tblGrid>
      <w:tr w:rsidR="000D5389" w:rsidRPr="00D948C1" w14:paraId="140A73BE" w14:textId="77777777" w:rsidTr="00611673">
        <w:trPr>
          <w:tblHeader/>
        </w:trPr>
        <w:tc>
          <w:tcPr>
            <w:tcW w:w="3641" w:type="dxa"/>
            <w:tcBorders>
              <w:top w:val="single" w:sz="4" w:space="0" w:color="auto"/>
              <w:left w:val="single" w:sz="4" w:space="0" w:color="auto"/>
              <w:bottom w:val="single" w:sz="4" w:space="0" w:color="auto"/>
              <w:right w:val="single" w:sz="4" w:space="0" w:color="auto"/>
            </w:tcBorders>
            <w:shd w:val="clear" w:color="auto" w:fill="BD2716"/>
            <w:vAlign w:val="center"/>
          </w:tcPr>
          <w:p w14:paraId="259B0CA8" w14:textId="7BD9A421" w:rsidR="000D5389" w:rsidRPr="00D948C1" w:rsidRDefault="000D5389" w:rsidP="00611673">
            <w:pPr>
              <w:rPr>
                <w:rFonts w:cs="Arial"/>
                <w:bCs/>
                <w:color w:val="FFFFFF" w:themeColor="background1"/>
                <w:szCs w:val="24"/>
              </w:rPr>
            </w:pPr>
            <w:r w:rsidRPr="00D948C1">
              <w:rPr>
                <w:rFonts w:cs="Arial"/>
                <w:color w:val="FFFFFF" w:themeColor="background1"/>
                <w:szCs w:val="24"/>
              </w:rPr>
              <w:br w:type="page"/>
            </w:r>
            <w:r w:rsidR="001A42DD">
              <w:rPr>
                <w:rFonts w:cs="Arial"/>
                <w:bCs/>
                <w:color w:val="FFFFFF" w:themeColor="background1"/>
                <w:szCs w:val="24"/>
              </w:rPr>
              <w:t>2025-26</w:t>
            </w:r>
          </w:p>
        </w:tc>
        <w:tc>
          <w:tcPr>
            <w:tcW w:w="1735" w:type="dxa"/>
            <w:tcBorders>
              <w:top w:val="single" w:sz="4" w:space="0" w:color="auto"/>
              <w:left w:val="single" w:sz="4" w:space="0" w:color="auto"/>
              <w:bottom w:val="single" w:sz="4" w:space="0" w:color="auto"/>
              <w:right w:val="single" w:sz="4" w:space="0" w:color="auto"/>
            </w:tcBorders>
            <w:shd w:val="clear" w:color="auto" w:fill="BD2716"/>
            <w:vAlign w:val="center"/>
          </w:tcPr>
          <w:p w14:paraId="50CEB729"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As reported for resource management</w:t>
            </w:r>
          </w:p>
          <w:p w14:paraId="48414B6B" w14:textId="163E1D83"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376" w:type="dxa"/>
            <w:tcBorders>
              <w:top w:val="single" w:sz="4" w:space="0" w:color="auto"/>
              <w:left w:val="single" w:sz="4" w:space="0" w:color="auto"/>
              <w:bottom w:val="single" w:sz="4" w:space="0" w:color="auto"/>
              <w:right w:val="single" w:sz="4" w:space="0" w:color="auto"/>
            </w:tcBorders>
            <w:shd w:val="clear" w:color="auto" w:fill="BD2716"/>
            <w:vAlign w:val="center"/>
          </w:tcPr>
          <w:p w14:paraId="369FEF1A"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Adjustment to arrive at the amount chargeable to the General Fund (</w:t>
            </w:r>
            <w:r w:rsidR="00676AE5" w:rsidRPr="00D948C1">
              <w:rPr>
                <w:rFonts w:cs="Arial"/>
                <w:color w:val="FFFFFF" w:themeColor="background1"/>
                <w:szCs w:val="24"/>
              </w:rPr>
              <w:t>N</w:t>
            </w:r>
            <w:r w:rsidRPr="00D948C1">
              <w:rPr>
                <w:rFonts w:cs="Arial"/>
                <w:color w:val="FFFFFF" w:themeColor="background1"/>
                <w:szCs w:val="24"/>
              </w:rPr>
              <w:t xml:space="preserve">ote </w:t>
            </w:r>
            <w:r w:rsidR="00CF7F0B" w:rsidRPr="00D948C1">
              <w:rPr>
                <w:rFonts w:cs="Arial"/>
                <w:color w:val="FFFFFF" w:themeColor="background1"/>
                <w:szCs w:val="24"/>
              </w:rPr>
              <w:t>1</w:t>
            </w:r>
            <w:r w:rsidRPr="00D948C1">
              <w:rPr>
                <w:rFonts w:cs="Arial"/>
                <w:color w:val="FFFFFF" w:themeColor="background1"/>
                <w:szCs w:val="24"/>
              </w:rPr>
              <w:t>a)</w:t>
            </w:r>
          </w:p>
          <w:p w14:paraId="0BF71F2B" w14:textId="753149E1"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BD2716"/>
            <w:vAlign w:val="center"/>
          </w:tcPr>
          <w:p w14:paraId="478BDFA4"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Net chargeable to the General Fund</w:t>
            </w:r>
          </w:p>
          <w:p w14:paraId="22735930" w14:textId="32FEBB26"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551" w:type="dxa"/>
            <w:tcBorders>
              <w:top w:val="single" w:sz="4" w:space="0" w:color="auto"/>
              <w:left w:val="single" w:sz="4" w:space="0" w:color="auto"/>
              <w:bottom w:val="single" w:sz="4" w:space="0" w:color="auto"/>
              <w:right w:val="single" w:sz="4" w:space="0" w:color="auto"/>
            </w:tcBorders>
            <w:shd w:val="clear" w:color="auto" w:fill="BD2716"/>
            <w:vAlign w:val="center"/>
          </w:tcPr>
          <w:p w14:paraId="4D2A04EE"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Adjustments between the Funding and Accounting basis (</w:t>
            </w:r>
            <w:r w:rsidR="00676AE5" w:rsidRPr="00D948C1">
              <w:rPr>
                <w:rFonts w:cs="Arial"/>
                <w:color w:val="FFFFFF" w:themeColor="background1"/>
                <w:szCs w:val="24"/>
              </w:rPr>
              <w:t>N</w:t>
            </w:r>
            <w:r w:rsidRPr="00D948C1">
              <w:rPr>
                <w:rFonts w:cs="Arial"/>
                <w:color w:val="FFFFFF" w:themeColor="background1"/>
                <w:szCs w:val="24"/>
              </w:rPr>
              <w:t xml:space="preserve">ote </w:t>
            </w:r>
            <w:r w:rsidR="00CF7F0B" w:rsidRPr="00D948C1">
              <w:rPr>
                <w:rFonts w:cs="Arial"/>
                <w:color w:val="FFFFFF" w:themeColor="background1"/>
                <w:szCs w:val="24"/>
              </w:rPr>
              <w:t>1</w:t>
            </w:r>
            <w:r w:rsidRPr="00D948C1">
              <w:rPr>
                <w:rFonts w:cs="Arial"/>
                <w:color w:val="FFFFFF" w:themeColor="background1"/>
                <w:szCs w:val="24"/>
              </w:rPr>
              <w:t>a)</w:t>
            </w:r>
          </w:p>
          <w:p w14:paraId="3E31527D" w14:textId="0233D89C"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c>
          <w:tcPr>
            <w:tcW w:w="2694" w:type="dxa"/>
            <w:tcBorders>
              <w:top w:val="single" w:sz="4" w:space="0" w:color="auto"/>
              <w:left w:val="single" w:sz="4" w:space="0" w:color="auto"/>
              <w:bottom w:val="single" w:sz="4" w:space="0" w:color="auto"/>
              <w:right w:val="single" w:sz="4" w:space="0" w:color="auto"/>
            </w:tcBorders>
            <w:shd w:val="clear" w:color="auto" w:fill="BD2716"/>
            <w:vAlign w:val="center"/>
          </w:tcPr>
          <w:p w14:paraId="7C385521" w14:textId="77777777" w:rsidR="000D5389" w:rsidRPr="00D948C1" w:rsidRDefault="000D5389" w:rsidP="00611673">
            <w:pPr>
              <w:jc w:val="right"/>
              <w:rPr>
                <w:rFonts w:cs="Arial"/>
                <w:color w:val="FFFFFF" w:themeColor="background1"/>
                <w:szCs w:val="24"/>
              </w:rPr>
            </w:pPr>
            <w:r w:rsidRPr="00D948C1">
              <w:rPr>
                <w:rFonts w:cs="Arial"/>
                <w:color w:val="FFFFFF" w:themeColor="background1"/>
                <w:szCs w:val="24"/>
              </w:rPr>
              <w:t>Net Expenditure in the Comprehensive Income and Expenditure Statement</w:t>
            </w:r>
          </w:p>
          <w:p w14:paraId="05366D44" w14:textId="776BB2F2" w:rsidR="0005100D" w:rsidRPr="00D948C1" w:rsidRDefault="0005100D" w:rsidP="00611673">
            <w:pPr>
              <w:jc w:val="right"/>
              <w:rPr>
                <w:rFonts w:cs="Arial"/>
                <w:color w:val="FFFFFF" w:themeColor="background1"/>
                <w:szCs w:val="24"/>
              </w:rPr>
            </w:pPr>
            <w:r w:rsidRPr="00D948C1">
              <w:rPr>
                <w:rFonts w:cs="Arial"/>
                <w:color w:val="FFFFFF" w:themeColor="background1"/>
                <w:szCs w:val="24"/>
              </w:rPr>
              <w:t>£000</w:t>
            </w:r>
          </w:p>
        </w:tc>
      </w:tr>
      <w:tr w:rsidR="00D45179" w:rsidRPr="00543C89" w14:paraId="0616B1E3" w14:textId="77777777" w:rsidTr="00233A66">
        <w:tc>
          <w:tcPr>
            <w:tcW w:w="3641" w:type="dxa"/>
            <w:tcBorders>
              <w:top w:val="single" w:sz="4" w:space="0" w:color="auto"/>
              <w:left w:val="single" w:sz="4" w:space="0" w:color="auto"/>
              <w:bottom w:val="single" w:sz="4" w:space="0" w:color="auto"/>
              <w:right w:val="single" w:sz="4" w:space="0" w:color="auto"/>
            </w:tcBorders>
          </w:tcPr>
          <w:p w14:paraId="3233E0A0" w14:textId="77777777" w:rsidR="00D45179" w:rsidRPr="00543C89" w:rsidRDefault="00D45179" w:rsidP="00D45179">
            <w:pPr>
              <w:rPr>
                <w:rFonts w:cs="Arial"/>
                <w:szCs w:val="24"/>
              </w:rPr>
            </w:pPr>
            <w:r w:rsidRPr="00543C89">
              <w:rPr>
                <w:rFonts w:cs="Arial"/>
                <w:szCs w:val="24"/>
              </w:rPr>
              <w:t>Service Delivery</w:t>
            </w:r>
          </w:p>
        </w:tc>
        <w:tc>
          <w:tcPr>
            <w:tcW w:w="1735" w:type="dxa"/>
            <w:tcBorders>
              <w:top w:val="single" w:sz="4" w:space="0" w:color="auto"/>
              <w:left w:val="single" w:sz="4" w:space="0" w:color="auto"/>
              <w:bottom w:val="single" w:sz="4" w:space="0" w:color="auto"/>
              <w:right w:val="single" w:sz="4" w:space="0" w:color="auto"/>
            </w:tcBorders>
            <w:vAlign w:val="center"/>
          </w:tcPr>
          <w:p w14:paraId="0B3D3099" w14:textId="21DFDEF9" w:rsidR="00D45179" w:rsidRPr="00543C89" w:rsidRDefault="00CC4559" w:rsidP="00D45179">
            <w:pPr>
              <w:jc w:val="right"/>
              <w:rPr>
                <w:rFonts w:cs="Arial"/>
                <w:szCs w:val="24"/>
              </w:rPr>
            </w:pPr>
            <w:r>
              <w:rPr>
                <w:rFonts w:cs="Arial"/>
                <w:szCs w:val="24"/>
              </w:rPr>
              <w:t>50,651</w:t>
            </w:r>
          </w:p>
        </w:tc>
        <w:tc>
          <w:tcPr>
            <w:tcW w:w="2376" w:type="dxa"/>
            <w:tcBorders>
              <w:top w:val="single" w:sz="4" w:space="0" w:color="auto"/>
              <w:left w:val="single" w:sz="4" w:space="0" w:color="auto"/>
              <w:bottom w:val="single" w:sz="4" w:space="0" w:color="auto"/>
              <w:right w:val="single" w:sz="4" w:space="0" w:color="auto"/>
            </w:tcBorders>
            <w:vAlign w:val="center"/>
          </w:tcPr>
          <w:p w14:paraId="457E0239" w14:textId="0A69E7A6" w:rsidR="00D45179" w:rsidRPr="00543C89" w:rsidRDefault="006572C9" w:rsidP="00D45179">
            <w:pPr>
              <w:jc w:val="right"/>
              <w:rPr>
                <w:rFonts w:cs="Arial"/>
                <w:szCs w:val="24"/>
              </w:rPr>
            </w:pPr>
            <w:r>
              <w:rPr>
                <w:rFonts w:cs="Arial"/>
                <w:szCs w:val="24"/>
              </w:rPr>
              <w:t>(128)</w:t>
            </w:r>
          </w:p>
        </w:tc>
        <w:tc>
          <w:tcPr>
            <w:tcW w:w="1701" w:type="dxa"/>
            <w:tcBorders>
              <w:top w:val="single" w:sz="4" w:space="0" w:color="auto"/>
              <w:left w:val="single" w:sz="4" w:space="0" w:color="auto"/>
              <w:bottom w:val="single" w:sz="4" w:space="0" w:color="auto"/>
              <w:right w:val="single" w:sz="4" w:space="0" w:color="auto"/>
            </w:tcBorders>
            <w:vAlign w:val="center"/>
          </w:tcPr>
          <w:p w14:paraId="0E2817BB" w14:textId="519A6B04" w:rsidR="00D45179" w:rsidRPr="00543C89" w:rsidRDefault="00D105D1" w:rsidP="00D45179">
            <w:pPr>
              <w:jc w:val="right"/>
              <w:rPr>
                <w:rFonts w:cs="Arial"/>
                <w:szCs w:val="24"/>
              </w:rPr>
            </w:pPr>
            <w:r>
              <w:rPr>
                <w:rFonts w:cs="Arial"/>
                <w:szCs w:val="24"/>
              </w:rPr>
              <w:t>50,523</w:t>
            </w:r>
          </w:p>
        </w:tc>
        <w:tc>
          <w:tcPr>
            <w:tcW w:w="2551" w:type="dxa"/>
            <w:tcBorders>
              <w:top w:val="single" w:sz="4" w:space="0" w:color="auto"/>
              <w:left w:val="single" w:sz="4" w:space="0" w:color="auto"/>
              <w:bottom w:val="single" w:sz="4" w:space="0" w:color="auto"/>
              <w:right w:val="single" w:sz="4" w:space="0" w:color="auto"/>
            </w:tcBorders>
            <w:vAlign w:val="center"/>
          </w:tcPr>
          <w:p w14:paraId="33231E4D" w14:textId="39B4DCB9" w:rsidR="00D45179" w:rsidRPr="00543C89" w:rsidRDefault="000424F2" w:rsidP="00D45179">
            <w:pPr>
              <w:jc w:val="right"/>
              <w:rPr>
                <w:rFonts w:cs="Arial"/>
                <w:szCs w:val="24"/>
              </w:rPr>
            </w:pPr>
            <w:r>
              <w:rPr>
                <w:rFonts w:cs="Arial"/>
                <w:szCs w:val="24"/>
              </w:rPr>
              <w:t>(27,140)</w:t>
            </w:r>
          </w:p>
        </w:tc>
        <w:tc>
          <w:tcPr>
            <w:tcW w:w="2694" w:type="dxa"/>
            <w:tcBorders>
              <w:top w:val="single" w:sz="4" w:space="0" w:color="auto"/>
              <w:left w:val="single" w:sz="4" w:space="0" w:color="auto"/>
              <w:bottom w:val="single" w:sz="4" w:space="0" w:color="auto"/>
              <w:right w:val="single" w:sz="4" w:space="0" w:color="auto"/>
            </w:tcBorders>
            <w:vAlign w:val="center"/>
          </w:tcPr>
          <w:p w14:paraId="654E40BE" w14:textId="53082BBE" w:rsidR="00D45179" w:rsidRPr="00543C89" w:rsidRDefault="000424F2" w:rsidP="00D45179">
            <w:pPr>
              <w:jc w:val="right"/>
              <w:rPr>
                <w:rFonts w:cs="Arial"/>
                <w:szCs w:val="24"/>
              </w:rPr>
            </w:pPr>
            <w:r>
              <w:rPr>
                <w:rFonts w:cs="Arial"/>
                <w:szCs w:val="24"/>
              </w:rPr>
              <w:t>23,383</w:t>
            </w:r>
          </w:p>
        </w:tc>
      </w:tr>
      <w:tr w:rsidR="00D45179" w:rsidRPr="00543C89" w14:paraId="46670F22" w14:textId="77777777" w:rsidTr="00233A66">
        <w:tc>
          <w:tcPr>
            <w:tcW w:w="3641" w:type="dxa"/>
            <w:tcBorders>
              <w:top w:val="single" w:sz="4" w:space="0" w:color="auto"/>
              <w:left w:val="single" w:sz="4" w:space="0" w:color="auto"/>
              <w:bottom w:val="single" w:sz="4" w:space="0" w:color="auto"/>
              <w:right w:val="single" w:sz="4" w:space="0" w:color="auto"/>
            </w:tcBorders>
          </w:tcPr>
          <w:p w14:paraId="2FB3046B" w14:textId="77777777" w:rsidR="00D45179" w:rsidRPr="00543C89" w:rsidRDefault="00D45179" w:rsidP="00D45179">
            <w:pPr>
              <w:rPr>
                <w:rFonts w:cs="Arial"/>
                <w:szCs w:val="24"/>
              </w:rPr>
            </w:pPr>
            <w:r w:rsidRPr="00543C89">
              <w:rPr>
                <w:rFonts w:cs="Arial"/>
                <w:szCs w:val="24"/>
              </w:rPr>
              <w:t>Strategy and Planning</w:t>
            </w:r>
          </w:p>
        </w:tc>
        <w:tc>
          <w:tcPr>
            <w:tcW w:w="1735" w:type="dxa"/>
            <w:tcBorders>
              <w:top w:val="single" w:sz="4" w:space="0" w:color="auto"/>
              <w:left w:val="single" w:sz="4" w:space="0" w:color="auto"/>
              <w:bottom w:val="single" w:sz="4" w:space="0" w:color="auto"/>
              <w:right w:val="single" w:sz="4" w:space="0" w:color="auto"/>
            </w:tcBorders>
            <w:vAlign w:val="center"/>
          </w:tcPr>
          <w:p w14:paraId="01BD4422" w14:textId="799C3BDB" w:rsidR="00D45179" w:rsidRPr="00543C89" w:rsidRDefault="00CC4559" w:rsidP="00D45179">
            <w:pPr>
              <w:jc w:val="right"/>
              <w:rPr>
                <w:rFonts w:cs="Arial"/>
                <w:szCs w:val="24"/>
              </w:rPr>
            </w:pPr>
            <w:r>
              <w:rPr>
                <w:rFonts w:cs="Arial"/>
                <w:szCs w:val="24"/>
              </w:rPr>
              <w:t>14,899</w:t>
            </w:r>
          </w:p>
        </w:tc>
        <w:tc>
          <w:tcPr>
            <w:tcW w:w="2376" w:type="dxa"/>
            <w:tcBorders>
              <w:top w:val="single" w:sz="4" w:space="0" w:color="auto"/>
              <w:left w:val="single" w:sz="4" w:space="0" w:color="auto"/>
              <w:bottom w:val="single" w:sz="4" w:space="0" w:color="auto"/>
              <w:right w:val="single" w:sz="4" w:space="0" w:color="auto"/>
            </w:tcBorders>
            <w:vAlign w:val="center"/>
          </w:tcPr>
          <w:p w14:paraId="54EB75DC" w14:textId="38BD26D5" w:rsidR="00D45179" w:rsidRPr="00543C89" w:rsidRDefault="006572C9" w:rsidP="00D45179">
            <w:pPr>
              <w:jc w:val="right"/>
              <w:rPr>
                <w:rFonts w:cs="Arial"/>
                <w:szCs w:val="24"/>
              </w:rPr>
            </w:pPr>
            <w:r>
              <w:rPr>
                <w:rFonts w:cs="Arial"/>
                <w:szCs w:val="24"/>
              </w:rPr>
              <w:t>(515)</w:t>
            </w:r>
          </w:p>
        </w:tc>
        <w:tc>
          <w:tcPr>
            <w:tcW w:w="1701" w:type="dxa"/>
            <w:tcBorders>
              <w:top w:val="single" w:sz="4" w:space="0" w:color="auto"/>
              <w:left w:val="single" w:sz="4" w:space="0" w:color="auto"/>
              <w:bottom w:val="single" w:sz="4" w:space="0" w:color="auto"/>
              <w:right w:val="single" w:sz="4" w:space="0" w:color="auto"/>
            </w:tcBorders>
            <w:vAlign w:val="center"/>
          </w:tcPr>
          <w:p w14:paraId="68156AE3" w14:textId="1DE87E6E" w:rsidR="00D45179" w:rsidRPr="00543C89" w:rsidRDefault="00D105D1" w:rsidP="00D45179">
            <w:pPr>
              <w:jc w:val="right"/>
              <w:rPr>
                <w:rFonts w:cs="Arial"/>
                <w:szCs w:val="24"/>
              </w:rPr>
            </w:pPr>
            <w:r>
              <w:rPr>
                <w:rFonts w:cs="Arial"/>
                <w:szCs w:val="24"/>
              </w:rPr>
              <w:t>14,384</w:t>
            </w:r>
          </w:p>
        </w:tc>
        <w:tc>
          <w:tcPr>
            <w:tcW w:w="2551" w:type="dxa"/>
            <w:tcBorders>
              <w:top w:val="single" w:sz="4" w:space="0" w:color="auto"/>
              <w:left w:val="single" w:sz="4" w:space="0" w:color="auto"/>
              <w:bottom w:val="single" w:sz="4" w:space="0" w:color="auto"/>
              <w:right w:val="single" w:sz="4" w:space="0" w:color="auto"/>
            </w:tcBorders>
            <w:vAlign w:val="center"/>
          </w:tcPr>
          <w:p w14:paraId="18B281E0" w14:textId="0826CA90" w:rsidR="00D45179" w:rsidRPr="00543C89" w:rsidRDefault="000424F2" w:rsidP="00D45179">
            <w:pPr>
              <w:jc w:val="right"/>
              <w:rPr>
                <w:rFonts w:cs="Arial"/>
                <w:szCs w:val="24"/>
              </w:rPr>
            </w:pPr>
            <w:r>
              <w:rPr>
                <w:rFonts w:cs="Arial"/>
                <w:szCs w:val="24"/>
              </w:rPr>
              <w:t>(2,257)</w:t>
            </w:r>
          </w:p>
        </w:tc>
        <w:tc>
          <w:tcPr>
            <w:tcW w:w="2694" w:type="dxa"/>
            <w:tcBorders>
              <w:top w:val="single" w:sz="4" w:space="0" w:color="auto"/>
              <w:left w:val="single" w:sz="4" w:space="0" w:color="auto"/>
              <w:bottom w:val="single" w:sz="4" w:space="0" w:color="auto"/>
              <w:right w:val="single" w:sz="4" w:space="0" w:color="auto"/>
            </w:tcBorders>
            <w:vAlign w:val="center"/>
          </w:tcPr>
          <w:p w14:paraId="132D2813" w14:textId="75F6BBE1" w:rsidR="00D45179" w:rsidRPr="00543C89" w:rsidRDefault="000424F2" w:rsidP="00D45179">
            <w:pPr>
              <w:jc w:val="right"/>
              <w:rPr>
                <w:rFonts w:cs="Arial"/>
                <w:szCs w:val="24"/>
              </w:rPr>
            </w:pPr>
            <w:r>
              <w:rPr>
                <w:rFonts w:cs="Arial"/>
                <w:szCs w:val="24"/>
              </w:rPr>
              <w:t>12,127</w:t>
            </w:r>
          </w:p>
        </w:tc>
      </w:tr>
      <w:tr w:rsidR="00D45179" w:rsidRPr="00543C89" w14:paraId="2986571E" w14:textId="77777777" w:rsidTr="00233A66">
        <w:tc>
          <w:tcPr>
            <w:tcW w:w="3641" w:type="dxa"/>
            <w:tcBorders>
              <w:top w:val="single" w:sz="4" w:space="0" w:color="auto"/>
              <w:left w:val="single" w:sz="4" w:space="0" w:color="auto"/>
              <w:bottom w:val="single" w:sz="4" w:space="0" w:color="auto"/>
              <w:right w:val="single" w:sz="4" w:space="0" w:color="auto"/>
            </w:tcBorders>
          </w:tcPr>
          <w:p w14:paraId="7ABC67F6" w14:textId="77777777" w:rsidR="00D45179" w:rsidRPr="00543C89" w:rsidRDefault="00D45179" w:rsidP="00D45179">
            <w:pPr>
              <w:rPr>
                <w:rFonts w:cs="Arial"/>
                <w:szCs w:val="24"/>
              </w:rPr>
            </w:pPr>
            <w:r w:rsidRPr="00543C89">
              <w:rPr>
                <w:rFonts w:cs="Arial"/>
                <w:szCs w:val="24"/>
              </w:rPr>
              <w:t>People and Development</w:t>
            </w:r>
          </w:p>
        </w:tc>
        <w:tc>
          <w:tcPr>
            <w:tcW w:w="1735" w:type="dxa"/>
            <w:tcBorders>
              <w:top w:val="single" w:sz="4" w:space="0" w:color="auto"/>
              <w:left w:val="single" w:sz="4" w:space="0" w:color="auto"/>
              <w:bottom w:val="single" w:sz="4" w:space="0" w:color="auto"/>
              <w:right w:val="single" w:sz="4" w:space="0" w:color="auto"/>
            </w:tcBorders>
            <w:vAlign w:val="center"/>
          </w:tcPr>
          <w:p w14:paraId="28ED35B0" w14:textId="5C77B250" w:rsidR="00D45179" w:rsidRPr="00543C89" w:rsidRDefault="00CC4559" w:rsidP="00D45179">
            <w:pPr>
              <w:jc w:val="right"/>
              <w:rPr>
                <w:rFonts w:cs="Arial"/>
                <w:szCs w:val="24"/>
              </w:rPr>
            </w:pPr>
            <w:r>
              <w:rPr>
                <w:rFonts w:cs="Arial"/>
                <w:szCs w:val="24"/>
              </w:rPr>
              <w:t>2,125</w:t>
            </w:r>
          </w:p>
        </w:tc>
        <w:tc>
          <w:tcPr>
            <w:tcW w:w="2376" w:type="dxa"/>
            <w:tcBorders>
              <w:top w:val="single" w:sz="4" w:space="0" w:color="auto"/>
              <w:left w:val="single" w:sz="4" w:space="0" w:color="auto"/>
              <w:bottom w:val="single" w:sz="4" w:space="0" w:color="auto"/>
              <w:right w:val="single" w:sz="4" w:space="0" w:color="auto"/>
            </w:tcBorders>
            <w:vAlign w:val="center"/>
          </w:tcPr>
          <w:p w14:paraId="2F317B61" w14:textId="1EE751E9" w:rsidR="00D45179" w:rsidRPr="00543C89" w:rsidRDefault="00D105D1" w:rsidP="00D45179">
            <w:pPr>
              <w:jc w:val="right"/>
              <w:rPr>
                <w:rFonts w:cs="Arial"/>
                <w:szCs w:val="24"/>
              </w:rPr>
            </w:pPr>
            <w:r>
              <w:rPr>
                <w:rFonts w:cs="Arial"/>
                <w:szCs w:val="24"/>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856F4EF" w14:textId="7EDEDC13" w:rsidR="00D45179" w:rsidRPr="00543C89" w:rsidRDefault="00D105D1" w:rsidP="00D45179">
            <w:pPr>
              <w:jc w:val="right"/>
              <w:rPr>
                <w:rFonts w:cs="Arial"/>
                <w:szCs w:val="24"/>
              </w:rPr>
            </w:pPr>
            <w:r>
              <w:rPr>
                <w:rFonts w:cs="Arial"/>
                <w:szCs w:val="24"/>
              </w:rPr>
              <w:t>2,095</w:t>
            </w:r>
          </w:p>
        </w:tc>
        <w:tc>
          <w:tcPr>
            <w:tcW w:w="2551" w:type="dxa"/>
            <w:tcBorders>
              <w:top w:val="single" w:sz="4" w:space="0" w:color="auto"/>
              <w:left w:val="single" w:sz="4" w:space="0" w:color="auto"/>
              <w:bottom w:val="single" w:sz="4" w:space="0" w:color="auto"/>
              <w:right w:val="single" w:sz="4" w:space="0" w:color="auto"/>
            </w:tcBorders>
            <w:vAlign w:val="center"/>
          </w:tcPr>
          <w:p w14:paraId="5AFF2D3E" w14:textId="3B56AF4C" w:rsidR="00D45179" w:rsidRPr="00543C89" w:rsidRDefault="000424F2" w:rsidP="00D45179">
            <w:pPr>
              <w:jc w:val="right"/>
              <w:rPr>
                <w:rFonts w:cs="Arial"/>
                <w:szCs w:val="24"/>
              </w:rPr>
            </w:pPr>
            <w:r>
              <w:rPr>
                <w:rFonts w:cs="Arial"/>
                <w:szCs w:val="24"/>
              </w:rPr>
              <w:t>106</w:t>
            </w:r>
          </w:p>
        </w:tc>
        <w:tc>
          <w:tcPr>
            <w:tcW w:w="2694" w:type="dxa"/>
            <w:tcBorders>
              <w:top w:val="single" w:sz="4" w:space="0" w:color="auto"/>
              <w:left w:val="single" w:sz="4" w:space="0" w:color="auto"/>
              <w:bottom w:val="single" w:sz="4" w:space="0" w:color="auto"/>
              <w:right w:val="single" w:sz="4" w:space="0" w:color="auto"/>
            </w:tcBorders>
            <w:vAlign w:val="center"/>
          </w:tcPr>
          <w:p w14:paraId="0A779B1D" w14:textId="1E535E8A" w:rsidR="00D45179" w:rsidRPr="00543C89" w:rsidRDefault="000424F2" w:rsidP="00D45179">
            <w:pPr>
              <w:jc w:val="right"/>
              <w:rPr>
                <w:rFonts w:cs="Arial"/>
                <w:szCs w:val="24"/>
              </w:rPr>
            </w:pPr>
            <w:r>
              <w:rPr>
                <w:rFonts w:cs="Arial"/>
                <w:szCs w:val="24"/>
              </w:rPr>
              <w:t>2,201</w:t>
            </w:r>
          </w:p>
        </w:tc>
      </w:tr>
      <w:tr w:rsidR="001B7AF5" w:rsidRPr="00543C89" w14:paraId="755C71A6" w14:textId="77777777" w:rsidTr="00233A66">
        <w:tc>
          <w:tcPr>
            <w:tcW w:w="3641" w:type="dxa"/>
            <w:tcBorders>
              <w:top w:val="single" w:sz="4" w:space="0" w:color="auto"/>
              <w:left w:val="single" w:sz="4" w:space="0" w:color="auto"/>
              <w:bottom w:val="single" w:sz="4" w:space="0" w:color="auto"/>
              <w:right w:val="single" w:sz="4" w:space="0" w:color="auto"/>
            </w:tcBorders>
          </w:tcPr>
          <w:p w14:paraId="21C8DA7D" w14:textId="77777777" w:rsidR="001B7AF5" w:rsidRPr="00543C89" w:rsidRDefault="001B7AF5" w:rsidP="001B7AF5">
            <w:pPr>
              <w:rPr>
                <w:rFonts w:cs="Arial"/>
                <w:szCs w:val="24"/>
              </w:rPr>
            </w:pPr>
            <w:r w:rsidRPr="00543C89">
              <w:rPr>
                <w:rFonts w:cs="Arial"/>
                <w:szCs w:val="24"/>
              </w:rPr>
              <w:t>Corporate Services</w:t>
            </w:r>
          </w:p>
        </w:tc>
        <w:tc>
          <w:tcPr>
            <w:tcW w:w="1735" w:type="dxa"/>
            <w:tcBorders>
              <w:top w:val="single" w:sz="4" w:space="0" w:color="auto"/>
              <w:left w:val="single" w:sz="4" w:space="0" w:color="auto"/>
              <w:bottom w:val="single" w:sz="4" w:space="0" w:color="auto"/>
              <w:right w:val="single" w:sz="4" w:space="0" w:color="auto"/>
            </w:tcBorders>
            <w:vAlign w:val="center"/>
          </w:tcPr>
          <w:p w14:paraId="3172B6EB" w14:textId="51FC0BD6" w:rsidR="001B7AF5" w:rsidRPr="00543C89" w:rsidRDefault="00CC4559" w:rsidP="001B7AF5">
            <w:pPr>
              <w:jc w:val="right"/>
              <w:rPr>
                <w:rFonts w:cs="Arial"/>
                <w:szCs w:val="24"/>
              </w:rPr>
            </w:pPr>
            <w:r>
              <w:rPr>
                <w:rFonts w:cs="Arial"/>
                <w:szCs w:val="24"/>
              </w:rPr>
              <w:t>6,500</w:t>
            </w:r>
          </w:p>
        </w:tc>
        <w:tc>
          <w:tcPr>
            <w:tcW w:w="2376" w:type="dxa"/>
            <w:tcBorders>
              <w:top w:val="single" w:sz="4" w:space="0" w:color="auto"/>
              <w:left w:val="single" w:sz="4" w:space="0" w:color="auto"/>
              <w:bottom w:val="single" w:sz="4" w:space="0" w:color="auto"/>
              <w:right w:val="single" w:sz="4" w:space="0" w:color="auto"/>
            </w:tcBorders>
            <w:vAlign w:val="center"/>
          </w:tcPr>
          <w:p w14:paraId="18E0101E" w14:textId="3957F9A8" w:rsidR="001B7AF5" w:rsidRPr="00543C89" w:rsidRDefault="00D105D1" w:rsidP="001B7AF5">
            <w:pPr>
              <w:jc w:val="right"/>
              <w:rPr>
                <w:rFonts w:cs="Arial"/>
                <w:szCs w:val="24"/>
              </w:rPr>
            </w:pPr>
            <w:r>
              <w:rPr>
                <w:rFonts w:cs="Arial"/>
                <w:szCs w:val="24"/>
              </w:rPr>
              <w:t>(316)</w:t>
            </w:r>
          </w:p>
        </w:tc>
        <w:tc>
          <w:tcPr>
            <w:tcW w:w="1701" w:type="dxa"/>
            <w:tcBorders>
              <w:top w:val="single" w:sz="4" w:space="0" w:color="auto"/>
              <w:left w:val="single" w:sz="4" w:space="0" w:color="auto"/>
              <w:bottom w:val="single" w:sz="4" w:space="0" w:color="auto"/>
              <w:right w:val="single" w:sz="4" w:space="0" w:color="auto"/>
            </w:tcBorders>
            <w:vAlign w:val="center"/>
          </w:tcPr>
          <w:p w14:paraId="66D711F5" w14:textId="4371B2FC" w:rsidR="001B7AF5" w:rsidRPr="00543C89" w:rsidRDefault="00D105D1" w:rsidP="001B7AF5">
            <w:pPr>
              <w:jc w:val="right"/>
              <w:rPr>
                <w:rFonts w:cs="Arial"/>
                <w:szCs w:val="24"/>
              </w:rPr>
            </w:pPr>
            <w:r>
              <w:rPr>
                <w:rFonts w:cs="Arial"/>
                <w:szCs w:val="24"/>
              </w:rPr>
              <w:t>6,184</w:t>
            </w:r>
          </w:p>
        </w:tc>
        <w:tc>
          <w:tcPr>
            <w:tcW w:w="2551" w:type="dxa"/>
            <w:tcBorders>
              <w:top w:val="single" w:sz="4" w:space="0" w:color="auto"/>
              <w:left w:val="single" w:sz="4" w:space="0" w:color="auto"/>
              <w:bottom w:val="single" w:sz="4" w:space="0" w:color="auto"/>
              <w:right w:val="single" w:sz="4" w:space="0" w:color="auto"/>
            </w:tcBorders>
            <w:vAlign w:val="center"/>
          </w:tcPr>
          <w:p w14:paraId="63D8D3A5" w14:textId="24B7A4C0" w:rsidR="001B7AF5" w:rsidRPr="00543C89" w:rsidRDefault="000424F2" w:rsidP="001B7AF5">
            <w:pPr>
              <w:jc w:val="right"/>
              <w:rPr>
                <w:rFonts w:cs="Arial"/>
                <w:szCs w:val="24"/>
              </w:rPr>
            </w:pPr>
            <w:r>
              <w:rPr>
                <w:rFonts w:cs="Arial"/>
                <w:szCs w:val="24"/>
              </w:rPr>
              <w:t>(375)</w:t>
            </w:r>
          </w:p>
        </w:tc>
        <w:tc>
          <w:tcPr>
            <w:tcW w:w="2694" w:type="dxa"/>
            <w:tcBorders>
              <w:top w:val="single" w:sz="4" w:space="0" w:color="auto"/>
              <w:left w:val="single" w:sz="4" w:space="0" w:color="auto"/>
              <w:bottom w:val="single" w:sz="4" w:space="0" w:color="auto"/>
              <w:right w:val="single" w:sz="4" w:space="0" w:color="auto"/>
            </w:tcBorders>
            <w:vAlign w:val="center"/>
          </w:tcPr>
          <w:p w14:paraId="103C5383" w14:textId="576D43D7" w:rsidR="001B7AF5" w:rsidRPr="00543C89" w:rsidRDefault="000424F2" w:rsidP="001B7AF5">
            <w:pPr>
              <w:jc w:val="right"/>
              <w:rPr>
                <w:rFonts w:cs="Arial"/>
                <w:szCs w:val="24"/>
              </w:rPr>
            </w:pPr>
            <w:r>
              <w:rPr>
                <w:rFonts w:cs="Arial"/>
                <w:szCs w:val="24"/>
              </w:rPr>
              <w:t>5,809</w:t>
            </w:r>
          </w:p>
        </w:tc>
      </w:tr>
      <w:tr w:rsidR="001B7AF5" w:rsidRPr="00543C89" w14:paraId="53D3CFC3" w14:textId="77777777" w:rsidTr="00233A66">
        <w:tc>
          <w:tcPr>
            <w:tcW w:w="3641" w:type="dxa"/>
            <w:tcBorders>
              <w:top w:val="single" w:sz="4" w:space="0" w:color="auto"/>
              <w:left w:val="single" w:sz="4" w:space="0" w:color="auto"/>
              <w:bottom w:val="single" w:sz="4" w:space="0" w:color="auto"/>
              <w:right w:val="single" w:sz="4" w:space="0" w:color="auto"/>
            </w:tcBorders>
          </w:tcPr>
          <w:p w14:paraId="7680DBD2" w14:textId="77777777" w:rsidR="001B7AF5" w:rsidRPr="00543C89" w:rsidRDefault="001B7AF5" w:rsidP="001B7AF5">
            <w:pPr>
              <w:rPr>
                <w:rFonts w:cs="Arial"/>
                <w:szCs w:val="24"/>
              </w:rPr>
            </w:pPr>
            <w:r w:rsidRPr="00543C89">
              <w:rPr>
                <w:rFonts w:cs="Arial"/>
                <w:szCs w:val="24"/>
              </w:rPr>
              <w:t>Firefighters Pensions</w:t>
            </w:r>
          </w:p>
        </w:tc>
        <w:tc>
          <w:tcPr>
            <w:tcW w:w="1735" w:type="dxa"/>
            <w:tcBorders>
              <w:top w:val="single" w:sz="4" w:space="0" w:color="auto"/>
              <w:left w:val="single" w:sz="4" w:space="0" w:color="auto"/>
              <w:bottom w:val="single" w:sz="4" w:space="0" w:color="auto"/>
              <w:right w:val="single" w:sz="4" w:space="0" w:color="auto"/>
            </w:tcBorders>
            <w:vAlign w:val="center"/>
          </w:tcPr>
          <w:p w14:paraId="487E047E" w14:textId="69E11B55" w:rsidR="001B7AF5" w:rsidRPr="00543C89" w:rsidRDefault="00CC4559" w:rsidP="001B7AF5">
            <w:pPr>
              <w:jc w:val="right"/>
              <w:rPr>
                <w:rFonts w:cs="Arial"/>
                <w:szCs w:val="24"/>
              </w:rPr>
            </w:pPr>
            <w:r>
              <w:rPr>
                <w:rFonts w:cs="Arial"/>
                <w:szCs w:val="24"/>
              </w:rPr>
              <w:t>2,176</w:t>
            </w:r>
          </w:p>
        </w:tc>
        <w:tc>
          <w:tcPr>
            <w:tcW w:w="2376" w:type="dxa"/>
            <w:tcBorders>
              <w:top w:val="single" w:sz="4" w:space="0" w:color="auto"/>
              <w:left w:val="single" w:sz="4" w:space="0" w:color="auto"/>
              <w:bottom w:val="single" w:sz="4" w:space="0" w:color="auto"/>
              <w:right w:val="single" w:sz="4" w:space="0" w:color="auto"/>
            </w:tcBorders>
            <w:vAlign w:val="center"/>
          </w:tcPr>
          <w:p w14:paraId="257F43B2" w14:textId="7F1183E2" w:rsidR="001B7AF5" w:rsidRPr="00543C89" w:rsidRDefault="00D105D1" w:rsidP="001B7AF5">
            <w:pPr>
              <w:jc w:val="right"/>
              <w:rPr>
                <w:rFonts w:cs="Arial"/>
                <w:szCs w:val="24"/>
              </w:rPr>
            </w:pPr>
            <w:r>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1E54C90D" w14:textId="07E97AFD" w:rsidR="001B7AF5" w:rsidRPr="00543C89" w:rsidRDefault="00D105D1" w:rsidP="001B7AF5">
            <w:pPr>
              <w:jc w:val="right"/>
              <w:rPr>
                <w:rFonts w:cs="Arial"/>
                <w:szCs w:val="24"/>
              </w:rPr>
            </w:pPr>
            <w:r>
              <w:rPr>
                <w:rFonts w:cs="Arial"/>
                <w:szCs w:val="24"/>
              </w:rPr>
              <w:t>2,176</w:t>
            </w:r>
          </w:p>
        </w:tc>
        <w:tc>
          <w:tcPr>
            <w:tcW w:w="2551" w:type="dxa"/>
            <w:tcBorders>
              <w:top w:val="single" w:sz="4" w:space="0" w:color="auto"/>
              <w:left w:val="single" w:sz="4" w:space="0" w:color="auto"/>
              <w:bottom w:val="single" w:sz="4" w:space="0" w:color="auto"/>
              <w:right w:val="single" w:sz="4" w:space="0" w:color="auto"/>
            </w:tcBorders>
            <w:vAlign w:val="center"/>
          </w:tcPr>
          <w:p w14:paraId="35B1B2D8" w14:textId="3438297A" w:rsidR="001B7AF5" w:rsidRPr="00543C89" w:rsidRDefault="000424F2" w:rsidP="001B7AF5">
            <w:pPr>
              <w:jc w:val="right"/>
              <w:rPr>
                <w:rFonts w:cs="Arial"/>
                <w:szCs w:val="24"/>
              </w:rPr>
            </w:pPr>
            <w:r>
              <w:rPr>
                <w:rFonts w:cs="Arial"/>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7D26C801" w14:textId="62FE4216" w:rsidR="001B7AF5" w:rsidRPr="00543C89" w:rsidRDefault="000424F2" w:rsidP="001B7AF5">
            <w:pPr>
              <w:jc w:val="right"/>
              <w:rPr>
                <w:rFonts w:cs="Arial"/>
                <w:szCs w:val="24"/>
              </w:rPr>
            </w:pPr>
            <w:r>
              <w:rPr>
                <w:rFonts w:cs="Arial"/>
                <w:szCs w:val="24"/>
              </w:rPr>
              <w:t>2,176</w:t>
            </w:r>
          </w:p>
        </w:tc>
      </w:tr>
      <w:tr w:rsidR="001B7AF5" w:rsidRPr="00543C89" w14:paraId="51E01BF6" w14:textId="77777777" w:rsidTr="00233A66">
        <w:tc>
          <w:tcPr>
            <w:tcW w:w="3641" w:type="dxa"/>
            <w:tcBorders>
              <w:top w:val="single" w:sz="4" w:space="0" w:color="auto"/>
              <w:left w:val="single" w:sz="4" w:space="0" w:color="auto"/>
              <w:bottom w:val="single" w:sz="4" w:space="0" w:color="auto"/>
              <w:right w:val="single" w:sz="4" w:space="0" w:color="auto"/>
            </w:tcBorders>
          </w:tcPr>
          <w:p w14:paraId="7FD6605A" w14:textId="77777777" w:rsidR="001B7AF5" w:rsidRPr="00543C89" w:rsidRDefault="001B7AF5" w:rsidP="001B7AF5">
            <w:pPr>
              <w:rPr>
                <w:rFonts w:cs="Arial"/>
                <w:szCs w:val="24"/>
              </w:rPr>
            </w:pPr>
            <w:r w:rsidRPr="00543C89">
              <w:rPr>
                <w:rFonts w:cs="Arial"/>
                <w:szCs w:val="24"/>
              </w:rPr>
              <w:t>Overheads</w:t>
            </w:r>
          </w:p>
        </w:tc>
        <w:tc>
          <w:tcPr>
            <w:tcW w:w="1735" w:type="dxa"/>
            <w:tcBorders>
              <w:top w:val="single" w:sz="4" w:space="0" w:color="auto"/>
              <w:left w:val="single" w:sz="4" w:space="0" w:color="auto"/>
              <w:bottom w:val="single" w:sz="4" w:space="0" w:color="auto"/>
              <w:right w:val="single" w:sz="4" w:space="0" w:color="auto"/>
            </w:tcBorders>
            <w:vAlign w:val="center"/>
          </w:tcPr>
          <w:p w14:paraId="5E3B47D7" w14:textId="552D4BC0" w:rsidR="001B7AF5" w:rsidRPr="00543C89" w:rsidRDefault="00CC4559" w:rsidP="001B7AF5">
            <w:pPr>
              <w:jc w:val="right"/>
              <w:rPr>
                <w:rFonts w:cs="Arial"/>
                <w:szCs w:val="24"/>
              </w:rPr>
            </w:pPr>
            <w:r>
              <w:rPr>
                <w:rFonts w:cs="Arial"/>
                <w:szCs w:val="24"/>
              </w:rPr>
              <w:t>896</w:t>
            </w:r>
          </w:p>
        </w:tc>
        <w:tc>
          <w:tcPr>
            <w:tcW w:w="2376" w:type="dxa"/>
            <w:tcBorders>
              <w:top w:val="single" w:sz="4" w:space="0" w:color="auto"/>
              <w:left w:val="single" w:sz="4" w:space="0" w:color="auto"/>
              <w:bottom w:val="single" w:sz="4" w:space="0" w:color="auto"/>
              <w:right w:val="single" w:sz="4" w:space="0" w:color="auto"/>
            </w:tcBorders>
            <w:vAlign w:val="center"/>
          </w:tcPr>
          <w:p w14:paraId="233FF9B8" w14:textId="3E6E46FE" w:rsidR="001B7AF5" w:rsidRPr="00543C89" w:rsidRDefault="00D105D1" w:rsidP="001B7AF5">
            <w:pPr>
              <w:jc w:val="right"/>
              <w:rPr>
                <w:rFonts w:cs="Arial"/>
                <w:szCs w:val="24"/>
              </w:rPr>
            </w:pPr>
            <w:r>
              <w:rPr>
                <w:rFonts w:cs="Arial"/>
                <w:szCs w:val="24"/>
              </w:rPr>
              <w:t>2,415</w:t>
            </w:r>
          </w:p>
        </w:tc>
        <w:tc>
          <w:tcPr>
            <w:tcW w:w="1701" w:type="dxa"/>
            <w:tcBorders>
              <w:top w:val="single" w:sz="4" w:space="0" w:color="auto"/>
              <w:left w:val="single" w:sz="4" w:space="0" w:color="auto"/>
              <w:bottom w:val="single" w:sz="4" w:space="0" w:color="auto"/>
              <w:right w:val="single" w:sz="4" w:space="0" w:color="auto"/>
            </w:tcBorders>
            <w:vAlign w:val="center"/>
          </w:tcPr>
          <w:p w14:paraId="685BCFEC" w14:textId="55F19FFB" w:rsidR="001B7AF5" w:rsidRPr="00543C89" w:rsidRDefault="00D105D1" w:rsidP="001B7AF5">
            <w:pPr>
              <w:jc w:val="right"/>
              <w:rPr>
                <w:rFonts w:cs="Arial"/>
                <w:szCs w:val="24"/>
              </w:rPr>
            </w:pPr>
            <w:r>
              <w:rPr>
                <w:rFonts w:cs="Arial"/>
                <w:szCs w:val="24"/>
              </w:rPr>
              <w:t>3,311</w:t>
            </w:r>
          </w:p>
        </w:tc>
        <w:tc>
          <w:tcPr>
            <w:tcW w:w="2551" w:type="dxa"/>
            <w:tcBorders>
              <w:top w:val="single" w:sz="4" w:space="0" w:color="auto"/>
              <w:left w:val="single" w:sz="4" w:space="0" w:color="auto"/>
              <w:bottom w:val="single" w:sz="4" w:space="0" w:color="auto"/>
              <w:right w:val="single" w:sz="4" w:space="0" w:color="auto"/>
            </w:tcBorders>
            <w:vAlign w:val="center"/>
          </w:tcPr>
          <w:p w14:paraId="254486E6" w14:textId="0D537564" w:rsidR="001B7AF5" w:rsidRPr="00543C89" w:rsidRDefault="000424F2" w:rsidP="001B7AF5">
            <w:pPr>
              <w:jc w:val="right"/>
              <w:rPr>
                <w:rFonts w:cs="Arial"/>
                <w:szCs w:val="24"/>
              </w:rPr>
            </w:pPr>
            <w:r>
              <w:rPr>
                <w:rFonts w:cs="Arial"/>
                <w:szCs w:val="24"/>
              </w:rPr>
              <w:t>2,</w:t>
            </w:r>
            <w:r w:rsidR="00CD2E8D">
              <w:rPr>
                <w:rFonts w:cs="Arial"/>
                <w:szCs w:val="24"/>
              </w:rPr>
              <w:t>593</w:t>
            </w:r>
          </w:p>
        </w:tc>
        <w:tc>
          <w:tcPr>
            <w:tcW w:w="2694" w:type="dxa"/>
            <w:tcBorders>
              <w:top w:val="single" w:sz="4" w:space="0" w:color="auto"/>
              <w:left w:val="single" w:sz="4" w:space="0" w:color="auto"/>
              <w:bottom w:val="single" w:sz="4" w:space="0" w:color="auto"/>
              <w:right w:val="single" w:sz="4" w:space="0" w:color="auto"/>
            </w:tcBorders>
            <w:vAlign w:val="center"/>
          </w:tcPr>
          <w:p w14:paraId="50F7EA30" w14:textId="11D1BF6E" w:rsidR="001B7AF5" w:rsidRPr="00543C89" w:rsidRDefault="000424F2" w:rsidP="001B7AF5">
            <w:pPr>
              <w:jc w:val="right"/>
              <w:rPr>
                <w:rFonts w:cs="Arial"/>
                <w:szCs w:val="24"/>
              </w:rPr>
            </w:pPr>
            <w:r>
              <w:rPr>
                <w:rFonts w:cs="Arial"/>
                <w:szCs w:val="24"/>
              </w:rPr>
              <w:t>5,9</w:t>
            </w:r>
            <w:r w:rsidR="00EA07D4">
              <w:rPr>
                <w:rFonts w:cs="Arial"/>
                <w:szCs w:val="24"/>
              </w:rPr>
              <w:t>0</w:t>
            </w:r>
            <w:r>
              <w:rPr>
                <w:rFonts w:cs="Arial"/>
                <w:szCs w:val="24"/>
              </w:rPr>
              <w:t>4</w:t>
            </w:r>
          </w:p>
        </w:tc>
      </w:tr>
      <w:tr w:rsidR="001B7AF5" w:rsidRPr="00543C89" w14:paraId="6C23CD1E" w14:textId="77777777" w:rsidTr="00233A66">
        <w:tc>
          <w:tcPr>
            <w:tcW w:w="3641" w:type="dxa"/>
            <w:tcBorders>
              <w:top w:val="single" w:sz="4" w:space="0" w:color="auto"/>
              <w:left w:val="single" w:sz="4" w:space="0" w:color="auto"/>
              <w:bottom w:val="single" w:sz="4" w:space="0" w:color="auto"/>
              <w:right w:val="single" w:sz="4" w:space="0" w:color="auto"/>
            </w:tcBorders>
          </w:tcPr>
          <w:p w14:paraId="54F5F673" w14:textId="77777777" w:rsidR="001B7AF5" w:rsidRPr="00543C89" w:rsidRDefault="001B7AF5" w:rsidP="001B7AF5">
            <w:pPr>
              <w:rPr>
                <w:rFonts w:cs="Arial"/>
                <w:b/>
                <w:szCs w:val="24"/>
              </w:rPr>
            </w:pPr>
            <w:r w:rsidRPr="00543C89">
              <w:rPr>
                <w:rFonts w:cs="Arial"/>
                <w:b/>
                <w:szCs w:val="24"/>
              </w:rPr>
              <w:t>Net cost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7AFC8585" w14:textId="0F2675D0" w:rsidR="001B7AF5" w:rsidRPr="00543C89" w:rsidRDefault="006572C9" w:rsidP="001B7AF5">
            <w:pPr>
              <w:jc w:val="right"/>
              <w:rPr>
                <w:rFonts w:cs="Arial"/>
                <w:b/>
                <w:bCs/>
                <w:szCs w:val="24"/>
              </w:rPr>
            </w:pPr>
            <w:r>
              <w:rPr>
                <w:rFonts w:cs="Arial"/>
                <w:b/>
                <w:bCs/>
                <w:szCs w:val="24"/>
              </w:rPr>
              <w:t>77,247</w:t>
            </w:r>
          </w:p>
        </w:tc>
        <w:tc>
          <w:tcPr>
            <w:tcW w:w="2376" w:type="dxa"/>
            <w:tcBorders>
              <w:top w:val="single" w:sz="4" w:space="0" w:color="auto"/>
              <w:left w:val="single" w:sz="4" w:space="0" w:color="auto"/>
              <w:bottom w:val="single" w:sz="4" w:space="0" w:color="auto"/>
              <w:right w:val="single" w:sz="4" w:space="0" w:color="auto"/>
            </w:tcBorders>
            <w:vAlign w:val="center"/>
          </w:tcPr>
          <w:p w14:paraId="449B4729" w14:textId="087457DD" w:rsidR="001B7AF5" w:rsidRPr="00543C89" w:rsidRDefault="00D105D1" w:rsidP="001B7AF5">
            <w:pPr>
              <w:jc w:val="right"/>
              <w:rPr>
                <w:rFonts w:cs="Arial"/>
                <w:b/>
                <w:bCs/>
                <w:szCs w:val="24"/>
              </w:rPr>
            </w:pPr>
            <w:r>
              <w:rPr>
                <w:rFonts w:cs="Arial"/>
                <w:b/>
                <w:bCs/>
                <w:szCs w:val="24"/>
              </w:rPr>
              <w:t>1,426</w:t>
            </w:r>
          </w:p>
        </w:tc>
        <w:tc>
          <w:tcPr>
            <w:tcW w:w="1701" w:type="dxa"/>
            <w:tcBorders>
              <w:top w:val="single" w:sz="4" w:space="0" w:color="auto"/>
              <w:left w:val="single" w:sz="4" w:space="0" w:color="auto"/>
              <w:bottom w:val="single" w:sz="4" w:space="0" w:color="auto"/>
              <w:right w:val="single" w:sz="4" w:space="0" w:color="auto"/>
            </w:tcBorders>
            <w:vAlign w:val="center"/>
          </w:tcPr>
          <w:p w14:paraId="1405D5E0" w14:textId="7BDCDAC1" w:rsidR="001B7AF5" w:rsidRPr="00543C89" w:rsidRDefault="00D105D1" w:rsidP="001B7AF5">
            <w:pPr>
              <w:jc w:val="right"/>
              <w:rPr>
                <w:rFonts w:cs="Arial"/>
                <w:b/>
                <w:bCs/>
                <w:szCs w:val="24"/>
              </w:rPr>
            </w:pPr>
            <w:r>
              <w:rPr>
                <w:rFonts w:cs="Arial"/>
                <w:b/>
                <w:bCs/>
                <w:szCs w:val="24"/>
              </w:rPr>
              <w:t>78,673</w:t>
            </w:r>
          </w:p>
        </w:tc>
        <w:tc>
          <w:tcPr>
            <w:tcW w:w="2551" w:type="dxa"/>
            <w:tcBorders>
              <w:top w:val="single" w:sz="4" w:space="0" w:color="auto"/>
              <w:left w:val="single" w:sz="4" w:space="0" w:color="auto"/>
              <w:bottom w:val="single" w:sz="4" w:space="0" w:color="auto"/>
              <w:right w:val="single" w:sz="4" w:space="0" w:color="auto"/>
            </w:tcBorders>
            <w:vAlign w:val="center"/>
          </w:tcPr>
          <w:p w14:paraId="3EEAAE05" w14:textId="7482C265" w:rsidR="001B7AF5" w:rsidRPr="00543C89" w:rsidRDefault="000424F2" w:rsidP="001B7AF5">
            <w:pPr>
              <w:jc w:val="right"/>
              <w:rPr>
                <w:rFonts w:cs="Arial"/>
                <w:b/>
                <w:bCs/>
                <w:szCs w:val="24"/>
              </w:rPr>
            </w:pPr>
            <w:r>
              <w:rPr>
                <w:rFonts w:cs="Arial"/>
                <w:b/>
                <w:bCs/>
                <w:szCs w:val="24"/>
              </w:rPr>
              <w:t>(27,0</w:t>
            </w:r>
            <w:r w:rsidR="00EA07D4">
              <w:rPr>
                <w:rFonts w:cs="Arial"/>
                <w:b/>
                <w:bCs/>
                <w:szCs w:val="24"/>
              </w:rPr>
              <w:t>72</w:t>
            </w:r>
            <w:r>
              <w:rPr>
                <w:rFonts w:cs="Arial"/>
                <w:b/>
                <w:bCs/>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14:paraId="4C22BFC5" w14:textId="605C1027" w:rsidR="001B7AF5" w:rsidRPr="00543C89" w:rsidRDefault="000424F2" w:rsidP="001B7AF5">
            <w:pPr>
              <w:jc w:val="right"/>
              <w:rPr>
                <w:rFonts w:cs="Arial"/>
                <w:b/>
                <w:szCs w:val="24"/>
              </w:rPr>
            </w:pPr>
            <w:r>
              <w:rPr>
                <w:rFonts w:cs="Arial"/>
                <w:b/>
                <w:szCs w:val="24"/>
              </w:rPr>
              <w:t>51,6</w:t>
            </w:r>
            <w:r w:rsidR="00EE6E47">
              <w:rPr>
                <w:rFonts w:cs="Arial"/>
                <w:b/>
                <w:szCs w:val="24"/>
              </w:rPr>
              <w:t>0</w:t>
            </w:r>
            <w:r>
              <w:rPr>
                <w:rFonts w:cs="Arial"/>
                <w:b/>
                <w:szCs w:val="24"/>
              </w:rPr>
              <w:t>1</w:t>
            </w:r>
          </w:p>
        </w:tc>
      </w:tr>
      <w:tr w:rsidR="001B7AF5" w:rsidRPr="00543C89" w14:paraId="509D79A1" w14:textId="77777777" w:rsidTr="00233A66">
        <w:tc>
          <w:tcPr>
            <w:tcW w:w="3641" w:type="dxa"/>
            <w:tcBorders>
              <w:top w:val="single" w:sz="4" w:space="0" w:color="auto"/>
              <w:left w:val="single" w:sz="4" w:space="0" w:color="auto"/>
              <w:bottom w:val="single" w:sz="4" w:space="0" w:color="auto"/>
              <w:right w:val="single" w:sz="4" w:space="0" w:color="auto"/>
            </w:tcBorders>
          </w:tcPr>
          <w:p w14:paraId="61B0E513" w14:textId="77777777" w:rsidR="001B7AF5" w:rsidRPr="00543C89" w:rsidRDefault="001B7AF5" w:rsidP="001B7AF5">
            <w:pPr>
              <w:rPr>
                <w:rFonts w:cs="Arial"/>
                <w:szCs w:val="24"/>
              </w:rPr>
            </w:pPr>
            <w:r w:rsidRPr="00543C89">
              <w:rPr>
                <w:rFonts w:cs="Arial"/>
                <w:szCs w:val="24"/>
              </w:rPr>
              <w:t>Other income and expenditure</w:t>
            </w:r>
          </w:p>
        </w:tc>
        <w:tc>
          <w:tcPr>
            <w:tcW w:w="1735" w:type="dxa"/>
            <w:tcBorders>
              <w:top w:val="single" w:sz="4" w:space="0" w:color="auto"/>
              <w:left w:val="single" w:sz="4" w:space="0" w:color="auto"/>
              <w:bottom w:val="single" w:sz="4" w:space="0" w:color="auto"/>
              <w:right w:val="single" w:sz="4" w:space="0" w:color="auto"/>
            </w:tcBorders>
            <w:vAlign w:val="center"/>
          </w:tcPr>
          <w:p w14:paraId="5A50E65D" w14:textId="5D91FF16" w:rsidR="001B7AF5" w:rsidRPr="00543C89" w:rsidRDefault="006572C9" w:rsidP="001B7AF5">
            <w:pPr>
              <w:jc w:val="right"/>
              <w:rPr>
                <w:rFonts w:cs="Arial"/>
                <w:szCs w:val="24"/>
              </w:rPr>
            </w:pPr>
            <w:r>
              <w:rPr>
                <w:rFonts w:cs="Arial"/>
                <w:szCs w:val="24"/>
              </w:rPr>
              <w:t>(7</w:t>
            </w:r>
            <w:r w:rsidR="00E343A8">
              <w:rPr>
                <w:rFonts w:cs="Arial"/>
                <w:szCs w:val="24"/>
              </w:rPr>
              <w:t>7</w:t>
            </w:r>
            <w:r>
              <w:rPr>
                <w:rFonts w:cs="Arial"/>
                <w:szCs w:val="24"/>
              </w:rPr>
              <w:t>,</w:t>
            </w:r>
            <w:r w:rsidR="00E343A8">
              <w:rPr>
                <w:rFonts w:cs="Arial"/>
                <w:szCs w:val="24"/>
              </w:rPr>
              <w:t>581</w:t>
            </w:r>
            <w:r>
              <w:rPr>
                <w:rFonts w:cs="Arial"/>
                <w:szCs w:val="24"/>
              </w:rPr>
              <w:t>)</w:t>
            </w:r>
          </w:p>
        </w:tc>
        <w:tc>
          <w:tcPr>
            <w:tcW w:w="2376" w:type="dxa"/>
            <w:tcBorders>
              <w:top w:val="single" w:sz="4" w:space="0" w:color="auto"/>
              <w:left w:val="single" w:sz="4" w:space="0" w:color="auto"/>
              <w:bottom w:val="single" w:sz="4" w:space="0" w:color="auto"/>
              <w:right w:val="single" w:sz="4" w:space="0" w:color="auto"/>
            </w:tcBorders>
            <w:vAlign w:val="center"/>
          </w:tcPr>
          <w:p w14:paraId="6CA25D2B" w14:textId="68C6EB98" w:rsidR="001B7AF5" w:rsidRPr="00543C89" w:rsidRDefault="00E343A8" w:rsidP="001B7AF5">
            <w:pPr>
              <w:jc w:val="right"/>
              <w:rPr>
                <w:rFonts w:cs="Arial"/>
                <w:szCs w:val="24"/>
              </w:rPr>
            </w:pPr>
            <w:r>
              <w:rPr>
                <w:rFonts w:cs="Arial"/>
                <w:szCs w:val="24"/>
              </w:rPr>
              <w:t>(789)</w:t>
            </w:r>
          </w:p>
        </w:tc>
        <w:tc>
          <w:tcPr>
            <w:tcW w:w="1701" w:type="dxa"/>
            <w:tcBorders>
              <w:top w:val="single" w:sz="4" w:space="0" w:color="auto"/>
              <w:left w:val="single" w:sz="4" w:space="0" w:color="auto"/>
              <w:bottom w:val="single" w:sz="4" w:space="0" w:color="auto"/>
              <w:right w:val="single" w:sz="4" w:space="0" w:color="auto"/>
            </w:tcBorders>
            <w:vAlign w:val="center"/>
          </w:tcPr>
          <w:p w14:paraId="2BDD1D3A" w14:textId="11B6E648" w:rsidR="001B7AF5" w:rsidRPr="00543C89" w:rsidRDefault="00D105D1" w:rsidP="001B7AF5">
            <w:pPr>
              <w:jc w:val="right"/>
              <w:rPr>
                <w:rFonts w:cs="Arial"/>
                <w:szCs w:val="24"/>
              </w:rPr>
            </w:pPr>
            <w:r>
              <w:rPr>
                <w:rFonts w:cs="Arial"/>
                <w:szCs w:val="24"/>
              </w:rPr>
              <w:t>(78,370)</w:t>
            </w:r>
          </w:p>
        </w:tc>
        <w:tc>
          <w:tcPr>
            <w:tcW w:w="2551" w:type="dxa"/>
            <w:tcBorders>
              <w:top w:val="single" w:sz="4" w:space="0" w:color="auto"/>
              <w:left w:val="single" w:sz="4" w:space="0" w:color="auto"/>
              <w:bottom w:val="single" w:sz="4" w:space="0" w:color="auto"/>
              <w:right w:val="single" w:sz="4" w:space="0" w:color="auto"/>
            </w:tcBorders>
            <w:vAlign w:val="center"/>
          </w:tcPr>
          <w:p w14:paraId="5CB71568" w14:textId="1F8D649B" w:rsidR="001B7AF5" w:rsidRPr="00543C89" w:rsidRDefault="000424F2" w:rsidP="001B7AF5">
            <w:pPr>
              <w:jc w:val="right"/>
              <w:rPr>
                <w:rFonts w:cs="Arial"/>
                <w:szCs w:val="24"/>
              </w:rPr>
            </w:pPr>
            <w:r>
              <w:rPr>
                <w:rFonts w:cs="Arial"/>
                <w:szCs w:val="24"/>
              </w:rPr>
              <w:t>29,603</w:t>
            </w:r>
          </w:p>
        </w:tc>
        <w:tc>
          <w:tcPr>
            <w:tcW w:w="2694" w:type="dxa"/>
            <w:tcBorders>
              <w:top w:val="single" w:sz="4" w:space="0" w:color="auto"/>
              <w:left w:val="single" w:sz="4" w:space="0" w:color="auto"/>
              <w:bottom w:val="single" w:sz="4" w:space="0" w:color="auto"/>
              <w:right w:val="single" w:sz="4" w:space="0" w:color="auto"/>
            </w:tcBorders>
            <w:vAlign w:val="center"/>
          </w:tcPr>
          <w:p w14:paraId="76BD20BA" w14:textId="321F3E87" w:rsidR="001B7AF5" w:rsidRPr="00543C89" w:rsidRDefault="000424F2" w:rsidP="001B7AF5">
            <w:pPr>
              <w:jc w:val="right"/>
              <w:rPr>
                <w:rFonts w:cs="Arial"/>
                <w:szCs w:val="24"/>
              </w:rPr>
            </w:pPr>
            <w:r>
              <w:rPr>
                <w:rFonts w:cs="Arial"/>
                <w:szCs w:val="24"/>
              </w:rPr>
              <w:t>(48,767)</w:t>
            </w:r>
          </w:p>
        </w:tc>
      </w:tr>
      <w:tr w:rsidR="001B7AF5" w:rsidRPr="00543C89" w14:paraId="1AE897AF" w14:textId="77777777" w:rsidTr="00233A66">
        <w:tc>
          <w:tcPr>
            <w:tcW w:w="3641" w:type="dxa"/>
            <w:tcBorders>
              <w:top w:val="single" w:sz="4" w:space="0" w:color="auto"/>
              <w:left w:val="single" w:sz="4" w:space="0" w:color="auto"/>
              <w:bottom w:val="single" w:sz="4" w:space="0" w:color="auto"/>
              <w:right w:val="single" w:sz="4" w:space="0" w:color="auto"/>
            </w:tcBorders>
          </w:tcPr>
          <w:p w14:paraId="6EA3E1DA" w14:textId="6E06ACD9" w:rsidR="001B7AF5" w:rsidRPr="00543C89" w:rsidRDefault="001B7AF5" w:rsidP="001B7AF5">
            <w:pPr>
              <w:rPr>
                <w:rFonts w:cs="Arial"/>
                <w:b/>
                <w:szCs w:val="24"/>
              </w:rPr>
            </w:pPr>
            <w:r w:rsidRPr="00543C89">
              <w:rPr>
                <w:rFonts w:cs="Arial"/>
                <w:b/>
                <w:szCs w:val="24"/>
              </w:rPr>
              <w:t>(Surplus)</w:t>
            </w:r>
            <w:r w:rsidR="007E0E1E">
              <w:rPr>
                <w:rFonts w:cs="Arial"/>
                <w:b/>
                <w:szCs w:val="24"/>
              </w:rPr>
              <w:t xml:space="preserve"> or d</w:t>
            </w:r>
            <w:r w:rsidRPr="00543C89">
              <w:rPr>
                <w:rFonts w:cs="Arial"/>
                <w:b/>
                <w:szCs w:val="24"/>
              </w:rPr>
              <w:t>eficit on provision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201C5DE9" w14:textId="1C23125E" w:rsidR="001B7AF5" w:rsidRPr="00543C89" w:rsidRDefault="006572C9" w:rsidP="001B7AF5">
            <w:pPr>
              <w:jc w:val="right"/>
              <w:rPr>
                <w:rFonts w:cs="Arial"/>
                <w:b/>
                <w:bCs/>
                <w:szCs w:val="24"/>
              </w:rPr>
            </w:pPr>
            <w:r>
              <w:rPr>
                <w:rFonts w:cs="Arial"/>
                <w:b/>
                <w:bCs/>
                <w:szCs w:val="24"/>
              </w:rPr>
              <w:t>(</w:t>
            </w:r>
            <w:r w:rsidR="00E343A8">
              <w:rPr>
                <w:rFonts w:cs="Arial"/>
                <w:b/>
                <w:bCs/>
                <w:szCs w:val="24"/>
              </w:rPr>
              <w:t>335</w:t>
            </w:r>
            <w:r>
              <w:rPr>
                <w:rFonts w:cs="Arial"/>
                <w:b/>
                <w:bCs/>
                <w:szCs w:val="24"/>
              </w:rPr>
              <w:t>)</w:t>
            </w:r>
          </w:p>
        </w:tc>
        <w:tc>
          <w:tcPr>
            <w:tcW w:w="2376" w:type="dxa"/>
            <w:tcBorders>
              <w:top w:val="single" w:sz="4" w:space="0" w:color="auto"/>
              <w:left w:val="single" w:sz="4" w:space="0" w:color="auto"/>
              <w:bottom w:val="single" w:sz="4" w:space="0" w:color="auto"/>
              <w:right w:val="single" w:sz="4" w:space="0" w:color="auto"/>
            </w:tcBorders>
            <w:vAlign w:val="center"/>
          </w:tcPr>
          <w:p w14:paraId="7B4B74E7" w14:textId="1878B542" w:rsidR="001B7AF5" w:rsidRPr="00543C89" w:rsidRDefault="00E343A8" w:rsidP="001B7AF5">
            <w:pPr>
              <w:jc w:val="right"/>
              <w:rPr>
                <w:rFonts w:cs="Arial"/>
                <w:b/>
                <w:bCs/>
                <w:szCs w:val="24"/>
              </w:rPr>
            </w:pPr>
            <w:r>
              <w:rPr>
                <w:rFonts w:cs="Arial"/>
                <w:b/>
                <w:bCs/>
                <w:szCs w:val="24"/>
              </w:rPr>
              <w:t>637</w:t>
            </w:r>
          </w:p>
        </w:tc>
        <w:tc>
          <w:tcPr>
            <w:tcW w:w="1701" w:type="dxa"/>
            <w:tcBorders>
              <w:top w:val="single" w:sz="4" w:space="0" w:color="auto"/>
              <w:left w:val="single" w:sz="4" w:space="0" w:color="auto"/>
              <w:bottom w:val="single" w:sz="4" w:space="0" w:color="auto"/>
              <w:right w:val="single" w:sz="4" w:space="0" w:color="auto"/>
            </w:tcBorders>
            <w:vAlign w:val="center"/>
          </w:tcPr>
          <w:p w14:paraId="18D0CA24" w14:textId="252147E6" w:rsidR="001B7AF5" w:rsidRPr="00543C89" w:rsidRDefault="00D105D1" w:rsidP="001B7AF5">
            <w:pPr>
              <w:jc w:val="right"/>
              <w:rPr>
                <w:rFonts w:cs="Arial"/>
                <w:b/>
                <w:bCs/>
                <w:szCs w:val="24"/>
              </w:rPr>
            </w:pPr>
            <w:r>
              <w:rPr>
                <w:rFonts w:cs="Arial"/>
                <w:b/>
                <w:bCs/>
                <w:szCs w:val="24"/>
              </w:rPr>
              <w:t>302</w:t>
            </w:r>
          </w:p>
        </w:tc>
        <w:tc>
          <w:tcPr>
            <w:tcW w:w="2551" w:type="dxa"/>
            <w:tcBorders>
              <w:top w:val="single" w:sz="4" w:space="0" w:color="auto"/>
              <w:left w:val="single" w:sz="4" w:space="0" w:color="auto"/>
              <w:bottom w:val="single" w:sz="4" w:space="0" w:color="auto"/>
              <w:right w:val="single" w:sz="4" w:space="0" w:color="auto"/>
            </w:tcBorders>
            <w:vAlign w:val="center"/>
          </w:tcPr>
          <w:p w14:paraId="1CE7833F" w14:textId="75EE9C46" w:rsidR="001B7AF5" w:rsidRPr="00543C89" w:rsidRDefault="000424F2" w:rsidP="001B7AF5">
            <w:pPr>
              <w:jc w:val="right"/>
              <w:rPr>
                <w:rFonts w:cs="Arial"/>
                <w:b/>
                <w:bCs/>
                <w:szCs w:val="24"/>
              </w:rPr>
            </w:pPr>
            <w:r>
              <w:rPr>
                <w:rFonts w:cs="Arial"/>
                <w:b/>
                <w:bCs/>
                <w:szCs w:val="24"/>
              </w:rPr>
              <w:t>2,5</w:t>
            </w:r>
            <w:r w:rsidR="00EA07D4">
              <w:rPr>
                <w:rFonts w:cs="Arial"/>
                <w:b/>
                <w:bCs/>
                <w:szCs w:val="24"/>
              </w:rPr>
              <w:t>31</w:t>
            </w:r>
          </w:p>
        </w:tc>
        <w:tc>
          <w:tcPr>
            <w:tcW w:w="2694" w:type="dxa"/>
            <w:tcBorders>
              <w:top w:val="single" w:sz="4" w:space="0" w:color="auto"/>
              <w:left w:val="single" w:sz="4" w:space="0" w:color="auto"/>
              <w:bottom w:val="single" w:sz="4" w:space="0" w:color="auto"/>
              <w:right w:val="single" w:sz="4" w:space="0" w:color="auto"/>
            </w:tcBorders>
            <w:vAlign w:val="center"/>
          </w:tcPr>
          <w:p w14:paraId="78A2DC41" w14:textId="14908412" w:rsidR="001B7AF5" w:rsidRPr="00543C89" w:rsidRDefault="000424F2" w:rsidP="001B7AF5">
            <w:pPr>
              <w:jc w:val="right"/>
              <w:rPr>
                <w:rFonts w:cs="Arial"/>
                <w:b/>
                <w:szCs w:val="24"/>
              </w:rPr>
            </w:pPr>
            <w:r>
              <w:rPr>
                <w:rFonts w:cs="Arial"/>
                <w:b/>
                <w:szCs w:val="24"/>
              </w:rPr>
              <w:t>2,8</w:t>
            </w:r>
            <w:r w:rsidR="00EE6E47">
              <w:rPr>
                <w:rFonts w:cs="Arial"/>
                <w:b/>
                <w:szCs w:val="24"/>
              </w:rPr>
              <w:t>3</w:t>
            </w:r>
            <w:r>
              <w:rPr>
                <w:rFonts w:cs="Arial"/>
                <w:b/>
                <w:szCs w:val="24"/>
              </w:rPr>
              <w:t>4</w:t>
            </w:r>
          </w:p>
        </w:tc>
      </w:tr>
    </w:tbl>
    <w:p w14:paraId="5E8A772F" w14:textId="77777777" w:rsidR="00DD2894" w:rsidRPr="00543C89" w:rsidRDefault="00DD2894"/>
    <w:tbl>
      <w:tblPr>
        <w:tblStyle w:val="TableGrid"/>
        <w:tblW w:w="9497" w:type="dxa"/>
        <w:tblInd w:w="704" w:type="dxa"/>
        <w:tblLayout w:type="fixed"/>
        <w:tblLook w:val="04A0" w:firstRow="1" w:lastRow="0" w:firstColumn="1" w:lastColumn="0" w:noHBand="0" w:noVBand="1"/>
      </w:tblPr>
      <w:tblGrid>
        <w:gridCol w:w="7796"/>
        <w:gridCol w:w="1701"/>
      </w:tblGrid>
      <w:tr w:rsidR="0005100D" w:rsidRPr="00543C89" w14:paraId="2563BCB2" w14:textId="77777777" w:rsidTr="00233A66">
        <w:tc>
          <w:tcPr>
            <w:tcW w:w="7796" w:type="dxa"/>
            <w:tcBorders>
              <w:top w:val="single" w:sz="4" w:space="0" w:color="auto"/>
              <w:left w:val="single" w:sz="4" w:space="0" w:color="auto"/>
              <w:bottom w:val="single" w:sz="4" w:space="0" w:color="auto"/>
              <w:right w:val="single" w:sz="4" w:space="0" w:color="auto"/>
            </w:tcBorders>
          </w:tcPr>
          <w:p w14:paraId="45ECB2EE" w14:textId="520BFDDC" w:rsidR="0005100D" w:rsidRPr="00543C89" w:rsidRDefault="00A13728">
            <w:pPr>
              <w:rPr>
                <w:rFonts w:cs="Arial"/>
                <w:b/>
                <w:bCs/>
                <w:szCs w:val="24"/>
              </w:rPr>
            </w:pPr>
            <w:r w:rsidRPr="00543C89">
              <w:rPr>
                <w:rFonts w:cs="Arial"/>
                <w:b/>
                <w:bCs/>
                <w:szCs w:val="24"/>
              </w:rPr>
              <w:t>Opening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24993A71" w14:textId="064F7805" w:rsidR="0005100D" w:rsidRPr="00543C89" w:rsidRDefault="00BF0806" w:rsidP="00A066AE">
            <w:pPr>
              <w:jc w:val="right"/>
              <w:rPr>
                <w:rFonts w:cs="Arial"/>
                <w:b/>
                <w:bCs/>
                <w:szCs w:val="24"/>
              </w:rPr>
            </w:pPr>
            <w:r w:rsidRPr="00543C89">
              <w:rPr>
                <w:rFonts w:cs="Arial"/>
                <w:b/>
                <w:bCs/>
                <w:szCs w:val="24"/>
              </w:rPr>
              <w:t>(</w:t>
            </w:r>
            <w:r>
              <w:rPr>
                <w:rFonts w:cs="Arial"/>
                <w:b/>
                <w:bCs/>
                <w:szCs w:val="24"/>
              </w:rPr>
              <w:t>35</w:t>
            </w:r>
            <w:r w:rsidRPr="00543C89">
              <w:rPr>
                <w:rFonts w:cs="Arial"/>
                <w:b/>
                <w:bCs/>
                <w:szCs w:val="24"/>
              </w:rPr>
              <w:t>,5</w:t>
            </w:r>
            <w:r>
              <w:rPr>
                <w:rFonts w:cs="Arial"/>
                <w:b/>
                <w:bCs/>
                <w:szCs w:val="24"/>
              </w:rPr>
              <w:t>7</w:t>
            </w:r>
            <w:r w:rsidRPr="00543C89">
              <w:rPr>
                <w:rFonts w:cs="Arial"/>
                <w:b/>
                <w:bCs/>
                <w:szCs w:val="24"/>
              </w:rPr>
              <w:t>6)</w:t>
            </w:r>
          </w:p>
        </w:tc>
      </w:tr>
      <w:tr w:rsidR="0005100D" w:rsidRPr="00543C89" w14:paraId="7CEC607C" w14:textId="77777777" w:rsidTr="00233A66">
        <w:tc>
          <w:tcPr>
            <w:tcW w:w="7796" w:type="dxa"/>
            <w:tcBorders>
              <w:top w:val="single" w:sz="4" w:space="0" w:color="auto"/>
              <w:left w:val="single" w:sz="4" w:space="0" w:color="auto"/>
              <w:bottom w:val="single" w:sz="4" w:space="0" w:color="auto"/>
              <w:right w:val="single" w:sz="4" w:space="0" w:color="auto"/>
            </w:tcBorders>
          </w:tcPr>
          <w:p w14:paraId="7E4AC29D" w14:textId="580AFDBC" w:rsidR="0005100D" w:rsidRPr="00543C89" w:rsidRDefault="0053650A">
            <w:pPr>
              <w:rPr>
                <w:rFonts w:cs="Arial"/>
                <w:szCs w:val="24"/>
              </w:rPr>
            </w:pPr>
            <w:r>
              <w:rPr>
                <w:rFonts w:cs="Arial"/>
                <w:szCs w:val="24"/>
              </w:rPr>
              <w:t>(</w:t>
            </w:r>
            <w:r w:rsidR="00A13728" w:rsidRPr="00543C89">
              <w:rPr>
                <w:rFonts w:cs="Arial"/>
                <w:szCs w:val="24"/>
              </w:rPr>
              <w:t>Surplus</w:t>
            </w:r>
            <w:r>
              <w:rPr>
                <w:rFonts w:cs="Arial"/>
                <w:szCs w:val="24"/>
              </w:rPr>
              <w:t>)</w:t>
            </w:r>
            <w:r w:rsidR="007E0E1E">
              <w:rPr>
                <w:rFonts w:cs="Arial"/>
                <w:szCs w:val="24"/>
              </w:rPr>
              <w:t xml:space="preserve"> or d</w:t>
            </w:r>
            <w:r>
              <w:rPr>
                <w:rFonts w:cs="Arial"/>
                <w:szCs w:val="24"/>
              </w:rPr>
              <w:t>eficit</w:t>
            </w:r>
            <w:r w:rsidR="00A13728" w:rsidRPr="00543C89">
              <w:rPr>
                <w:rFonts w:cs="Arial"/>
                <w:szCs w:val="24"/>
              </w:rPr>
              <w:t xml:space="preserve"> on provision of services</w:t>
            </w:r>
          </w:p>
        </w:tc>
        <w:tc>
          <w:tcPr>
            <w:tcW w:w="1701" w:type="dxa"/>
            <w:tcBorders>
              <w:top w:val="single" w:sz="4" w:space="0" w:color="auto"/>
              <w:left w:val="single" w:sz="4" w:space="0" w:color="auto"/>
              <w:bottom w:val="single" w:sz="4" w:space="0" w:color="auto"/>
              <w:right w:val="single" w:sz="4" w:space="0" w:color="auto"/>
            </w:tcBorders>
            <w:vAlign w:val="center"/>
          </w:tcPr>
          <w:p w14:paraId="15190BF5" w14:textId="1C591A0D" w:rsidR="0005100D" w:rsidRPr="00543C89" w:rsidRDefault="00D105D1" w:rsidP="00A066AE">
            <w:pPr>
              <w:jc w:val="right"/>
              <w:rPr>
                <w:rFonts w:cs="Arial"/>
                <w:szCs w:val="24"/>
              </w:rPr>
            </w:pPr>
            <w:r>
              <w:rPr>
                <w:rFonts w:cs="Arial"/>
                <w:szCs w:val="24"/>
              </w:rPr>
              <w:t>302</w:t>
            </w:r>
          </w:p>
        </w:tc>
      </w:tr>
      <w:tr w:rsidR="0005100D" w:rsidRPr="00D948C1" w14:paraId="210BE176" w14:textId="77777777" w:rsidTr="00233A66">
        <w:tc>
          <w:tcPr>
            <w:tcW w:w="7796" w:type="dxa"/>
            <w:tcBorders>
              <w:top w:val="single" w:sz="4" w:space="0" w:color="auto"/>
              <w:left w:val="single" w:sz="4" w:space="0" w:color="auto"/>
              <w:bottom w:val="single" w:sz="4" w:space="0" w:color="auto"/>
              <w:right w:val="single" w:sz="4" w:space="0" w:color="auto"/>
            </w:tcBorders>
          </w:tcPr>
          <w:p w14:paraId="71CEC89D" w14:textId="183CD82A" w:rsidR="0005100D" w:rsidRPr="00543C89" w:rsidRDefault="00A13728">
            <w:pPr>
              <w:rPr>
                <w:rFonts w:cs="Arial"/>
                <w:b/>
                <w:bCs/>
                <w:szCs w:val="24"/>
              </w:rPr>
            </w:pPr>
            <w:r w:rsidRPr="00543C89">
              <w:rPr>
                <w:rFonts w:cs="Arial"/>
                <w:b/>
                <w:bCs/>
                <w:szCs w:val="24"/>
              </w:rPr>
              <w:t>Closing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24F33383" w14:textId="5DC27F82" w:rsidR="0005100D" w:rsidRPr="00543C89" w:rsidRDefault="00D105D1" w:rsidP="00A066AE">
            <w:pPr>
              <w:jc w:val="right"/>
              <w:rPr>
                <w:rFonts w:cs="Arial"/>
                <w:b/>
                <w:bCs/>
                <w:szCs w:val="24"/>
              </w:rPr>
            </w:pPr>
            <w:r>
              <w:rPr>
                <w:rFonts w:cs="Arial"/>
                <w:b/>
                <w:bCs/>
                <w:szCs w:val="24"/>
              </w:rPr>
              <w:t>(35,273)</w:t>
            </w:r>
          </w:p>
        </w:tc>
      </w:tr>
    </w:tbl>
    <w:p w14:paraId="6B65521D" w14:textId="6B838D54" w:rsidR="00296A09" w:rsidRPr="00D948C1" w:rsidRDefault="00296A09">
      <w:pPr>
        <w:rPr>
          <w:sz w:val="22"/>
        </w:rPr>
      </w:pPr>
      <w:r w:rsidRPr="00D948C1">
        <w:rPr>
          <w:sz w:val="22"/>
        </w:rPr>
        <w:br w:type="page"/>
      </w:r>
    </w:p>
    <w:tbl>
      <w:tblPr>
        <w:tblStyle w:val="TableGrid"/>
        <w:tblW w:w="1473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1"/>
        <w:gridCol w:w="1735"/>
        <w:gridCol w:w="2376"/>
        <w:gridCol w:w="1701"/>
        <w:gridCol w:w="2551"/>
        <w:gridCol w:w="2727"/>
      </w:tblGrid>
      <w:tr w:rsidR="009D0F4C" w:rsidRPr="00D948C1" w14:paraId="3BC8F724" w14:textId="77777777" w:rsidTr="00611673">
        <w:trPr>
          <w:tblHeader/>
        </w:trPr>
        <w:tc>
          <w:tcPr>
            <w:tcW w:w="3641" w:type="dxa"/>
            <w:tcBorders>
              <w:top w:val="single" w:sz="4" w:space="0" w:color="auto"/>
              <w:left w:val="single" w:sz="4" w:space="0" w:color="auto"/>
              <w:bottom w:val="single" w:sz="4" w:space="0" w:color="auto"/>
              <w:right w:val="single" w:sz="4" w:space="0" w:color="auto"/>
            </w:tcBorders>
            <w:shd w:val="clear" w:color="auto" w:fill="BD2716"/>
            <w:vAlign w:val="center"/>
          </w:tcPr>
          <w:p w14:paraId="5155A1B7" w14:textId="7D95E105" w:rsidR="009D0F4C" w:rsidRPr="00D948C1" w:rsidRDefault="009D0F4C" w:rsidP="009D0F4C">
            <w:pPr>
              <w:rPr>
                <w:bCs/>
                <w:color w:val="FFFFFF" w:themeColor="background1"/>
                <w:szCs w:val="24"/>
              </w:rPr>
            </w:pPr>
            <w:r w:rsidRPr="00D948C1">
              <w:rPr>
                <w:rFonts w:cs="Arial"/>
                <w:color w:val="FFFFFF" w:themeColor="background1"/>
                <w:szCs w:val="24"/>
              </w:rPr>
              <w:lastRenderedPageBreak/>
              <w:br w:type="page"/>
            </w:r>
            <w:r w:rsidR="001A42DD">
              <w:rPr>
                <w:rFonts w:cs="Arial"/>
                <w:bCs/>
                <w:color w:val="FFFFFF" w:themeColor="background1"/>
                <w:szCs w:val="24"/>
              </w:rPr>
              <w:t>2024-25</w:t>
            </w:r>
          </w:p>
        </w:tc>
        <w:tc>
          <w:tcPr>
            <w:tcW w:w="1735" w:type="dxa"/>
            <w:tcBorders>
              <w:top w:val="single" w:sz="4" w:space="0" w:color="auto"/>
              <w:left w:val="single" w:sz="4" w:space="0" w:color="auto"/>
              <w:bottom w:val="single" w:sz="4" w:space="0" w:color="auto"/>
              <w:right w:val="single" w:sz="4" w:space="0" w:color="auto"/>
            </w:tcBorders>
            <w:shd w:val="clear" w:color="auto" w:fill="BD2716"/>
            <w:vAlign w:val="center"/>
          </w:tcPr>
          <w:p w14:paraId="187EAB71" w14:textId="77777777" w:rsidR="009D0F4C" w:rsidRPr="00D948C1" w:rsidRDefault="009D0F4C" w:rsidP="009D0F4C">
            <w:pPr>
              <w:jc w:val="right"/>
              <w:rPr>
                <w:rFonts w:cs="Arial"/>
                <w:color w:val="FFFFFF" w:themeColor="background1"/>
                <w:szCs w:val="24"/>
              </w:rPr>
            </w:pPr>
            <w:r w:rsidRPr="00D948C1">
              <w:rPr>
                <w:rFonts w:cs="Arial"/>
                <w:color w:val="FFFFFF" w:themeColor="background1"/>
                <w:szCs w:val="24"/>
              </w:rPr>
              <w:t>As reported for resource management</w:t>
            </w:r>
          </w:p>
          <w:p w14:paraId="5D29C4BE" w14:textId="4E83DC80" w:rsidR="009D0F4C" w:rsidRPr="00D948C1" w:rsidRDefault="009D0F4C" w:rsidP="009D0F4C">
            <w:pPr>
              <w:jc w:val="right"/>
              <w:rPr>
                <w:color w:val="FFFFFF" w:themeColor="background1"/>
                <w:szCs w:val="24"/>
              </w:rPr>
            </w:pPr>
            <w:r w:rsidRPr="00D948C1">
              <w:rPr>
                <w:rFonts w:cs="Arial"/>
                <w:color w:val="FFFFFF" w:themeColor="background1"/>
                <w:szCs w:val="24"/>
              </w:rPr>
              <w:t>£000</w:t>
            </w:r>
          </w:p>
        </w:tc>
        <w:tc>
          <w:tcPr>
            <w:tcW w:w="2376" w:type="dxa"/>
            <w:tcBorders>
              <w:top w:val="single" w:sz="4" w:space="0" w:color="auto"/>
              <w:left w:val="single" w:sz="4" w:space="0" w:color="auto"/>
              <w:bottom w:val="single" w:sz="4" w:space="0" w:color="auto"/>
              <w:right w:val="single" w:sz="4" w:space="0" w:color="auto"/>
            </w:tcBorders>
            <w:shd w:val="clear" w:color="auto" w:fill="BD2716"/>
            <w:vAlign w:val="center"/>
          </w:tcPr>
          <w:p w14:paraId="5AE61382" w14:textId="77777777" w:rsidR="009D0F4C" w:rsidRPr="00D948C1" w:rsidRDefault="009D0F4C" w:rsidP="009D0F4C">
            <w:pPr>
              <w:jc w:val="right"/>
              <w:rPr>
                <w:rFonts w:cs="Arial"/>
                <w:color w:val="FFFFFF" w:themeColor="background1"/>
                <w:szCs w:val="24"/>
              </w:rPr>
            </w:pPr>
            <w:r w:rsidRPr="00D948C1">
              <w:rPr>
                <w:rFonts w:cs="Arial"/>
                <w:color w:val="FFFFFF" w:themeColor="background1"/>
                <w:szCs w:val="24"/>
              </w:rPr>
              <w:t>Adjustment to arrive at the amount chargeable to the General Fund (Note 1a)</w:t>
            </w:r>
          </w:p>
          <w:p w14:paraId="266D9001" w14:textId="4787443C" w:rsidR="009D0F4C" w:rsidRPr="00D948C1" w:rsidRDefault="009D0F4C" w:rsidP="009D0F4C">
            <w:pPr>
              <w:jc w:val="right"/>
              <w:rPr>
                <w:color w:val="FFFFFF" w:themeColor="background1"/>
                <w:szCs w:val="24"/>
              </w:rPr>
            </w:pPr>
            <w:r w:rsidRPr="00D948C1">
              <w:rPr>
                <w:rFonts w:cs="Arial"/>
                <w:color w:val="FFFFFF" w:themeColor="background1"/>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BD2716"/>
            <w:vAlign w:val="center"/>
          </w:tcPr>
          <w:p w14:paraId="7005594D" w14:textId="77777777" w:rsidR="009D0F4C" w:rsidRPr="00D948C1" w:rsidRDefault="009D0F4C" w:rsidP="009D0F4C">
            <w:pPr>
              <w:jc w:val="right"/>
              <w:rPr>
                <w:rFonts w:cs="Arial"/>
                <w:color w:val="FFFFFF" w:themeColor="background1"/>
                <w:szCs w:val="24"/>
              </w:rPr>
            </w:pPr>
            <w:r w:rsidRPr="00D948C1">
              <w:rPr>
                <w:rFonts w:cs="Arial"/>
                <w:color w:val="FFFFFF" w:themeColor="background1"/>
                <w:szCs w:val="24"/>
              </w:rPr>
              <w:t>Net chargeable to the General Fund</w:t>
            </w:r>
          </w:p>
          <w:p w14:paraId="543A4E2E" w14:textId="183FD609" w:rsidR="009D0F4C" w:rsidRPr="00D948C1" w:rsidRDefault="009D0F4C" w:rsidP="009D0F4C">
            <w:pPr>
              <w:jc w:val="right"/>
              <w:rPr>
                <w:color w:val="FFFFFF" w:themeColor="background1"/>
                <w:szCs w:val="24"/>
              </w:rPr>
            </w:pPr>
            <w:r w:rsidRPr="00D948C1">
              <w:rPr>
                <w:rFonts w:cs="Arial"/>
                <w:color w:val="FFFFFF" w:themeColor="background1"/>
                <w:szCs w:val="24"/>
              </w:rPr>
              <w:t>£000</w:t>
            </w:r>
          </w:p>
        </w:tc>
        <w:tc>
          <w:tcPr>
            <w:tcW w:w="2551" w:type="dxa"/>
            <w:tcBorders>
              <w:top w:val="single" w:sz="4" w:space="0" w:color="auto"/>
              <w:left w:val="single" w:sz="4" w:space="0" w:color="auto"/>
              <w:bottom w:val="single" w:sz="4" w:space="0" w:color="auto"/>
              <w:right w:val="single" w:sz="4" w:space="0" w:color="auto"/>
            </w:tcBorders>
            <w:shd w:val="clear" w:color="auto" w:fill="BD2716"/>
            <w:vAlign w:val="center"/>
          </w:tcPr>
          <w:p w14:paraId="5DC6696A" w14:textId="77777777" w:rsidR="009D0F4C" w:rsidRPr="00D948C1" w:rsidRDefault="009D0F4C" w:rsidP="009D0F4C">
            <w:pPr>
              <w:jc w:val="right"/>
              <w:rPr>
                <w:rFonts w:cs="Arial"/>
                <w:color w:val="FFFFFF" w:themeColor="background1"/>
                <w:szCs w:val="24"/>
              </w:rPr>
            </w:pPr>
            <w:r w:rsidRPr="00D948C1">
              <w:rPr>
                <w:rFonts w:cs="Arial"/>
                <w:color w:val="FFFFFF" w:themeColor="background1"/>
                <w:szCs w:val="24"/>
              </w:rPr>
              <w:t>Adjustments between the Funding and Accounting basis (Note 1a)</w:t>
            </w:r>
          </w:p>
          <w:p w14:paraId="5BD6100E" w14:textId="1FC6F0A2" w:rsidR="009D0F4C" w:rsidRPr="00D948C1" w:rsidRDefault="009D0F4C" w:rsidP="009D0F4C">
            <w:pPr>
              <w:jc w:val="right"/>
              <w:rPr>
                <w:color w:val="FFFFFF" w:themeColor="background1"/>
                <w:szCs w:val="24"/>
              </w:rPr>
            </w:pPr>
            <w:r w:rsidRPr="00D948C1">
              <w:rPr>
                <w:rFonts w:cs="Arial"/>
                <w:color w:val="FFFFFF" w:themeColor="background1"/>
                <w:szCs w:val="24"/>
              </w:rPr>
              <w:t>£000</w:t>
            </w:r>
          </w:p>
        </w:tc>
        <w:tc>
          <w:tcPr>
            <w:tcW w:w="2727" w:type="dxa"/>
            <w:tcBorders>
              <w:top w:val="single" w:sz="4" w:space="0" w:color="auto"/>
              <w:left w:val="single" w:sz="4" w:space="0" w:color="auto"/>
              <w:bottom w:val="single" w:sz="4" w:space="0" w:color="auto"/>
              <w:right w:val="single" w:sz="4" w:space="0" w:color="auto"/>
            </w:tcBorders>
            <w:shd w:val="clear" w:color="auto" w:fill="BD2716"/>
            <w:vAlign w:val="center"/>
          </w:tcPr>
          <w:p w14:paraId="5BDD9272" w14:textId="77777777" w:rsidR="009D0F4C" w:rsidRPr="00D948C1" w:rsidRDefault="009D0F4C" w:rsidP="009D0F4C">
            <w:pPr>
              <w:jc w:val="right"/>
              <w:rPr>
                <w:rFonts w:cs="Arial"/>
                <w:color w:val="FFFFFF" w:themeColor="background1"/>
                <w:szCs w:val="24"/>
              </w:rPr>
            </w:pPr>
            <w:r w:rsidRPr="00D948C1">
              <w:rPr>
                <w:rFonts w:cs="Arial"/>
                <w:color w:val="FFFFFF" w:themeColor="background1"/>
                <w:szCs w:val="24"/>
              </w:rPr>
              <w:t>Net Expenditure in the Comprehensive Income and Expenditure Statement</w:t>
            </w:r>
          </w:p>
          <w:p w14:paraId="3E32BEA8" w14:textId="5E4813B4" w:rsidR="009D0F4C" w:rsidRPr="00D948C1" w:rsidRDefault="009D0F4C" w:rsidP="009D0F4C">
            <w:pPr>
              <w:jc w:val="right"/>
              <w:rPr>
                <w:color w:val="FFFFFF" w:themeColor="background1"/>
                <w:szCs w:val="24"/>
              </w:rPr>
            </w:pPr>
            <w:r w:rsidRPr="00D948C1">
              <w:rPr>
                <w:rFonts w:cs="Arial"/>
                <w:color w:val="FFFFFF" w:themeColor="background1"/>
                <w:szCs w:val="24"/>
              </w:rPr>
              <w:t>£000</w:t>
            </w:r>
          </w:p>
        </w:tc>
      </w:tr>
      <w:tr w:rsidR="009D0F4C" w:rsidRPr="00D948C1" w14:paraId="4164065D" w14:textId="77777777" w:rsidTr="00233A66">
        <w:tc>
          <w:tcPr>
            <w:tcW w:w="3641" w:type="dxa"/>
            <w:tcBorders>
              <w:top w:val="single" w:sz="4" w:space="0" w:color="auto"/>
              <w:left w:val="single" w:sz="4" w:space="0" w:color="auto"/>
              <w:bottom w:val="single" w:sz="4" w:space="0" w:color="auto"/>
              <w:right w:val="single" w:sz="4" w:space="0" w:color="auto"/>
            </w:tcBorders>
          </w:tcPr>
          <w:p w14:paraId="0BA2B34E" w14:textId="4AF34150" w:rsidR="009D0F4C" w:rsidRPr="00D948C1" w:rsidRDefault="009D0F4C" w:rsidP="009D0F4C">
            <w:pPr>
              <w:rPr>
                <w:szCs w:val="24"/>
              </w:rPr>
            </w:pPr>
            <w:r w:rsidRPr="00543C89">
              <w:rPr>
                <w:rFonts w:cs="Arial"/>
                <w:szCs w:val="24"/>
              </w:rPr>
              <w:t>Service Delivery</w:t>
            </w:r>
          </w:p>
        </w:tc>
        <w:tc>
          <w:tcPr>
            <w:tcW w:w="1735" w:type="dxa"/>
            <w:tcBorders>
              <w:top w:val="single" w:sz="4" w:space="0" w:color="auto"/>
              <w:left w:val="single" w:sz="4" w:space="0" w:color="auto"/>
              <w:bottom w:val="single" w:sz="4" w:space="0" w:color="auto"/>
              <w:right w:val="single" w:sz="4" w:space="0" w:color="auto"/>
            </w:tcBorders>
            <w:vAlign w:val="center"/>
          </w:tcPr>
          <w:p w14:paraId="7BC563C4" w14:textId="12C8ED06" w:rsidR="009D0F4C" w:rsidRPr="00FB606A" w:rsidRDefault="009D0F4C" w:rsidP="009D0F4C">
            <w:pPr>
              <w:jc w:val="right"/>
              <w:rPr>
                <w:rFonts w:cs="Arial"/>
                <w:szCs w:val="24"/>
              </w:rPr>
            </w:pPr>
            <w:r w:rsidRPr="00543C89">
              <w:rPr>
                <w:rFonts w:cs="Arial"/>
                <w:szCs w:val="24"/>
              </w:rPr>
              <w:t>48,599</w:t>
            </w:r>
          </w:p>
        </w:tc>
        <w:tc>
          <w:tcPr>
            <w:tcW w:w="2376" w:type="dxa"/>
            <w:tcBorders>
              <w:top w:val="single" w:sz="4" w:space="0" w:color="auto"/>
              <w:left w:val="single" w:sz="4" w:space="0" w:color="auto"/>
              <w:bottom w:val="single" w:sz="4" w:space="0" w:color="auto"/>
              <w:right w:val="single" w:sz="4" w:space="0" w:color="auto"/>
            </w:tcBorders>
            <w:vAlign w:val="center"/>
          </w:tcPr>
          <w:p w14:paraId="5E914B64" w14:textId="5DC1261D" w:rsidR="009D0F4C" w:rsidRPr="00FB606A" w:rsidRDefault="009D0F4C" w:rsidP="009D0F4C">
            <w:pPr>
              <w:jc w:val="right"/>
              <w:rPr>
                <w:rFonts w:cs="Arial"/>
                <w:szCs w:val="24"/>
              </w:rPr>
            </w:pPr>
            <w:r>
              <w:rPr>
                <w:rFonts w:cs="Arial"/>
                <w:szCs w:val="24"/>
              </w:rPr>
              <w:t>(539)</w:t>
            </w:r>
          </w:p>
        </w:tc>
        <w:tc>
          <w:tcPr>
            <w:tcW w:w="1701" w:type="dxa"/>
            <w:tcBorders>
              <w:top w:val="single" w:sz="4" w:space="0" w:color="auto"/>
              <w:left w:val="single" w:sz="4" w:space="0" w:color="auto"/>
              <w:bottom w:val="single" w:sz="4" w:space="0" w:color="auto"/>
              <w:right w:val="single" w:sz="4" w:space="0" w:color="auto"/>
            </w:tcBorders>
            <w:vAlign w:val="center"/>
          </w:tcPr>
          <w:p w14:paraId="07061878" w14:textId="124F3CF1" w:rsidR="009D0F4C" w:rsidRPr="00FB606A" w:rsidRDefault="009D0F4C" w:rsidP="009D0F4C">
            <w:pPr>
              <w:jc w:val="right"/>
              <w:rPr>
                <w:rFonts w:cs="Arial"/>
                <w:szCs w:val="24"/>
              </w:rPr>
            </w:pPr>
            <w:r w:rsidRPr="00543C89">
              <w:rPr>
                <w:rFonts w:cs="Arial"/>
                <w:szCs w:val="24"/>
              </w:rPr>
              <w:t>48,</w:t>
            </w:r>
            <w:r>
              <w:rPr>
                <w:rFonts w:cs="Arial"/>
                <w:szCs w:val="24"/>
              </w:rPr>
              <w:t>060</w:t>
            </w:r>
          </w:p>
        </w:tc>
        <w:tc>
          <w:tcPr>
            <w:tcW w:w="2551" w:type="dxa"/>
            <w:tcBorders>
              <w:top w:val="single" w:sz="4" w:space="0" w:color="auto"/>
              <w:left w:val="single" w:sz="4" w:space="0" w:color="auto"/>
              <w:bottom w:val="single" w:sz="4" w:space="0" w:color="auto"/>
              <w:right w:val="single" w:sz="4" w:space="0" w:color="auto"/>
            </w:tcBorders>
            <w:vAlign w:val="center"/>
          </w:tcPr>
          <w:p w14:paraId="0FE55E9B" w14:textId="5D26F4AA" w:rsidR="009D0F4C" w:rsidRPr="00FB606A" w:rsidRDefault="009D0F4C" w:rsidP="009D0F4C">
            <w:pPr>
              <w:jc w:val="right"/>
              <w:rPr>
                <w:rFonts w:cs="Arial"/>
                <w:szCs w:val="24"/>
              </w:rPr>
            </w:pPr>
            <w:r w:rsidRPr="00543C89">
              <w:rPr>
                <w:rFonts w:cs="Arial"/>
                <w:szCs w:val="24"/>
              </w:rPr>
              <w:t>(2</w:t>
            </w:r>
            <w:r>
              <w:rPr>
                <w:rFonts w:cs="Arial"/>
                <w:szCs w:val="24"/>
              </w:rPr>
              <w:t>4</w:t>
            </w:r>
            <w:r w:rsidRPr="00543C89">
              <w:rPr>
                <w:rFonts w:cs="Arial"/>
                <w:szCs w:val="24"/>
              </w:rPr>
              <w:t>,</w:t>
            </w:r>
            <w:r>
              <w:rPr>
                <w:rFonts w:cs="Arial"/>
                <w:szCs w:val="24"/>
              </w:rPr>
              <w:t>587</w:t>
            </w:r>
            <w:r w:rsidRPr="00543C89">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6D6B1DD3" w14:textId="1B072FA7" w:rsidR="009D0F4C" w:rsidRPr="00FB606A" w:rsidRDefault="009D0F4C" w:rsidP="009D0F4C">
            <w:pPr>
              <w:jc w:val="right"/>
              <w:rPr>
                <w:rFonts w:cs="Arial"/>
                <w:szCs w:val="24"/>
              </w:rPr>
            </w:pPr>
            <w:r w:rsidRPr="00543C89">
              <w:rPr>
                <w:rFonts w:cs="Arial"/>
                <w:szCs w:val="24"/>
              </w:rPr>
              <w:t>23,473</w:t>
            </w:r>
          </w:p>
        </w:tc>
      </w:tr>
      <w:tr w:rsidR="009D0F4C" w:rsidRPr="00D948C1" w14:paraId="0F9516BF" w14:textId="77777777" w:rsidTr="00233A66">
        <w:tc>
          <w:tcPr>
            <w:tcW w:w="3641" w:type="dxa"/>
            <w:tcBorders>
              <w:top w:val="single" w:sz="4" w:space="0" w:color="auto"/>
              <w:left w:val="single" w:sz="4" w:space="0" w:color="auto"/>
              <w:bottom w:val="single" w:sz="4" w:space="0" w:color="auto"/>
              <w:right w:val="single" w:sz="4" w:space="0" w:color="auto"/>
            </w:tcBorders>
          </w:tcPr>
          <w:p w14:paraId="3554E80A" w14:textId="29C24A38" w:rsidR="009D0F4C" w:rsidRPr="00D948C1" w:rsidRDefault="009D0F4C" w:rsidP="009D0F4C">
            <w:pPr>
              <w:rPr>
                <w:szCs w:val="24"/>
              </w:rPr>
            </w:pPr>
            <w:r w:rsidRPr="00543C89">
              <w:rPr>
                <w:rFonts w:cs="Arial"/>
                <w:szCs w:val="24"/>
              </w:rPr>
              <w:t>Strategy and Planning</w:t>
            </w:r>
          </w:p>
        </w:tc>
        <w:tc>
          <w:tcPr>
            <w:tcW w:w="1735" w:type="dxa"/>
            <w:tcBorders>
              <w:top w:val="single" w:sz="4" w:space="0" w:color="auto"/>
              <w:left w:val="single" w:sz="4" w:space="0" w:color="auto"/>
              <w:bottom w:val="single" w:sz="4" w:space="0" w:color="auto"/>
              <w:right w:val="single" w:sz="4" w:space="0" w:color="auto"/>
            </w:tcBorders>
            <w:vAlign w:val="center"/>
          </w:tcPr>
          <w:p w14:paraId="1556A1B3" w14:textId="040EB7B9" w:rsidR="009D0F4C" w:rsidRPr="00FB606A" w:rsidRDefault="009D0F4C" w:rsidP="009D0F4C">
            <w:pPr>
              <w:jc w:val="right"/>
              <w:rPr>
                <w:rFonts w:cs="Arial"/>
                <w:szCs w:val="24"/>
              </w:rPr>
            </w:pPr>
            <w:r w:rsidRPr="00543C89">
              <w:rPr>
                <w:rFonts w:cs="Arial"/>
                <w:szCs w:val="24"/>
              </w:rPr>
              <w:t>14,257</w:t>
            </w:r>
          </w:p>
        </w:tc>
        <w:tc>
          <w:tcPr>
            <w:tcW w:w="2376" w:type="dxa"/>
            <w:tcBorders>
              <w:top w:val="single" w:sz="4" w:space="0" w:color="auto"/>
              <w:left w:val="single" w:sz="4" w:space="0" w:color="auto"/>
              <w:bottom w:val="single" w:sz="4" w:space="0" w:color="auto"/>
              <w:right w:val="single" w:sz="4" w:space="0" w:color="auto"/>
            </w:tcBorders>
            <w:vAlign w:val="center"/>
          </w:tcPr>
          <w:p w14:paraId="3786103E" w14:textId="0E5EB80F" w:rsidR="009D0F4C" w:rsidRPr="00FB606A" w:rsidRDefault="009D0F4C" w:rsidP="009D0F4C">
            <w:pPr>
              <w:jc w:val="right"/>
              <w:rPr>
                <w:rFonts w:cs="Arial"/>
                <w:szCs w:val="24"/>
              </w:rPr>
            </w:pPr>
            <w:r>
              <w:rPr>
                <w:rFonts w:cs="Arial"/>
                <w:szCs w:val="24"/>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2D29E78D" w14:textId="2895172E" w:rsidR="009D0F4C" w:rsidRPr="00FB606A" w:rsidRDefault="009D0F4C" w:rsidP="009D0F4C">
            <w:pPr>
              <w:jc w:val="right"/>
              <w:rPr>
                <w:rFonts w:cs="Arial"/>
                <w:szCs w:val="24"/>
              </w:rPr>
            </w:pPr>
            <w:r w:rsidRPr="00543C89">
              <w:rPr>
                <w:rFonts w:cs="Arial"/>
                <w:szCs w:val="24"/>
              </w:rPr>
              <w:t>14,</w:t>
            </w:r>
            <w:r>
              <w:rPr>
                <w:rFonts w:cs="Arial"/>
                <w:szCs w:val="24"/>
              </w:rPr>
              <w:t>058</w:t>
            </w:r>
          </w:p>
        </w:tc>
        <w:tc>
          <w:tcPr>
            <w:tcW w:w="2551" w:type="dxa"/>
            <w:tcBorders>
              <w:top w:val="single" w:sz="4" w:space="0" w:color="auto"/>
              <w:left w:val="single" w:sz="4" w:space="0" w:color="auto"/>
              <w:bottom w:val="single" w:sz="4" w:space="0" w:color="auto"/>
              <w:right w:val="single" w:sz="4" w:space="0" w:color="auto"/>
            </w:tcBorders>
            <w:vAlign w:val="center"/>
          </w:tcPr>
          <w:p w14:paraId="3BA4DB93" w14:textId="77134D53" w:rsidR="009D0F4C" w:rsidRPr="00FB606A" w:rsidRDefault="009D0F4C" w:rsidP="009D0F4C">
            <w:pPr>
              <w:jc w:val="right"/>
              <w:rPr>
                <w:rFonts w:cs="Arial"/>
                <w:szCs w:val="24"/>
              </w:rPr>
            </w:pPr>
            <w:r w:rsidRPr="00543C89">
              <w:rPr>
                <w:rFonts w:cs="Arial"/>
                <w:szCs w:val="24"/>
              </w:rPr>
              <w:t>(</w:t>
            </w:r>
            <w:r>
              <w:rPr>
                <w:rFonts w:cs="Arial"/>
                <w:szCs w:val="24"/>
              </w:rPr>
              <w:t>1</w:t>
            </w:r>
            <w:r w:rsidRPr="00543C89">
              <w:rPr>
                <w:rFonts w:cs="Arial"/>
                <w:szCs w:val="24"/>
              </w:rPr>
              <w:t>,</w:t>
            </w:r>
            <w:r>
              <w:rPr>
                <w:rFonts w:cs="Arial"/>
                <w:szCs w:val="24"/>
              </w:rPr>
              <w:t>8</w:t>
            </w:r>
            <w:r w:rsidRPr="00543C89">
              <w:rPr>
                <w:rFonts w:cs="Arial"/>
                <w:szCs w:val="24"/>
              </w:rPr>
              <w:t>99)</w:t>
            </w:r>
          </w:p>
        </w:tc>
        <w:tc>
          <w:tcPr>
            <w:tcW w:w="2727" w:type="dxa"/>
            <w:tcBorders>
              <w:top w:val="single" w:sz="4" w:space="0" w:color="auto"/>
              <w:left w:val="single" w:sz="4" w:space="0" w:color="auto"/>
              <w:bottom w:val="single" w:sz="4" w:space="0" w:color="auto"/>
              <w:right w:val="single" w:sz="4" w:space="0" w:color="auto"/>
            </w:tcBorders>
            <w:vAlign w:val="center"/>
          </w:tcPr>
          <w:p w14:paraId="3E885797" w14:textId="6818BAE9" w:rsidR="009D0F4C" w:rsidRPr="00FB606A" w:rsidRDefault="009D0F4C" w:rsidP="009D0F4C">
            <w:pPr>
              <w:jc w:val="right"/>
              <w:rPr>
                <w:rFonts w:cs="Arial"/>
                <w:szCs w:val="24"/>
              </w:rPr>
            </w:pPr>
            <w:r w:rsidRPr="00543C89">
              <w:rPr>
                <w:rFonts w:cs="Arial"/>
                <w:szCs w:val="24"/>
              </w:rPr>
              <w:t>12,159</w:t>
            </w:r>
          </w:p>
        </w:tc>
      </w:tr>
      <w:tr w:rsidR="009D0F4C" w:rsidRPr="00D948C1" w14:paraId="18B857EF" w14:textId="77777777" w:rsidTr="00233A66">
        <w:tc>
          <w:tcPr>
            <w:tcW w:w="3641" w:type="dxa"/>
            <w:tcBorders>
              <w:top w:val="single" w:sz="4" w:space="0" w:color="auto"/>
              <w:left w:val="single" w:sz="4" w:space="0" w:color="auto"/>
              <w:bottom w:val="single" w:sz="4" w:space="0" w:color="auto"/>
              <w:right w:val="single" w:sz="4" w:space="0" w:color="auto"/>
            </w:tcBorders>
          </w:tcPr>
          <w:p w14:paraId="65965D86" w14:textId="5927985C" w:rsidR="009D0F4C" w:rsidRPr="00D948C1" w:rsidRDefault="009D0F4C" w:rsidP="009D0F4C">
            <w:pPr>
              <w:rPr>
                <w:szCs w:val="24"/>
              </w:rPr>
            </w:pPr>
            <w:r w:rsidRPr="00543C89">
              <w:rPr>
                <w:rFonts w:cs="Arial"/>
                <w:szCs w:val="24"/>
              </w:rPr>
              <w:t>People and Development</w:t>
            </w:r>
          </w:p>
        </w:tc>
        <w:tc>
          <w:tcPr>
            <w:tcW w:w="1735" w:type="dxa"/>
            <w:tcBorders>
              <w:top w:val="single" w:sz="4" w:space="0" w:color="auto"/>
              <w:left w:val="single" w:sz="4" w:space="0" w:color="auto"/>
              <w:bottom w:val="single" w:sz="4" w:space="0" w:color="auto"/>
              <w:right w:val="single" w:sz="4" w:space="0" w:color="auto"/>
            </w:tcBorders>
            <w:vAlign w:val="center"/>
          </w:tcPr>
          <w:p w14:paraId="548ECA1A" w14:textId="0C164193" w:rsidR="009D0F4C" w:rsidRPr="00FB606A" w:rsidRDefault="009D0F4C" w:rsidP="009D0F4C">
            <w:pPr>
              <w:jc w:val="right"/>
              <w:rPr>
                <w:rFonts w:cs="Arial"/>
                <w:szCs w:val="24"/>
              </w:rPr>
            </w:pPr>
            <w:r w:rsidRPr="00543C89">
              <w:rPr>
                <w:rFonts w:cs="Arial"/>
                <w:szCs w:val="24"/>
              </w:rPr>
              <w:t>2,093</w:t>
            </w:r>
          </w:p>
        </w:tc>
        <w:tc>
          <w:tcPr>
            <w:tcW w:w="2376" w:type="dxa"/>
            <w:tcBorders>
              <w:top w:val="single" w:sz="4" w:space="0" w:color="auto"/>
              <w:left w:val="single" w:sz="4" w:space="0" w:color="auto"/>
              <w:bottom w:val="single" w:sz="4" w:space="0" w:color="auto"/>
              <w:right w:val="single" w:sz="4" w:space="0" w:color="auto"/>
            </w:tcBorders>
            <w:vAlign w:val="center"/>
          </w:tcPr>
          <w:p w14:paraId="04EC1AEB" w14:textId="09B5BAB7" w:rsidR="009D0F4C" w:rsidRPr="00FB606A" w:rsidRDefault="009D0F4C" w:rsidP="009D0F4C">
            <w:pPr>
              <w:jc w:val="right"/>
              <w:rPr>
                <w:rFonts w:cs="Arial"/>
                <w:szCs w:val="24"/>
              </w:rPr>
            </w:pPr>
            <w:r>
              <w:rPr>
                <w:rFonts w:cs="Arial"/>
                <w:szCs w:val="24"/>
              </w:rPr>
              <w:t>(39)</w:t>
            </w:r>
          </w:p>
        </w:tc>
        <w:tc>
          <w:tcPr>
            <w:tcW w:w="1701" w:type="dxa"/>
            <w:tcBorders>
              <w:top w:val="single" w:sz="4" w:space="0" w:color="auto"/>
              <w:left w:val="single" w:sz="4" w:space="0" w:color="auto"/>
              <w:bottom w:val="single" w:sz="4" w:space="0" w:color="auto"/>
              <w:right w:val="single" w:sz="4" w:space="0" w:color="auto"/>
            </w:tcBorders>
            <w:vAlign w:val="center"/>
          </w:tcPr>
          <w:p w14:paraId="70D16A2E" w14:textId="7CFB3A33" w:rsidR="009D0F4C" w:rsidRPr="00FB606A" w:rsidRDefault="009D0F4C" w:rsidP="009D0F4C">
            <w:pPr>
              <w:jc w:val="right"/>
              <w:rPr>
                <w:rFonts w:cs="Arial"/>
                <w:szCs w:val="24"/>
              </w:rPr>
            </w:pPr>
            <w:r w:rsidRPr="00543C89">
              <w:rPr>
                <w:rFonts w:cs="Arial"/>
                <w:szCs w:val="24"/>
              </w:rPr>
              <w:t>2,0</w:t>
            </w:r>
            <w:r>
              <w:rPr>
                <w:rFonts w:cs="Arial"/>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2CE36B7C" w14:textId="61A02670" w:rsidR="009D0F4C" w:rsidRPr="00FB606A" w:rsidRDefault="009D0F4C" w:rsidP="009D0F4C">
            <w:pPr>
              <w:jc w:val="right"/>
              <w:rPr>
                <w:rFonts w:cs="Arial"/>
                <w:szCs w:val="24"/>
              </w:rPr>
            </w:pPr>
            <w:r w:rsidRPr="00543C89">
              <w:rPr>
                <w:rFonts w:cs="Arial"/>
                <w:szCs w:val="24"/>
              </w:rPr>
              <w:t>1</w:t>
            </w:r>
            <w:r>
              <w:rPr>
                <w:rFonts w:cs="Arial"/>
                <w:szCs w:val="24"/>
              </w:rPr>
              <w:t>77</w:t>
            </w:r>
          </w:p>
        </w:tc>
        <w:tc>
          <w:tcPr>
            <w:tcW w:w="2727" w:type="dxa"/>
            <w:tcBorders>
              <w:top w:val="single" w:sz="4" w:space="0" w:color="auto"/>
              <w:left w:val="single" w:sz="4" w:space="0" w:color="auto"/>
              <w:bottom w:val="single" w:sz="4" w:space="0" w:color="auto"/>
              <w:right w:val="single" w:sz="4" w:space="0" w:color="auto"/>
            </w:tcBorders>
            <w:vAlign w:val="center"/>
          </w:tcPr>
          <w:p w14:paraId="2B9F48CB" w14:textId="18F04EE1" w:rsidR="009D0F4C" w:rsidRPr="00FB606A" w:rsidRDefault="009D0F4C" w:rsidP="009D0F4C">
            <w:pPr>
              <w:jc w:val="right"/>
              <w:rPr>
                <w:rFonts w:cs="Arial"/>
                <w:szCs w:val="24"/>
              </w:rPr>
            </w:pPr>
            <w:r w:rsidRPr="00543C89">
              <w:rPr>
                <w:rFonts w:cs="Arial"/>
                <w:szCs w:val="24"/>
              </w:rPr>
              <w:t>2,231</w:t>
            </w:r>
          </w:p>
        </w:tc>
      </w:tr>
      <w:tr w:rsidR="009D0F4C" w:rsidRPr="00D948C1" w14:paraId="5F303DEF" w14:textId="77777777" w:rsidTr="00233A66">
        <w:tc>
          <w:tcPr>
            <w:tcW w:w="3641" w:type="dxa"/>
            <w:tcBorders>
              <w:top w:val="single" w:sz="4" w:space="0" w:color="auto"/>
              <w:left w:val="single" w:sz="4" w:space="0" w:color="auto"/>
              <w:bottom w:val="single" w:sz="4" w:space="0" w:color="auto"/>
              <w:right w:val="single" w:sz="4" w:space="0" w:color="auto"/>
            </w:tcBorders>
          </w:tcPr>
          <w:p w14:paraId="73122A89" w14:textId="11EE6BF0" w:rsidR="009D0F4C" w:rsidRPr="00D948C1" w:rsidRDefault="009D0F4C" w:rsidP="009D0F4C">
            <w:pPr>
              <w:rPr>
                <w:szCs w:val="24"/>
              </w:rPr>
            </w:pPr>
            <w:r w:rsidRPr="00543C89">
              <w:rPr>
                <w:rFonts w:cs="Arial"/>
                <w:szCs w:val="24"/>
              </w:rPr>
              <w:t>Corporate Services</w:t>
            </w:r>
          </w:p>
        </w:tc>
        <w:tc>
          <w:tcPr>
            <w:tcW w:w="1735" w:type="dxa"/>
            <w:tcBorders>
              <w:top w:val="single" w:sz="4" w:space="0" w:color="auto"/>
              <w:left w:val="single" w:sz="4" w:space="0" w:color="auto"/>
              <w:bottom w:val="single" w:sz="4" w:space="0" w:color="auto"/>
              <w:right w:val="single" w:sz="4" w:space="0" w:color="auto"/>
            </w:tcBorders>
            <w:vAlign w:val="center"/>
          </w:tcPr>
          <w:p w14:paraId="1AF6CB40" w14:textId="222A3CFA" w:rsidR="009D0F4C" w:rsidRPr="00FB606A" w:rsidRDefault="009D0F4C" w:rsidP="009D0F4C">
            <w:pPr>
              <w:jc w:val="right"/>
              <w:rPr>
                <w:rFonts w:cs="Arial"/>
                <w:szCs w:val="24"/>
              </w:rPr>
            </w:pPr>
            <w:r w:rsidRPr="00543C89">
              <w:rPr>
                <w:rFonts w:cs="Arial"/>
                <w:szCs w:val="24"/>
              </w:rPr>
              <w:t>7,118</w:t>
            </w:r>
          </w:p>
        </w:tc>
        <w:tc>
          <w:tcPr>
            <w:tcW w:w="2376" w:type="dxa"/>
            <w:tcBorders>
              <w:top w:val="single" w:sz="4" w:space="0" w:color="auto"/>
              <w:left w:val="single" w:sz="4" w:space="0" w:color="auto"/>
              <w:bottom w:val="single" w:sz="4" w:space="0" w:color="auto"/>
              <w:right w:val="single" w:sz="4" w:space="0" w:color="auto"/>
            </w:tcBorders>
            <w:vAlign w:val="center"/>
          </w:tcPr>
          <w:p w14:paraId="08E004EF" w14:textId="365B6F42" w:rsidR="009D0F4C" w:rsidRPr="00FB606A" w:rsidRDefault="009D0F4C" w:rsidP="009D0F4C">
            <w:pPr>
              <w:jc w:val="right"/>
              <w:rPr>
                <w:rFonts w:cs="Arial"/>
                <w:szCs w:val="24"/>
              </w:rPr>
            </w:pPr>
            <w:r>
              <w:rPr>
                <w:rFonts w:cs="Arial"/>
                <w:szCs w:val="24"/>
              </w:rPr>
              <w:t>(1,270)</w:t>
            </w:r>
          </w:p>
        </w:tc>
        <w:tc>
          <w:tcPr>
            <w:tcW w:w="1701" w:type="dxa"/>
            <w:tcBorders>
              <w:top w:val="single" w:sz="4" w:space="0" w:color="auto"/>
              <w:left w:val="single" w:sz="4" w:space="0" w:color="auto"/>
              <w:bottom w:val="single" w:sz="4" w:space="0" w:color="auto"/>
              <w:right w:val="single" w:sz="4" w:space="0" w:color="auto"/>
            </w:tcBorders>
            <w:vAlign w:val="center"/>
          </w:tcPr>
          <w:p w14:paraId="1529FE86" w14:textId="4E34E1E5" w:rsidR="009D0F4C" w:rsidRPr="00FB606A" w:rsidRDefault="009D0F4C" w:rsidP="009D0F4C">
            <w:pPr>
              <w:jc w:val="right"/>
              <w:rPr>
                <w:rFonts w:cs="Arial"/>
                <w:szCs w:val="24"/>
              </w:rPr>
            </w:pPr>
            <w:r>
              <w:rPr>
                <w:rFonts w:cs="Arial"/>
                <w:szCs w:val="24"/>
              </w:rPr>
              <w:t>5</w:t>
            </w:r>
            <w:r w:rsidRPr="00543C89">
              <w:rPr>
                <w:rFonts w:cs="Arial"/>
                <w:szCs w:val="24"/>
              </w:rPr>
              <w:t>,</w:t>
            </w:r>
            <w:r>
              <w:rPr>
                <w:rFonts w:cs="Arial"/>
                <w:szCs w:val="24"/>
              </w:rPr>
              <w:t>84</w:t>
            </w:r>
            <w:r w:rsidRPr="00543C89">
              <w:rPr>
                <w:rFonts w:cs="Arial"/>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14:paraId="071608EA" w14:textId="4EC3AF17" w:rsidR="009D0F4C" w:rsidRPr="00FB606A" w:rsidRDefault="009D0F4C" w:rsidP="009D0F4C">
            <w:pPr>
              <w:jc w:val="right"/>
              <w:rPr>
                <w:rFonts w:cs="Arial"/>
                <w:szCs w:val="24"/>
              </w:rPr>
            </w:pPr>
            <w:r w:rsidRPr="00543C89">
              <w:rPr>
                <w:rFonts w:cs="Arial"/>
                <w:szCs w:val="24"/>
              </w:rPr>
              <w:t>(</w:t>
            </w:r>
            <w:r>
              <w:rPr>
                <w:rFonts w:cs="Arial"/>
                <w:szCs w:val="24"/>
              </w:rPr>
              <w:t>238</w:t>
            </w:r>
            <w:r w:rsidRPr="00543C89">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7360AF41" w14:textId="3EF971FD" w:rsidR="009D0F4C" w:rsidRPr="00FB606A" w:rsidRDefault="009D0F4C" w:rsidP="009D0F4C">
            <w:pPr>
              <w:jc w:val="right"/>
              <w:rPr>
                <w:rFonts w:cs="Arial"/>
                <w:szCs w:val="24"/>
              </w:rPr>
            </w:pPr>
            <w:r w:rsidRPr="00543C89">
              <w:rPr>
                <w:rFonts w:cs="Arial"/>
                <w:szCs w:val="24"/>
              </w:rPr>
              <w:t>5,610</w:t>
            </w:r>
          </w:p>
        </w:tc>
      </w:tr>
      <w:tr w:rsidR="009D0F4C" w:rsidRPr="00D948C1" w14:paraId="0AFDD516" w14:textId="77777777" w:rsidTr="00233A66">
        <w:tc>
          <w:tcPr>
            <w:tcW w:w="3641" w:type="dxa"/>
            <w:tcBorders>
              <w:top w:val="single" w:sz="4" w:space="0" w:color="auto"/>
              <w:left w:val="single" w:sz="4" w:space="0" w:color="auto"/>
              <w:bottom w:val="single" w:sz="4" w:space="0" w:color="auto"/>
              <w:right w:val="single" w:sz="4" w:space="0" w:color="auto"/>
            </w:tcBorders>
          </w:tcPr>
          <w:p w14:paraId="58C4D443" w14:textId="6D1E3B14" w:rsidR="009D0F4C" w:rsidRPr="00D948C1" w:rsidRDefault="009D0F4C" w:rsidP="009D0F4C">
            <w:pPr>
              <w:rPr>
                <w:szCs w:val="24"/>
              </w:rPr>
            </w:pPr>
            <w:r w:rsidRPr="00543C89">
              <w:rPr>
                <w:rFonts w:cs="Arial"/>
                <w:szCs w:val="24"/>
              </w:rPr>
              <w:t>Firefighters Pensions</w:t>
            </w:r>
          </w:p>
        </w:tc>
        <w:tc>
          <w:tcPr>
            <w:tcW w:w="1735" w:type="dxa"/>
            <w:tcBorders>
              <w:top w:val="single" w:sz="4" w:space="0" w:color="auto"/>
              <w:left w:val="single" w:sz="4" w:space="0" w:color="auto"/>
              <w:bottom w:val="single" w:sz="4" w:space="0" w:color="auto"/>
              <w:right w:val="single" w:sz="4" w:space="0" w:color="auto"/>
            </w:tcBorders>
            <w:vAlign w:val="center"/>
          </w:tcPr>
          <w:p w14:paraId="120FF166" w14:textId="4F25C788" w:rsidR="009D0F4C" w:rsidRPr="00FB606A" w:rsidRDefault="009D0F4C" w:rsidP="009D0F4C">
            <w:pPr>
              <w:jc w:val="right"/>
              <w:rPr>
                <w:rFonts w:cs="Arial"/>
                <w:szCs w:val="24"/>
              </w:rPr>
            </w:pPr>
            <w:r w:rsidRPr="00543C89">
              <w:rPr>
                <w:rFonts w:cs="Arial"/>
                <w:szCs w:val="24"/>
              </w:rPr>
              <w:t>1,412</w:t>
            </w:r>
          </w:p>
        </w:tc>
        <w:tc>
          <w:tcPr>
            <w:tcW w:w="2376" w:type="dxa"/>
            <w:tcBorders>
              <w:top w:val="single" w:sz="4" w:space="0" w:color="auto"/>
              <w:left w:val="single" w:sz="4" w:space="0" w:color="auto"/>
              <w:bottom w:val="single" w:sz="4" w:space="0" w:color="auto"/>
              <w:right w:val="single" w:sz="4" w:space="0" w:color="auto"/>
            </w:tcBorders>
            <w:vAlign w:val="center"/>
          </w:tcPr>
          <w:p w14:paraId="08AC8E7B" w14:textId="68817968" w:rsidR="009D0F4C" w:rsidRPr="00FB606A" w:rsidRDefault="009D0F4C" w:rsidP="009D0F4C">
            <w:pPr>
              <w:jc w:val="right"/>
              <w:rPr>
                <w:rFonts w:cs="Arial"/>
                <w:szCs w:val="24"/>
              </w:rPr>
            </w:pPr>
            <w:r w:rsidRPr="00543C89">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EE2AF8B" w14:textId="1C510700" w:rsidR="009D0F4C" w:rsidRPr="00FB606A" w:rsidRDefault="009D0F4C" w:rsidP="009D0F4C">
            <w:pPr>
              <w:jc w:val="right"/>
              <w:rPr>
                <w:rFonts w:cs="Arial"/>
                <w:szCs w:val="24"/>
              </w:rPr>
            </w:pPr>
            <w:r w:rsidRPr="00543C89">
              <w:rPr>
                <w:rFonts w:cs="Arial"/>
                <w:szCs w:val="24"/>
              </w:rPr>
              <w:t>1,412</w:t>
            </w:r>
          </w:p>
        </w:tc>
        <w:tc>
          <w:tcPr>
            <w:tcW w:w="2551" w:type="dxa"/>
            <w:tcBorders>
              <w:top w:val="single" w:sz="4" w:space="0" w:color="auto"/>
              <w:left w:val="single" w:sz="4" w:space="0" w:color="auto"/>
              <w:bottom w:val="single" w:sz="4" w:space="0" w:color="auto"/>
              <w:right w:val="single" w:sz="4" w:space="0" w:color="auto"/>
            </w:tcBorders>
            <w:vAlign w:val="center"/>
          </w:tcPr>
          <w:p w14:paraId="39753D71" w14:textId="18A199CA" w:rsidR="009D0F4C" w:rsidRPr="00FB606A" w:rsidRDefault="009D0F4C" w:rsidP="009D0F4C">
            <w:pPr>
              <w:jc w:val="right"/>
              <w:rPr>
                <w:rFonts w:cs="Arial"/>
                <w:szCs w:val="24"/>
              </w:rPr>
            </w:pPr>
            <w:r w:rsidRPr="00543C89">
              <w:rPr>
                <w:rFonts w:cs="Arial"/>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61C2D8A3" w14:textId="257E8D76" w:rsidR="009D0F4C" w:rsidRPr="00FB606A" w:rsidRDefault="009D0F4C" w:rsidP="009D0F4C">
            <w:pPr>
              <w:jc w:val="right"/>
              <w:rPr>
                <w:rFonts w:cs="Arial"/>
                <w:szCs w:val="24"/>
              </w:rPr>
            </w:pPr>
            <w:r w:rsidRPr="00543C89">
              <w:rPr>
                <w:rFonts w:cs="Arial"/>
                <w:szCs w:val="24"/>
              </w:rPr>
              <w:t>1,412</w:t>
            </w:r>
          </w:p>
        </w:tc>
      </w:tr>
      <w:tr w:rsidR="009D0F4C" w:rsidRPr="00D948C1" w14:paraId="07B6C306" w14:textId="77777777" w:rsidTr="00233A66">
        <w:tc>
          <w:tcPr>
            <w:tcW w:w="3641" w:type="dxa"/>
            <w:tcBorders>
              <w:top w:val="single" w:sz="4" w:space="0" w:color="auto"/>
              <w:left w:val="single" w:sz="4" w:space="0" w:color="auto"/>
              <w:bottom w:val="single" w:sz="4" w:space="0" w:color="auto"/>
              <w:right w:val="single" w:sz="4" w:space="0" w:color="auto"/>
            </w:tcBorders>
          </w:tcPr>
          <w:p w14:paraId="46E467BC" w14:textId="09368FDE" w:rsidR="009D0F4C" w:rsidRPr="00D948C1" w:rsidRDefault="009D0F4C" w:rsidP="009D0F4C">
            <w:pPr>
              <w:rPr>
                <w:szCs w:val="24"/>
              </w:rPr>
            </w:pPr>
            <w:r w:rsidRPr="00543C89">
              <w:rPr>
                <w:rFonts w:cs="Arial"/>
                <w:szCs w:val="24"/>
              </w:rPr>
              <w:t>Overheads</w:t>
            </w:r>
          </w:p>
        </w:tc>
        <w:tc>
          <w:tcPr>
            <w:tcW w:w="1735" w:type="dxa"/>
            <w:tcBorders>
              <w:top w:val="single" w:sz="4" w:space="0" w:color="auto"/>
              <w:left w:val="single" w:sz="4" w:space="0" w:color="auto"/>
              <w:bottom w:val="single" w:sz="4" w:space="0" w:color="auto"/>
              <w:right w:val="single" w:sz="4" w:space="0" w:color="auto"/>
            </w:tcBorders>
            <w:vAlign w:val="center"/>
          </w:tcPr>
          <w:p w14:paraId="436C80B9" w14:textId="03F7FC88" w:rsidR="009D0F4C" w:rsidRPr="00FB606A" w:rsidRDefault="009D0F4C" w:rsidP="009D0F4C">
            <w:pPr>
              <w:jc w:val="right"/>
              <w:rPr>
                <w:rFonts w:cs="Arial"/>
                <w:szCs w:val="24"/>
              </w:rPr>
            </w:pPr>
            <w:r w:rsidRPr="00543C89">
              <w:rPr>
                <w:rFonts w:cs="Arial"/>
                <w:szCs w:val="24"/>
              </w:rPr>
              <w:t>1,109</w:t>
            </w:r>
          </w:p>
        </w:tc>
        <w:tc>
          <w:tcPr>
            <w:tcW w:w="2376" w:type="dxa"/>
            <w:tcBorders>
              <w:top w:val="single" w:sz="4" w:space="0" w:color="auto"/>
              <w:left w:val="single" w:sz="4" w:space="0" w:color="auto"/>
              <w:bottom w:val="single" w:sz="4" w:space="0" w:color="auto"/>
              <w:right w:val="single" w:sz="4" w:space="0" w:color="auto"/>
            </w:tcBorders>
            <w:vAlign w:val="center"/>
          </w:tcPr>
          <w:p w14:paraId="3493027D" w14:textId="187F261D" w:rsidR="009D0F4C" w:rsidRPr="00FB606A" w:rsidRDefault="009D0F4C" w:rsidP="009D0F4C">
            <w:pPr>
              <w:jc w:val="right"/>
              <w:rPr>
                <w:rFonts w:cs="Arial"/>
                <w:szCs w:val="24"/>
              </w:rPr>
            </w:pPr>
            <w:r>
              <w:rPr>
                <w:rFonts w:cs="Arial"/>
                <w:szCs w:val="24"/>
              </w:rPr>
              <w:t>902</w:t>
            </w:r>
          </w:p>
        </w:tc>
        <w:tc>
          <w:tcPr>
            <w:tcW w:w="1701" w:type="dxa"/>
            <w:tcBorders>
              <w:top w:val="single" w:sz="4" w:space="0" w:color="auto"/>
              <w:left w:val="single" w:sz="4" w:space="0" w:color="auto"/>
              <w:bottom w:val="single" w:sz="4" w:space="0" w:color="auto"/>
              <w:right w:val="single" w:sz="4" w:space="0" w:color="auto"/>
            </w:tcBorders>
            <w:vAlign w:val="center"/>
          </w:tcPr>
          <w:p w14:paraId="06D3419E" w14:textId="6CC13892" w:rsidR="009D0F4C" w:rsidRPr="00FB606A" w:rsidRDefault="009D0F4C" w:rsidP="009D0F4C">
            <w:pPr>
              <w:jc w:val="right"/>
              <w:rPr>
                <w:rFonts w:cs="Arial"/>
                <w:szCs w:val="24"/>
              </w:rPr>
            </w:pPr>
            <w:r>
              <w:rPr>
                <w:rFonts w:cs="Arial"/>
                <w:szCs w:val="24"/>
              </w:rPr>
              <w:t>2</w:t>
            </w:r>
            <w:r w:rsidRPr="00543C89">
              <w:rPr>
                <w:rFonts w:cs="Arial"/>
                <w:szCs w:val="24"/>
              </w:rPr>
              <w:t>,</w:t>
            </w:r>
            <w:r>
              <w:rPr>
                <w:rFonts w:cs="Arial"/>
                <w:szCs w:val="24"/>
              </w:rPr>
              <w:t>01</w:t>
            </w:r>
            <w:r w:rsidRPr="00543C89">
              <w:rPr>
                <w:rFonts w:cs="Arial"/>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7188F375" w14:textId="734972E4" w:rsidR="009D0F4C" w:rsidRPr="00FB606A" w:rsidRDefault="009D0F4C" w:rsidP="009D0F4C">
            <w:pPr>
              <w:jc w:val="right"/>
              <w:rPr>
                <w:rFonts w:cs="Arial"/>
                <w:szCs w:val="24"/>
              </w:rPr>
            </w:pPr>
            <w:r>
              <w:rPr>
                <w:rFonts w:cs="Arial"/>
                <w:szCs w:val="24"/>
              </w:rPr>
              <w:t>3</w:t>
            </w:r>
            <w:r w:rsidRPr="00543C89">
              <w:rPr>
                <w:rFonts w:cs="Arial"/>
                <w:szCs w:val="24"/>
              </w:rPr>
              <w:t>,</w:t>
            </w:r>
            <w:r>
              <w:rPr>
                <w:rFonts w:cs="Arial"/>
                <w:szCs w:val="24"/>
              </w:rPr>
              <w:t>960</w:t>
            </w:r>
          </w:p>
        </w:tc>
        <w:tc>
          <w:tcPr>
            <w:tcW w:w="2727" w:type="dxa"/>
            <w:tcBorders>
              <w:top w:val="single" w:sz="4" w:space="0" w:color="auto"/>
              <w:left w:val="single" w:sz="4" w:space="0" w:color="auto"/>
              <w:bottom w:val="single" w:sz="4" w:space="0" w:color="auto"/>
              <w:right w:val="single" w:sz="4" w:space="0" w:color="auto"/>
            </w:tcBorders>
            <w:vAlign w:val="center"/>
          </w:tcPr>
          <w:p w14:paraId="2DF0BE06" w14:textId="47F9BF22" w:rsidR="009D0F4C" w:rsidRPr="00FB606A" w:rsidRDefault="009D0F4C" w:rsidP="009D0F4C">
            <w:pPr>
              <w:jc w:val="right"/>
              <w:rPr>
                <w:rFonts w:cs="Arial"/>
                <w:szCs w:val="24"/>
              </w:rPr>
            </w:pPr>
            <w:r w:rsidRPr="00543C89">
              <w:rPr>
                <w:rFonts w:cs="Arial"/>
                <w:szCs w:val="24"/>
              </w:rPr>
              <w:t>5,971</w:t>
            </w:r>
          </w:p>
        </w:tc>
      </w:tr>
      <w:tr w:rsidR="009D0F4C" w:rsidRPr="00D948C1" w14:paraId="7AE29BD8" w14:textId="77777777" w:rsidTr="00233A66">
        <w:tc>
          <w:tcPr>
            <w:tcW w:w="3641" w:type="dxa"/>
            <w:tcBorders>
              <w:top w:val="single" w:sz="4" w:space="0" w:color="auto"/>
              <w:left w:val="single" w:sz="4" w:space="0" w:color="auto"/>
              <w:bottom w:val="single" w:sz="4" w:space="0" w:color="auto"/>
              <w:right w:val="single" w:sz="4" w:space="0" w:color="auto"/>
            </w:tcBorders>
          </w:tcPr>
          <w:p w14:paraId="234A9DA8" w14:textId="7FE432E0" w:rsidR="009D0F4C" w:rsidRPr="00D948C1" w:rsidRDefault="009D0F4C" w:rsidP="009D0F4C">
            <w:pPr>
              <w:rPr>
                <w:b/>
                <w:szCs w:val="24"/>
              </w:rPr>
            </w:pPr>
            <w:r w:rsidRPr="00543C89">
              <w:rPr>
                <w:rFonts w:cs="Arial"/>
                <w:b/>
                <w:szCs w:val="24"/>
              </w:rPr>
              <w:t>Net cost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008F0A2E" w14:textId="157DD061" w:rsidR="009D0F4C" w:rsidRPr="00FB606A" w:rsidRDefault="009D0F4C" w:rsidP="009D0F4C">
            <w:pPr>
              <w:jc w:val="right"/>
              <w:rPr>
                <w:rFonts w:cs="Arial"/>
                <w:b/>
                <w:bCs/>
                <w:szCs w:val="24"/>
              </w:rPr>
            </w:pPr>
            <w:r w:rsidRPr="00543C89">
              <w:rPr>
                <w:rFonts w:cs="Arial"/>
                <w:b/>
                <w:bCs/>
                <w:szCs w:val="24"/>
              </w:rPr>
              <w:t>74,588</w:t>
            </w:r>
          </w:p>
        </w:tc>
        <w:tc>
          <w:tcPr>
            <w:tcW w:w="2376" w:type="dxa"/>
            <w:tcBorders>
              <w:top w:val="single" w:sz="4" w:space="0" w:color="auto"/>
              <w:left w:val="single" w:sz="4" w:space="0" w:color="auto"/>
              <w:bottom w:val="single" w:sz="4" w:space="0" w:color="auto"/>
              <w:right w:val="single" w:sz="4" w:space="0" w:color="auto"/>
            </w:tcBorders>
            <w:vAlign w:val="center"/>
          </w:tcPr>
          <w:p w14:paraId="0A863984" w14:textId="74C2B251" w:rsidR="009D0F4C" w:rsidRPr="00FB606A" w:rsidRDefault="009D0F4C" w:rsidP="009D0F4C">
            <w:pPr>
              <w:jc w:val="right"/>
              <w:rPr>
                <w:rFonts w:cs="Arial"/>
                <w:b/>
                <w:bCs/>
                <w:szCs w:val="24"/>
              </w:rPr>
            </w:pPr>
            <w:r>
              <w:rPr>
                <w:rFonts w:cs="Arial"/>
                <w:b/>
                <w:bCs/>
                <w:szCs w:val="24"/>
              </w:rPr>
              <w:t>(1,145)</w:t>
            </w:r>
          </w:p>
        </w:tc>
        <w:tc>
          <w:tcPr>
            <w:tcW w:w="1701" w:type="dxa"/>
            <w:tcBorders>
              <w:top w:val="single" w:sz="4" w:space="0" w:color="auto"/>
              <w:left w:val="single" w:sz="4" w:space="0" w:color="auto"/>
              <w:bottom w:val="single" w:sz="4" w:space="0" w:color="auto"/>
              <w:right w:val="single" w:sz="4" w:space="0" w:color="auto"/>
            </w:tcBorders>
            <w:vAlign w:val="center"/>
          </w:tcPr>
          <w:p w14:paraId="5A593646" w14:textId="6630B1B3" w:rsidR="009D0F4C" w:rsidRPr="00FB606A" w:rsidRDefault="009D0F4C" w:rsidP="009D0F4C">
            <w:pPr>
              <w:jc w:val="right"/>
              <w:rPr>
                <w:rFonts w:cs="Arial"/>
                <w:b/>
                <w:bCs/>
                <w:szCs w:val="24"/>
              </w:rPr>
            </w:pPr>
            <w:r w:rsidRPr="00543C89">
              <w:rPr>
                <w:rFonts w:cs="Arial"/>
                <w:b/>
                <w:bCs/>
                <w:szCs w:val="24"/>
              </w:rPr>
              <w:t>7</w:t>
            </w:r>
            <w:r>
              <w:rPr>
                <w:rFonts w:cs="Arial"/>
                <w:b/>
                <w:bCs/>
                <w:szCs w:val="24"/>
              </w:rPr>
              <w:t>3</w:t>
            </w:r>
            <w:r w:rsidRPr="00543C89">
              <w:rPr>
                <w:rFonts w:cs="Arial"/>
                <w:b/>
                <w:bCs/>
                <w:szCs w:val="24"/>
              </w:rPr>
              <w:t>,</w:t>
            </w:r>
            <w:r>
              <w:rPr>
                <w:rFonts w:cs="Arial"/>
                <w:b/>
                <w:bCs/>
                <w:szCs w:val="24"/>
              </w:rPr>
              <w:t>443</w:t>
            </w:r>
          </w:p>
        </w:tc>
        <w:tc>
          <w:tcPr>
            <w:tcW w:w="2551" w:type="dxa"/>
            <w:tcBorders>
              <w:top w:val="single" w:sz="4" w:space="0" w:color="auto"/>
              <w:left w:val="single" w:sz="4" w:space="0" w:color="auto"/>
              <w:bottom w:val="single" w:sz="4" w:space="0" w:color="auto"/>
              <w:right w:val="single" w:sz="4" w:space="0" w:color="auto"/>
            </w:tcBorders>
            <w:vAlign w:val="center"/>
          </w:tcPr>
          <w:p w14:paraId="2B83FF0C" w14:textId="1D26A75F" w:rsidR="009D0F4C" w:rsidRPr="00FB606A" w:rsidRDefault="009D0F4C" w:rsidP="009D0F4C">
            <w:pPr>
              <w:jc w:val="right"/>
              <w:rPr>
                <w:rFonts w:cs="Arial"/>
                <w:b/>
                <w:bCs/>
                <w:szCs w:val="24"/>
              </w:rPr>
            </w:pPr>
            <w:r w:rsidRPr="00543C89">
              <w:rPr>
                <w:rFonts w:cs="Arial"/>
                <w:b/>
                <w:bCs/>
                <w:szCs w:val="24"/>
              </w:rPr>
              <w:t>(2</w:t>
            </w:r>
            <w:r>
              <w:rPr>
                <w:rFonts w:cs="Arial"/>
                <w:b/>
                <w:bCs/>
                <w:szCs w:val="24"/>
              </w:rPr>
              <w:t>2</w:t>
            </w:r>
            <w:r w:rsidRPr="00543C89">
              <w:rPr>
                <w:rFonts w:cs="Arial"/>
                <w:b/>
                <w:bCs/>
                <w:szCs w:val="24"/>
              </w:rPr>
              <w:t>,</w:t>
            </w:r>
            <w:r>
              <w:rPr>
                <w:rFonts w:cs="Arial"/>
                <w:b/>
                <w:bCs/>
                <w:szCs w:val="24"/>
              </w:rPr>
              <w:t>586</w:t>
            </w:r>
            <w:r w:rsidRPr="00543C89">
              <w:rPr>
                <w:rFonts w:cs="Arial"/>
                <w:b/>
                <w:bCs/>
                <w:szCs w:val="24"/>
              </w:rPr>
              <w:t>)</w:t>
            </w:r>
          </w:p>
        </w:tc>
        <w:tc>
          <w:tcPr>
            <w:tcW w:w="2727" w:type="dxa"/>
            <w:tcBorders>
              <w:top w:val="single" w:sz="4" w:space="0" w:color="auto"/>
              <w:left w:val="single" w:sz="4" w:space="0" w:color="auto"/>
              <w:bottom w:val="single" w:sz="4" w:space="0" w:color="auto"/>
              <w:right w:val="single" w:sz="4" w:space="0" w:color="auto"/>
            </w:tcBorders>
            <w:vAlign w:val="center"/>
          </w:tcPr>
          <w:p w14:paraId="01DC48D4" w14:textId="79D1A54D" w:rsidR="009D0F4C" w:rsidRPr="00FB606A" w:rsidRDefault="009D0F4C" w:rsidP="009D0F4C">
            <w:pPr>
              <w:jc w:val="right"/>
              <w:rPr>
                <w:rFonts w:cs="Arial"/>
                <w:b/>
                <w:bCs/>
                <w:szCs w:val="24"/>
              </w:rPr>
            </w:pPr>
            <w:r w:rsidRPr="00543C89">
              <w:rPr>
                <w:rFonts w:cs="Arial"/>
                <w:b/>
                <w:szCs w:val="24"/>
              </w:rPr>
              <w:t>50,856</w:t>
            </w:r>
          </w:p>
        </w:tc>
      </w:tr>
      <w:tr w:rsidR="009D0F4C" w:rsidRPr="00D948C1" w14:paraId="65F7F10C" w14:textId="77777777" w:rsidTr="00233A66">
        <w:tc>
          <w:tcPr>
            <w:tcW w:w="3641" w:type="dxa"/>
            <w:tcBorders>
              <w:top w:val="single" w:sz="4" w:space="0" w:color="auto"/>
              <w:left w:val="single" w:sz="4" w:space="0" w:color="auto"/>
              <w:bottom w:val="single" w:sz="4" w:space="0" w:color="auto"/>
              <w:right w:val="single" w:sz="4" w:space="0" w:color="auto"/>
            </w:tcBorders>
          </w:tcPr>
          <w:p w14:paraId="2A418BC7" w14:textId="1F91B756" w:rsidR="009D0F4C" w:rsidRPr="00D948C1" w:rsidRDefault="009D0F4C" w:rsidP="009D0F4C">
            <w:pPr>
              <w:rPr>
                <w:szCs w:val="24"/>
              </w:rPr>
            </w:pPr>
            <w:r w:rsidRPr="00543C89">
              <w:rPr>
                <w:rFonts w:cs="Arial"/>
                <w:szCs w:val="24"/>
              </w:rPr>
              <w:t>Other income and expenditure</w:t>
            </w:r>
          </w:p>
        </w:tc>
        <w:tc>
          <w:tcPr>
            <w:tcW w:w="1735" w:type="dxa"/>
            <w:tcBorders>
              <w:top w:val="single" w:sz="4" w:space="0" w:color="auto"/>
              <w:left w:val="single" w:sz="4" w:space="0" w:color="auto"/>
              <w:bottom w:val="single" w:sz="4" w:space="0" w:color="auto"/>
              <w:right w:val="single" w:sz="4" w:space="0" w:color="auto"/>
            </w:tcBorders>
            <w:vAlign w:val="center"/>
          </w:tcPr>
          <w:p w14:paraId="2F9C090A" w14:textId="2A68E168" w:rsidR="009D0F4C" w:rsidRPr="00FB606A" w:rsidRDefault="009D0F4C" w:rsidP="009D0F4C">
            <w:pPr>
              <w:jc w:val="right"/>
              <w:rPr>
                <w:rFonts w:cs="Arial"/>
                <w:szCs w:val="24"/>
              </w:rPr>
            </w:pPr>
            <w:r w:rsidRPr="00543C89">
              <w:rPr>
                <w:rFonts w:cs="Arial"/>
                <w:szCs w:val="24"/>
              </w:rPr>
              <w:t>(75,323)</w:t>
            </w:r>
          </w:p>
        </w:tc>
        <w:tc>
          <w:tcPr>
            <w:tcW w:w="2376" w:type="dxa"/>
            <w:tcBorders>
              <w:top w:val="single" w:sz="4" w:space="0" w:color="auto"/>
              <w:left w:val="single" w:sz="4" w:space="0" w:color="auto"/>
              <w:bottom w:val="single" w:sz="4" w:space="0" w:color="auto"/>
              <w:right w:val="single" w:sz="4" w:space="0" w:color="auto"/>
            </w:tcBorders>
            <w:vAlign w:val="center"/>
          </w:tcPr>
          <w:p w14:paraId="1013A3DF" w14:textId="4690DF9F" w:rsidR="009D0F4C" w:rsidRPr="00FB606A" w:rsidRDefault="009D0F4C" w:rsidP="009D0F4C">
            <w:pPr>
              <w:jc w:val="right"/>
              <w:rPr>
                <w:rFonts w:cs="Arial"/>
                <w:szCs w:val="24"/>
              </w:rPr>
            </w:pPr>
            <w:r w:rsidRPr="00543C89">
              <w:rPr>
                <w:rFonts w:cs="Arial"/>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C825051" w14:textId="294FB58C" w:rsidR="009D0F4C" w:rsidRPr="00FB606A" w:rsidRDefault="009D0F4C" w:rsidP="009D0F4C">
            <w:pPr>
              <w:jc w:val="right"/>
              <w:rPr>
                <w:rFonts w:cs="Arial"/>
                <w:szCs w:val="24"/>
              </w:rPr>
            </w:pPr>
            <w:r w:rsidRPr="00543C89">
              <w:rPr>
                <w:rFonts w:cs="Arial"/>
                <w:szCs w:val="24"/>
              </w:rPr>
              <w:t>(75,323)</w:t>
            </w:r>
          </w:p>
        </w:tc>
        <w:tc>
          <w:tcPr>
            <w:tcW w:w="2551" w:type="dxa"/>
            <w:tcBorders>
              <w:top w:val="single" w:sz="4" w:space="0" w:color="auto"/>
              <w:left w:val="single" w:sz="4" w:space="0" w:color="auto"/>
              <w:bottom w:val="single" w:sz="4" w:space="0" w:color="auto"/>
              <w:right w:val="single" w:sz="4" w:space="0" w:color="auto"/>
            </w:tcBorders>
            <w:vAlign w:val="center"/>
          </w:tcPr>
          <w:p w14:paraId="0E501702" w14:textId="4B5FB0E5" w:rsidR="009D0F4C" w:rsidRPr="00FB606A" w:rsidRDefault="009D0F4C" w:rsidP="009D0F4C">
            <w:pPr>
              <w:jc w:val="right"/>
              <w:rPr>
                <w:rFonts w:cs="Arial"/>
                <w:szCs w:val="24"/>
              </w:rPr>
            </w:pPr>
            <w:r w:rsidRPr="00543C89">
              <w:rPr>
                <w:rFonts w:cs="Arial"/>
                <w:szCs w:val="24"/>
              </w:rPr>
              <w:t>27,520</w:t>
            </w:r>
          </w:p>
        </w:tc>
        <w:tc>
          <w:tcPr>
            <w:tcW w:w="2727" w:type="dxa"/>
            <w:tcBorders>
              <w:top w:val="single" w:sz="4" w:space="0" w:color="auto"/>
              <w:left w:val="single" w:sz="4" w:space="0" w:color="auto"/>
              <w:bottom w:val="single" w:sz="4" w:space="0" w:color="auto"/>
              <w:right w:val="single" w:sz="4" w:space="0" w:color="auto"/>
            </w:tcBorders>
            <w:vAlign w:val="center"/>
          </w:tcPr>
          <w:p w14:paraId="318F6A90" w14:textId="1DE05C60" w:rsidR="009D0F4C" w:rsidRPr="00FB606A" w:rsidRDefault="009D0F4C" w:rsidP="009D0F4C">
            <w:pPr>
              <w:jc w:val="right"/>
              <w:rPr>
                <w:rFonts w:cs="Arial"/>
                <w:szCs w:val="24"/>
              </w:rPr>
            </w:pPr>
            <w:r w:rsidRPr="00543C89">
              <w:rPr>
                <w:rFonts w:cs="Arial"/>
                <w:szCs w:val="24"/>
              </w:rPr>
              <w:t>(47,802)</w:t>
            </w:r>
          </w:p>
        </w:tc>
      </w:tr>
      <w:tr w:rsidR="009D0F4C" w:rsidRPr="00D948C1" w14:paraId="564878C1" w14:textId="77777777" w:rsidTr="00A709A5">
        <w:trPr>
          <w:trHeight w:val="556"/>
        </w:trPr>
        <w:tc>
          <w:tcPr>
            <w:tcW w:w="3641" w:type="dxa"/>
            <w:tcBorders>
              <w:top w:val="single" w:sz="4" w:space="0" w:color="auto"/>
              <w:left w:val="single" w:sz="4" w:space="0" w:color="auto"/>
              <w:bottom w:val="single" w:sz="4" w:space="0" w:color="auto"/>
              <w:right w:val="single" w:sz="4" w:space="0" w:color="auto"/>
            </w:tcBorders>
          </w:tcPr>
          <w:p w14:paraId="64E9BD6E" w14:textId="33EA38A1" w:rsidR="009D0F4C" w:rsidRPr="00D948C1" w:rsidRDefault="009D0F4C" w:rsidP="009D0F4C">
            <w:pPr>
              <w:rPr>
                <w:b/>
                <w:szCs w:val="24"/>
              </w:rPr>
            </w:pPr>
            <w:r w:rsidRPr="00543C89">
              <w:rPr>
                <w:rFonts w:cs="Arial"/>
                <w:b/>
                <w:szCs w:val="24"/>
              </w:rPr>
              <w:t>(Surplus)</w:t>
            </w:r>
            <w:r w:rsidR="007E0E1E">
              <w:rPr>
                <w:rFonts w:cs="Arial"/>
                <w:b/>
                <w:szCs w:val="24"/>
              </w:rPr>
              <w:t xml:space="preserve"> or d</w:t>
            </w:r>
            <w:r w:rsidRPr="00543C89">
              <w:rPr>
                <w:rFonts w:cs="Arial"/>
                <w:b/>
                <w:szCs w:val="24"/>
              </w:rPr>
              <w:t>eficit on provision of services</w:t>
            </w:r>
          </w:p>
        </w:tc>
        <w:tc>
          <w:tcPr>
            <w:tcW w:w="1735" w:type="dxa"/>
            <w:tcBorders>
              <w:top w:val="single" w:sz="4" w:space="0" w:color="auto"/>
              <w:left w:val="single" w:sz="4" w:space="0" w:color="auto"/>
              <w:bottom w:val="single" w:sz="4" w:space="0" w:color="auto"/>
              <w:right w:val="single" w:sz="4" w:space="0" w:color="auto"/>
            </w:tcBorders>
            <w:vAlign w:val="center"/>
          </w:tcPr>
          <w:p w14:paraId="76151593" w14:textId="433F15C6" w:rsidR="009D0F4C" w:rsidRPr="00FB606A" w:rsidRDefault="009D0F4C" w:rsidP="009D0F4C">
            <w:pPr>
              <w:jc w:val="right"/>
              <w:rPr>
                <w:rFonts w:cs="Arial"/>
                <w:b/>
                <w:bCs/>
                <w:szCs w:val="24"/>
              </w:rPr>
            </w:pPr>
            <w:r w:rsidRPr="00543C89">
              <w:rPr>
                <w:rFonts w:cs="Arial"/>
                <w:b/>
                <w:bCs/>
                <w:szCs w:val="24"/>
              </w:rPr>
              <w:t>(735)</w:t>
            </w:r>
          </w:p>
        </w:tc>
        <w:tc>
          <w:tcPr>
            <w:tcW w:w="2376" w:type="dxa"/>
            <w:tcBorders>
              <w:top w:val="single" w:sz="4" w:space="0" w:color="auto"/>
              <w:left w:val="single" w:sz="4" w:space="0" w:color="auto"/>
              <w:bottom w:val="single" w:sz="4" w:space="0" w:color="auto"/>
              <w:right w:val="single" w:sz="4" w:space="0" w:color="auto"/>
            </w:tcBorders>
            <w:vAlign w:val="center"/>
          </w:tcPr>
          <w:p w14:paraId="21E9A8D5" w14:textId="5299EE4A" w:rsidR="009D0F4C" w:rsidRPr="00FB606A" w:rsidRDefault="009D0F4C" w:rsidP="009D0F4C">
            <w:pPr>
              <w:jc w:val="right"/>
              <w:rPr>
                <w:rFonts w:cs="Arial"/>
                <w:b/>
                <w:bCs/>
                <w:szCs w:val="24"/>
              </w:rPr>
            </w:pPr>
            <w:r>
              <w:rPr>
                <w:rFonts w:cs="Arial"/>
                <w:b/>
                <w:bCs/>
                <w:szCs w:val="24"/>
              </w:rPr>
              <w:t>(1,145)</w:t>
            </w:r>
          </w:p>
        </w:tc>
        <w:tc>
          <w:tcPr>
            <w:tcW w:w="1701" w:type="dxa"/>
            <w:tcBorders>
              <w:top w:val="single" w:sz="4" w:space="0" w:color="auto"/>
              <w:left w:val="single" w:sz="4" w:space="0" w:color="auto"/>
              <w:bottom w:val="single" w:sz="4" w:space="0" w:color="auto"/>
              <w:right w:val="single" w:sz="4" w:space="0" w:color="auto"/>
            </w:tcBorders>
            <w:vAlign w:val="center"/>
          </w:tcPr>
          <w:p w14:paraId="1BFEB3BF" w14:textId="14F7F742" w:rsidR="009D0F4C" w:rsidRPr="00FB606A" w:rsidRDefault="009D0F4C" w:rsidP="009D0F4C">
            <w:pPr>
              <w:jc w:val="right"/>
              <w:rPr>
                <w:rFonts w:cs="Arial"/>
                <w:b/>
                <w:bCs/>
                <w:szCs w:val="24"/>
              </w:rPr>
            </w:pPr>
            <w:r w:rsidRPr="00543C89">
              <w:rPr>
                <w:rFonts w:cs="Arial"/>
                <w:b/>
                <w:bCs/>
                <w:szCs w:val="24"/>
              </w:rPr>
              <w:t>(</w:t>
            </w:r>
            <w:r>
              <w:rPr>
                <w:rFonts w:cs="Arial"/>
                <w:b/>
                <w:bCs/>
                <w:szCs w:val="24"/>
              </w:rPr>
              <w:t>1,880</w:t>
            </w:r>
            <w:r w:rsidRPr="00543C89">
              <w:rPr>
                <w:rFonts w:cs="Arial"/>
                <w:b/>
                <w:bCs/>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15425AFD" w14:textId="1E24F9AD" w:rsidR="009D0F4C" w:rsidRPr="00FB606A" w:rsidRDefault="009D0F4C" w:rsidP="009D0F4C">
            <w:pPr>
              <w:jc w:val="right"/>
              <w:rPr>
                <w:rFonts w:cs="Arial"/>
                <w:b/>
                <w:bCs/>
                <w:szCs w:val="24"/>
              </w:rPr>
            </w:pPr>
            <w:r>
              <w:rPr>
                <w:rFonts w:cs="Arial"/>
                <w:b/>
                <w:bCs/>
                <w:szCs w:val="24"/>
              </w:rPr>
              <w:t>4</w:t>
            </w:r>
            <w:r w:rsidRPr="00543C89">
              <w:rPr>
                <w:rFonts w:cs="Arial"/>
                <w:b/>
                <w:bCs/>
                <w:szCs w:val="24"/>
              </w:rPr>
              <w:t>,</w:t>
            </w:r>
            <w:r>
              <w:rPr>
                <w:rFonts w:cs="Arial"/>
                <w:b/>
                <w:bCs/>
                <w:szCs w:val="24"/>
              </w:rPr>
              <w:t>934</w:t>
            </w:r>
          </w:p>
        </w:tc>
        <w:tc>
          <w:tcPr>
            <w:tcW w:w="2727" w:type="dxa"/>
            <w:tcBorders>
              <w:top w:val="single" w:sz="4" w:space="0" w:color="auto"/>
              <w:left w:val="single" w:sz="4" w:space="0" w:color="auto"/>
              <w:bottom w:val="single" w:sz="4" w:space="0" w:color="auto"/>
              <w:right w:val="single" w:sz="4" w:space="0" w:color="auto"/>
            </w:tcBorders>
            <w:vAlign w:val="center"/>
          </w:tcPr>
          <w:p w14:paraId="2DA96305" w14:textId="74E87E5A" w:rsidR="009D0F4C" w:rsidRPr="00FB606A" w:rsidRDefault="009D0F4C" w:rsidP="009D0F4C">
            <w:pPr>
              <w:jc w:val="right"/>
              <w:rPr>
                <w:rFonts w:cs="Arial"/>
                <w:b/>
                <w:bCs/>
                <w:szCs w:val="24"/>
              </w:rPr>
            </w:pPr>
            <w:r w:rsidRPr="00543C89">
              <w:rPr>
                <w:rFonts w:cs="Arial"/>
                <w:b/>
                <w:szCs w:val="24"/>
              </w:rPr>
              <w:t>3,054</w:t>
            </w:r>
          </w:p>
        </w:tc>
      </w:tr>
    </w:tbl>
    <w:p w14:paraId="010B228A" w14:textId="77777777" w:rsidR="00DD2894" w:rsidRPr="00D948C1" w:rsidRDefault="00DD2894"/>
    <w:tbl>
      <w:tblPr>
        <w:tblStyle w:val="TableGrid"/>
        <w:tblW w:w="9492" w:type="dxa"/>
        <w:tblInd w:w="709" w:type="dxa"/>
        <w:tblLayout w:type="fixed"/>
        <w:tblLook w:val="04A0" w:firstRow="1" w:lastRow="0" w:firstColumn="1" w:lastColumn="0" w:noHBand="0" w:noVBand="1"/>
      </w:tblPr>
      <w:tblGrid>
        <w:gridCol w:w="7791"/>
        <w:gridCol w:w="1701"/>
      </w:tblGrid>
      <w:tr w:rsidR="009D0F4C" w:rsidRPr="00D948C1" w14:paraId="1E8B6269" w14:textId="77777777" w:rsidTr="009D0F4C">
        <w:tc>
          <w:tcPr>
            <w:tcW w:w="7791" w:type="dxa"/>
            <w:tcBorders>
              <w:top w:val="single" w:sz="4" w:space="0" w:color="auto"/>
              <w:left w:val="single" w:sz="4" w:space="0" w:color="auto"/>
              <w:bottom w:val="single" w:sz="4" w:space="0" w:color="auto"/>
              <w:right w:val="single" w:sz="4" w:space="0" w:color="auto"/>
            </w:tcBorders>
          </w:tcPr>
          <w:p w14:paraId="7968F9CF" w14:textId="77777777" w:rsidR="009D0F4C" w:rsidRPr="00D948C1" w:rsidRDefault="009D0F4C" w:rsidP="009D0F4C">
            <w:pPr>
              <w:rPr>
                <w:rFonts w:cs="Arial"/>
                <w:b/>
                <w:bCs/>
                <w:szCs w:val="24"/>
              </w:rPr>
            </w:pPr>
            <w:r w:rsidRPr="00D948C1">
              <w:rPr>
                <w:rFonts w:cs="Arial"/>
                <w:b/>
                <w:bCs/>
                <w:szCs w:val="24"/>
              </w:rPr>
              <w:t>Opening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0FF4EA64" w14:textId="4F0241C3" w:rsidR="009D0F4C" w:rsidRPr="00FB606A" w:rsidRDefault="009D0F4C" w:rsidP="009D0F4C">
            <w:pPr>
              <w:ind w:right="136"/>
              <w:jc w:val="right"/>
              <w:rPr>
                <w:rFonts w:cs="Arial"/>
                <w:b/>
                <w:bCs/>
                <w:szCs w:val="24"/>
              </w:rPr>
            </w:pPr>
            <w:r w:rsidRPr="00FB606A">
              <w:rPr>
                <w:rFonts w:cs="Arial"/>
                <w:b/>
                <w:bCs/>
                <w:szCs w:val="24"/>
              </w:rPr>
              <w:t>(</w:t>
            </w:r>
            <w:r>
              <w:rPr>
                <w:rFonts w:cs="Arial"/>
                <w:b/>
                <w:bCs/>
                <w:szCs w:val="24"/>
              </w:rPr>
              <w:t>33</w:t>
            </w:r>
            <w:r w:rsidRPr="00FB606A">
              <w:rPr>
                <w:rFonts w:cs="Arial"/>
                <w:b/>
                <w:bCs/>
                <w:szCs w:val="24"/>
              </w:rPr>
              <w:t>,6</w:t>
            </w:r>
            <w:r>
              <w:rPr>
                <w:rFonts w:cs="Arial"/>
                <w:b/>
                <w:bCs/>
                <w:szCs w:val="24"/>
              </w:rPr>
              <w:t>96</w:t>
            </w:r>
            <w:r w:rsidRPr="00FB606A">
              <w:rPr>
                <w:rFonts w:cs="Arial"/>
                <w:b/>
                <w:bCs/>
                <w:szCs w:val="24"/>
              </w:rPr>
              <w:t>)</w:t>
            </w:r>
            <w:r w:rsidRPr="00543C89">
              <w:rPr>
                <w:rFonts w:cs="Arial"/>
                <w:b/>
                <w:bCs/>
                <w:szCs w:val="24"/>
              </w:rPr>
              <w:t xml:space="preserve"> </w:t>
            </w:r>
          </w:p>
        </w:tc>
      </w:tr>
      <w:tr w:rsidR="009D0F4C" w:rsidRPr="00D948C1" w14:paraId="1FE83464" w14:textId="77777777" w:rsidTr="009D0F4C">
        <w:tc>
          <w:tcPr>
            <w:tcW w:w="7791" w:type="dxa"/>
            <w:tcBorders>
              <w:top w:val="single" w:sz="4" w:space="0" w:color="auto"/>
              <w:left w:val="single" w:sz="4" w:space="0" w:color="auto"/>
              <w:bottom w:val="single" w:sz="4" w:space="0" w:color="auto"/>
              <w:right w:val="single" w:sz="4" w:space="0" w:color="auto"/>
            </w:tcBorders>
          </w:tcPr>
          <w:p w14:paraId="644B0EA3" w14:textId="054D7BEA" w:rsidR="009D0F4C" w:rsidRPr="00D948C1" w:rsidRDefault="009D0F4C" w:rsidP="009D0F4C">
            <w:pPr>
              <w:rPr>
                <w:rFonts w:cs="Arial"/>
                <w:szCs w:val="24"/>
              </w:rPr>
            </w:pPr>
            <w:r>
              <w:rPr>
                <w:rFonts w:cs="Arial"/>
                <w:szCs w:val="24"/>
              </w:rPr>
              <w:t>(</w:t>
            </w:r>
            <w:r w:rsidRPr="00D948C1">
              <w:rPr>
                <w:rFonts w:cs="Arial"/>
                <w:szCs w:val="24"/>
              </w:rPr>
              <w:t>Surplus</w:t>
            </w:r>
            <w:r>
              <w:rPr>
                <w:rFonts w:cs="Arial"/>
                <w:szCs w:val="24"/>
              </w:rPr>
              <w:t>)</w:t>
            </w:r>
            <w:r w:rsidR="007E0E1E">
              <w:rPr>
                <w:rFonts w:cs="Arial"/>
                <w:szCs w:val="24"/>
              </w:rPr>
              <w:t xml:space="preserve"> or d</w:t>
            </w:r>
            <w:r>
              <w:rPr>
                <w:rFonts w:cs="Arial"/>
                <w:szCs w:val="24"/>
              </w:rPr>
              <w:t>eficit</w:t>
            </w:r>
            <w:r w:rsidRPr="00D948C1">
              <w:rPr>
                <w:rFonts w:cs="Arial"/>
                <w:szCs w:val="24"/>
              </w:rPr>
              <w:t xml:space="preserve"> on provision of services</w:t>
            </w:r>
          </w:p>
        </w:tc>
        <w:tc>
          <w:tcPr>
            <w:tcW w:w="1701" w:type="dxa"/>
            <w:tcBorders>
              <w:top w:val="single" w:sz="4" w:space="0" w:color="auto"/>
              <w:left w:val="single" w:sz="4" w:space="0" w:color="auto"/>
              <w:bottom w:val="single" w:sz="4" w:space="0" w:color="auto"/>
              <w:right w:val="single" w:sz="4" w:space="0" w:color="auto"/>
            </w:tcBorders>
            <w:vAlign w:val="center"/>
          </w:tcPr>
          <w:p w14:paraId="6F1BAA3D" w14:textId="24A1B71A" w:rsidR="009D0F4C" w:rsidRDefault="009D0F4C" w:rsidP="009D0F4C">
            <w:pPr>
              <w:ind w:right="136"/>
              <w:jc w:val="right"/>
              <w:rPr>
                <w:rFonts w:cs="Arial"/>
                <w:szCs w:val="24"/>
              </w:rPr>
            </w:pPr>
            <w:r w:rsidRPr="00543C89">
              <w:rPr>
                <w:rFonts w:cs="Arial"/>
                <w:szCs w:val="24"/>
              </w:rPr>
              <w:t>(</w:t>
            </w:r>
            <w:r>
              <w:rPr>
                <w:rFonts w:cs="Arial"/>
                <w:szCs w:val="24"/>
              </w:rPr>
              <w:t>1,880</w:t>
            </w:r>
            <w:r w:rsidRPr="00543C89">
              <w:rPr>
                <w:rFonts w:cs="Arial"/>
                <w:szCs w:val="24"/>
              </w:rPr>
              <w:t>)</w:t>
            </w:r>
          </w:p>
        </w:tc>
      </w:tr>
      <w:tr w:rsidR="009D0F4C" w:rsidRPr="00D948C1" w14:paraId="4AF11DE0" w14:textId="77777777" w:rsidTr="009D0F4C">
        <w:tc>
          <w:tcPr>
            <w:tcW w:w="7791" w:type="dxa"/>
            <w:tcBorders>
              <w:top w:val="single" w:sz="4" w:space="0" w:color="auto"/>
              <w:left w:val="single" w:sz="4" w:space="0" w:color="auto"/>
              <w:bottom w:val="single" w:sz="4" w:space="0" w:color="auto"/>
              <w:right w:val="single" w:sz="4" w:space="0" w:color="auto"/>
            </w:tcBorders>
          </w:tcPr>
          <w:p w14:paraId="5901731F" w14:textId="77777777" w:rsidR="009D0F4C" w:rsidRPr="00D948C1" w:rsidRDefault="009D0F4C" w:rsidP="009D0F4C">
            <w:pPr>
              <w:rPr>
                <w:rFonts w:cs="Arial"/>
                <w:b/>
                <w:bCs/>
                <w:szCs w:val="24"/>
              </w:rPr>
            </w:pPr>
            <w:r w:rsidRPr="00D948C1">
              <w:rPr>
                <w:rFonts w:cs="Arial"/>
                <w:b/>
                <w:bCs/>
                <w:szCs w:val="24"/>
              </w:rPr>
              <w:t>Closing General Fund balance</w:t>
            </w:r>
          </w:p>
        </w:tc>
        <w:tc>
          <w:tcPr>
            <w:tcW w:w="1701" w:type="dxa"/>
            <w:tcBorders>
              <w:top w:val="single" w:sz="4" w:space="0" w:color="auto"/>
              <w:left w:val="single" w:sz="4" w:space="0" w:color="auto"/>
              <w:bottom w:val="single" w:sz="4" w:space="0" w:color="auto"/>
              <w:right w:val="single" w:sz="4" w:space="0" w:color="auto"/>
            </w:tcBorders>
            <w:vAlign w:val="center"/>
          </w:tcPr>
          <w:p w14:paraId="5F35C68D" w14:textId="6AFA168B" w:rsidR="009D0F4C" w:rsidRPr="00FB606A" w:rsidRDefault="009D0F4C" w:rsidP="009D0F4C">
            <w:pPr>
              <w:ind w:right="136"/>
              <w:jc w:val="right"/>
              <w:rPr>
                <w:rFonts w:cs="Arial"/>
                <w:b/>
                <w:bCs/>
                <w:szCs w:val="24"/>
              </w:rPr>
            </w:pPr>
            <w:r w:rsidRPr="00543C89">
              <w:rPr>
                <w:rFonts w:cs="Arial"/>
                <w:b/>
                <w:bCs/>
                <w:szCs w:val="24"/>
              </w:rPr>
              <w:t>(</w:t>
            </w:r>
            <w:r>
              <w:rPr>
                <w:rFonts w:cs="Arial"/>
                <w:b/>
                <w:bCs/>
                <w:szCs w:val="24"/>
              </w:rPr>
              <w:t>35</w:t>
            </w:r>
            <w:r w:rsidRPr="00543C89">
              <w:rPr>
                <w:rFonts w:cs="Arial"/>
                <w:b/>
                <w:bCs/>
                <w:szCs w:val="24"/>
              </w:rPr>
              <w:t>,5</w:t>
            </w:r>
            <w:r>
              <w:rPr>
                <w:rFonts w:cs="Arial"/>
                <w:b/>
                <w:bCs/>
                <w:szCs w:val="24"/>
              </w:rPr>
              <w:t>7</w:t>
            </w:r>
            <w:r w:rsidRPr="00543C89">
              <w:rPr>
                <w:rFonts w:cs="Arial"/>
                <w:b/>
                <w:bCs/>
                <w:szCs w:val="24"/>
              </w:rPr>
              <w:t>6)</w:t>
            </w:r>
          </w:p>
        </w:tc>
      </w:tr>
    </w:tbl>
    <w:p w14:paraId="0540C2A3" w14:textId="191C65F5" w:rsidR="003C7C40" w:rsidRPr="00D948C1" w:rsidRDefault="003C7C40" w:rsidP="00767D18">
      <w:pPr>
        <w:rPr>
          <w:b/>
          <w:szCs w:val="24"/>
        </w:rPr>
      </w:pPr>
      <w:r w:rsidRPr="00D948C1">
        <w:rPr>
          <w:szCs w:val="24"/>
        </w:rPr>
        <w:br w:type="page"/>
      </w:r>
    </w:p>
    <w:p w14:paraId="06862C3A" w14:textId="1338CDED" w:rsidR="009469D7" w:rsidRPr="00D948C1" w:rsidRDefault="00EC5AC1" w:rsidP="005D04CB">
      <w:pPr>
        <w:pStyle w:val="Heading2"/>
        <w:jc w:val="left"/>
        <w:rPr>
          <w:sz w:val="24"/>
          <w:szCs w:val="24"/>
        </w:rPr>
      </w:pPr>
      <w:bookmarkStart w:id="22" w:name="_Toc233717520"/>
      <w:r w:rsidRPr="00D948C1">
        <w:rPr>
          <w:sz w:val="24"/>
          <w:szCs w:val="24"/>
        </w:rPr>
        <w:lastRenderedPageBreak/>
        <w:t>1</w:t>
      </w:r>
      <w:r w:rsidR="001C592E" w:rsidRPr="00D948C1">
        <w:rPr>
          <w:sz w:val="24"/>
          <w:szCs w:val="24"/>
        </w:rPr>
        <w:t>a</w:t>
      </w:r>
      <w:r w:rsidR="009469D7" w:rsidRPr="00D948C1">
        <w:rPr>
          <w:sz w:val="24"/>
          <w:szCs w:val="24"/>
        </w:rPr>
        <w:tab/>
        <w:t>Note to the Expenditure and Funding Analysis</w:t>
      </w:r>
      <w:bookmarkEnd w:id="22"/>
    </w:p>
    <w:p w14:paraId="645B6B55" w14:textId="77777777" w:rsidR="009469D7" w:rsidRPr="00D948C1" w:rsidRDefault="009469D7" w:rsidP="009469D7">
      <w:pPr>
        <w:ind w:left="720"/>
        <w:jc w:val="both"/>
        <w:rPr>
          <w:sz w:val="16"/>
          <w:szCs w:val="18"/>
        </w:rPr>
      </w:pPr>
    </w:p>
    <w:tbl>
      <w:tblPr>
        <w:tblStyle w:val="TableGrid"/>
        <w:tblW w:w="15449" w:type="dxa"/>
        <w:tblInd w:w="720" w:type="dxa"/>
        <w:tblLayout w:type="fixed"/>
        <w:tblLook w:val="04A0" w:firstRow="1" w:lastRow="0" w:firstColumn="1" w:lastColumn="0" w:noHBand="0" w:noVBand="1"/>
      </w:tblPr>
      <w:tblGrid>
        <w:gridCol w:w="3543"/>
        <w:gridCol w:w="1559"/>
        <w:gridCol w:w="1559"/>
        <w:gridCol w:w="1842"/>
        <w:gridCol w:w="1560"/>
        <w:gridCol w:w="1701"/>
        <w:gridCol w:w="1559"/>
        <w:gridCol w:w="2126"/>
      </w:tblGrid>
      <w:tr w:rsidR="00A26077" w:rsidRPr="00D948C1" w14:paraId="5DE5DF5B" w14:textId="77777777" w:rsidTr="00740D13">
        <w:trPr>
          <w:tblHeader/>
        </w:trPr>
        <w:tc>
          <w:tcPr>
            <w:tcW w:w="3543" w:type="dxa"/>
            <w:shd w:val="clear" w:color="auto" w:fill="BD2716"/>
            <w:vAlign w:val="center"/>
          </w:tcPr>
          <w:p w14:paraId="350D965F" w14:textId="5F4D5C12" w:rsidR="00A26077" w:rsidRPr="00D948C1" w:rsidRDefault="001A42DD" w:rsidP="00611673">
            <w:pPr>
              <w:rPr>
                <w:color w:val="FFFFFF" w:themeColor="background1"/>
                <w:szCs w:val="24"/>
              </w:rPr>
            </w:pPr>
            <w:bookmarkStart w:id="23" w:name="_Hlk96092429"/>
            <w:r>
              <w:rPr>
                <w:color w:val="FFFFFF" w:themeColor="background1"/>
                <w:szCs w:val="24"/>
              </w:rPr>
              <w:t>2025-26</w:t>
            </w:r>
          </w:p>
          <w:p w14:paraId="223199E9" w14:textId="3A644DE8" w:rsidR="00A26077" w:rsidRPr="00D948C1" w:rsidRDefault="00A26077" w:rsidP="00611673">
            <w:pPr>
              <w:rPr>
                <w:color w:val="FFFFFF" w:themeColor="background1"/>
                <w:szCs w:val="24"/>
              </w:rPr>
            </w:pPr>
            <w:r w:rsidRPr="00D948C1">
              <w:rPr>
                <w:color w:val="FFFFFF" w:themeColor="background1"/>
                <w:szCs w:val="24"/>
              </w:rPr>
              <w:t>Adjustments from General Fund to arrive at the Comprehensive Income and Expenditure Statement amounts</w:t>
            </w:r>
          </w:p>
        </w:tc>
        <w:tc>
          <w:tcPr>
            <w:tcW w:w="1559" w:type="dxa"/>
            <w:shd w:val="clear" w:color="auto" w:fill="BD2716"/>
            <w:vAlign w:val="center"/>
          </w:tcPr>
          <w:p w14:paraId="2BA2DA0B" w14:textId="23F68668" w:rsidR="00A26077" w:rsidRPr="00D948C1" w:rsidRDefault="00A26077" w:rsidP="006860B8">
            <w:pPr>
              <w:jc w:val="right"/>
              <w:rPr>
                <w:color w:val="FFFFFF" w:themeColor="background1"/>
                <w:szCs w:val="24"/>
              </w:rPr>
            </w:pPr>
            <w:r w:rsidRPr="00D948C1">
              <w:rPr>
                <w:color w:val="FFFFFF" w:themeColor="background1"/>
                <w:szCs w:val="24"/>
              </w:rPr>
              <w:t>Transfer to</w:t>
            </w:r>
            <w:r w:rsidR="007E0E1E">
              <w:rPr>
                <w:color w:val="FFFFFF" w:themeColor="background1"/>
                <w:szCs w:val="24"/>
              </w:rPr>
              <w:t xml:space="preserve"> or </w:t>
            </w:r>
            <w:r w:rsidRPr="00D948C1">
              <w:rPr>
                <w:color w:val="FFFFFF" w:themeColor="background1"/>
                <w:szCs w:val="24"/>
              </w:rPr>
              <w:t>(from) Earmarked Reserves</w:t>
            </w:r>
          </w:p>
          <w:p w14:paraId="63EA470D" w14:textId="04652DAB" w:rsidR="00A26077" w:rsidRPr="00D948C1" w:rsidRDefault="00A26077"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527144CF" w14:textId="77777777" w:rsidR="00A26077" w:rsidRDefault="006860B8" w:rsidP="006860B8">
            <w:pPr>
              <w:jc w:val="right"/>
              <w:rPr>
                <w:bCs/>
                <w:color w:val="FFFFFF" w:themeColor="background1"/>
                <w:szCs w:val="24"/>
              </w:rPr>
            </w:pPr>
            <w:proofErr w:type="gramStart"/>
            <w:r w:rsidRPr="008C72DB">
              <w:rPr>
                <w:bCs/>
                <w:color w:val="FFFFFF" w:themeColor="background1"/>
                <w:szCs w:val="24"/>
              </w:rPr>
              <w:t>North West</w:t>
            </w:r>
            <w:proofErr w:type="gramEnd"/>
            <w:r w:rsidRPr="008C72DB">
              <w:rPr>
                <w:bCs/>
                <w:color w:val="FFFFFF" w:themeColor="background1"/>
                <w:szCs w:val="24"/>
              </w:rPr>
              <w:t xml:space="preserve"> FireControl</w:t>
            </w:r>
            <w:r w:rsidR="008C72DB" w:rsidRPr="008C72DB">
              <w:rPr>
                <w:bCs/>
                <w:color w:val="FFFFFF" w:themeColor="background1"/>
                <w:szCs w:val="24"/>
              </w:rPr>
              <w:t xml:space="preserve"> Ltd</w:t>
            </w:r>
          </w:p>
          <w:p w14:paraId="4862EAED" w14:textId="1310BF0A" w:rsidR="008C72DB" w:rsidRPr="008C72DB" w:rsidRDefault="008C72DB" w:rsidP="006860B8">
            <w:pPr>
              <w:jc w:val="right"/>
              <w:rPr>
                <w:bCs/>
                <w:color w:val="FFFFFF" w:themeColor="background1"/>
                <w:szCs w:val="24"/>
              </w:rPr>
            </w:pPr>
            <w:r>
              <w:rPr>
                <w:bCs/>
                <w:color w:val="FFFFFF" w:themeColor="background1"/>
                <w:szCs w:val="24"/>
              </w:rPr>
              <w:t>£000</w:t>
            </w:r>
          </w:p>
        </w:tc>
        <w:tc>
          <w:tcPr>
            <w:tcW w:w="1842" w:type="dxa"/>
            <w:shd w:val="clear" w:color="auto" w:fill="BD2716"/>
            <w:vAlign w:val="center"/>
          </w:tcPr>
          <w:p w14:paraId="297016DA" w14:textId="10207631" w:rsidR="00A26077" w:rsidRPr="00D948C1" w:rsidRDefault="00A26077" w:rsidP="006860B8">
            <w:pPr>
              <w:jc w:val="right"/>
              <w:rPr>
                <w:b/>
                <w:color w:val="FFFFFF" w:themeColor="background1"/>
                <w:szCs w:val="24"/>
              </w:rPr>
            </w:pPr>
            <w:r w:rsidRPr="00D948C1">
              <w:rPr>
                <w:b/>
                <w:color w:val="FFFFFF" w:themeColor="background1"/>
                <w:szCs w:val="24"/>
              </w:rPr>
              <w:t>Total to arrive at amount charged to the General Fund</w:t>
            </w:r>
          </w:p>
          <w:p w14:paraId="2DB49B89" w14:textId="3E9AD544" w:rsidR="00A26077" w:rsidRPr="00D948C1" w:rsidRDefault="00A26077" w:rsidP="006860B8">
            <w:pPr>
              <w:jc w:val="right"/>
              <w:rPr>
                <w:b/>
                <w:color w:val="FFFFFF" w:themeColor="background1"/>
                <w:szCs w:val="24"/>
              </w:rPr>
            </w:pPr>
            <w:r w:rsidRPr="00D948C1">
              <w:rPr>
                <w:b/>
                <w:color w:val="FFFFFF" w:themeColor="background1"/>
                <w:szCs w:val="24"/>
              </w:rPr>
              <w:t>£000</w:t>
            </w:r>
          </w:p>
        </w:tc>
        <w:tc>
          <w:tcPr>
            <w:tcW w:w="1560" w:type="dxa"/>
            <w:shd w:val="clear" w:color="auto" w:fill="BD2716"/>
            <w:vAlign w:val="center"/>
          </w:tcPr>
          <w:p w14:paraId="40B19AF4" w14:textId="77777777" w:rsidR="00A26077" w:rsidRPr="00D948C1" w:rsidRDefault="00A26077" w:rsidP="006860B8">
            <w:pPr>
              <w:jc w:val="right"/>
              <w:rPr>
                <w:color w:val="FFFFFF" w:themeColor="background1"/>
                <w:szCs w:val="24"/>
              </w:rPr>
            </w:pPr>
            <w:r w:rsidRPr="00D948C1">
              <w:rPr>
                <w:color w:val="FFFFFF" w:themeColor="background1"/>
                <w:szCs w:val="24"/>
              </w:rPr>
              <w:t>Adjustments for Capital Purposes (1)</w:t>
            </w:r>
          </w:p>
          <w:p w14:paraId="04BF9A22" w14:textId="3DA91E2B" w:rsidR="00A26077" w:rsidRPr="00D948C1" w:rsidRDefault="00A26077" w:rsidP="006860B8">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74CF91EF" w14:textId="77777777" w:rsidR="00A26077" w:rsidRPr="00D948C1" w:rsidRDefault="00A26077" w:rsidP="006860B8">
            <w:pPr>
              <w:jc w:val="right"/>
              <w:rPr>
                <w:color w:val="FFFFFF" w:themeColor="background1"/>
                <w:szCs w:val="24"/>
              </w:rPr>
            </w:pPr>
            <w:r w:rsidRPr="00D948C1">
              <w:rPr>
                <w:color w:val="FFFFFF" w:themeColor="background1"/>
                <w:szCs w:val="24"/>
              </w:rPr>
              <w:t>Net change for Pensions Adjustments (2)</w:t>
            </w:r>
          </w:p>
          <w:p w14:paraId="4588C924" w14:textId="2E6CEE52" w:rsidR="00A26077" w:rsidRPr="00D948C1" w:rsidRDefault="00A26077" w:rsidP="006860B8">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1D069D13" w14:textId="77777777" w:rsidR="00A26077" w:rsidRPr="00D948C1" w:rsidRDefault="00A26077" w:rsidP="006860B8">
            <w:pPr>
              <w:jc w:val="right"/>
              <w:rPr>
                <w:color w:val="FFFFFF" w:themeColor="background1"/>
                <w:szCs w:val="24"/>
              </w:rPr>
            </w:pPr>
            <w:r w:rsidRPr="00D948C1">
              <w:rPr>
                <w:color w:val="FFFFFF" w:themeColor="background1"/>
                <w:szCs w:val="24"/>
              </w:rPr>
              <w:t>Other Differences (3)</w:t>
            </w:r>
          </w:p>
          <w:p w14:paraId="2B994C29" w14:textId="0DA73AB3" w:rsidR="00A26077" w:rsidRPr="00D948C1" w:rsidRDefault="00A26077" w:rsidP="006860B8">
            <w:pPr>
              <w:jc w:val="right"/>
              <w:rPr>
                <w:color w:val="FFFFFF" w:themeColor="background1"/>
                <w:szCs w:val="24"/>
              </w:rPr>
            </w:pPr>
            <w:r w:rsidRPr="00D948C1">
              <w:rPr>
                <w:color w:val="FFFFFF" w:themeColor="background1"/>
                <w:szCs w:val="24"/>
              </w:rPr>
              <w:t>£000</w:t>
            </w:r>
          </w:p>
        </w:tc>
        <w:tc>
          <w:tcPr>
            <w:tcW w:w="2126" w:type="dxa"/>
            <w:shd w:val="clear" w:color="auto" w:fill="BD2716"/>
            <w:vAlign w:val="center"/>
          </w:tcPr>
          <w:p w14:paraId="4E107569" w14:textId="77777777" w:rsidR="00A26077" w:rsidRPr="00D948C1" w:rsidRDefault="00A26077" w:rsidP="00611673">
            <w:pPr>
              <w:jc w:val="right"/>
              <w:rPr>
                <w:b/>
                <w:color w:val="FFFFFF" w:themeColor="background1"/>
                <w:szCs w:val="24"/>
              </w:rPr>
            </w:pPr>
            <w:r w:rsidRPr="00D948C1">
              <w:rPr>
                <w:b/>
                <w:color w:val="FFFFFF" w:themeColor="background1"/>
                <w:szCs w:val="24"/>
              </w:rPr>
              <w:t>Total adjustment between funding and accounting basis</w:t>
            </w:r>
          </w:p>
          <w:p w14:paraId="330B91D1" w14:textId="79E3FCC0" w:rsidR="00A26077" w:rsidRPr="00D948C1" w:rsidRDefault="00A26077" w:rsidP="00611673">
            <w:pPr>
              <w:jc w:val="right"/>
              <w:rPr>
                <w:b/>
                <w:color w:val="FFFFFF" w:themeColor="background1"/>
                <w:szCs w:val="24"/>
              </w:rPr>
            </w:pPr>
            <w:r w:rsidRPr="00D948C1">
              <w:rPr>
                <w:b/>
                <w:color w:val="FFFFFF" w:themeColor="background1"/>
                <w:szCs w:val="24"/>
              </w:rPr>
              <w:t>£000</w:t>
            </w:r>
          </w:p>
        </w:tc>
      </w:tr>
      <w:tr w:rsidR="00B53FC2" w:rsidRPr="00D948C1" w14:paraId="18D46DA3" w14:textId="77777777" w:rsidTr="00E253C6">
        <w:tc>
          <w:tcPr>
            <w:tcW w:w="3543" w:type="dxa"/>
          </w:tcPr>
          <w:p w14:paraId="08BDCCE0" w14:textId="77777777" w:rsidR="00B53FC2" w:rsidRPr="00D948C1" w:rsidRDefault="00B53FC2" w:rsidP="00B53FC2">
            <w:pPr>
              <w:rPr>
                <w:szCs w:val="24"/>
              </w:rPr>
            </w:pPr>
            <w:r w:rsidRPr="00D948C1">
              <w:rPr>
                <w:szCs w:val="24"/>
              </w:rPr>
              <w:t>Service Delivery</w:t>
            </w:r>
          </w:p>
        </w:tc>
        <w:tc>
          <w:tcPr>
            <w:tcW w:w="1559" w:type="dxa"/>
            <w:vAlign w:val="center"/>
          </w:tcPr>
          <w:p w14:paraId="74697108" w14:textId="54F7D73F" w:rsidR="00B53FC2" w:rsidRPr="00543C89" w:rsidRDefault="00AA6BF4" w:rsidP="00B53FC2">
            <w:pPr>
              <w:jc w:val="right"/>
              <w:rPr>
                <w:rFonts w:cs="Arial"/>
                <w:szCs w:val="24"/>
              </w:rPr>
            </w:pPr>
            <w:r>
              <w:rPr>
                <w:rFonts w:cs="Arial"/>
                <w:szCs w:val="24"/>
              </w:rPr>
              <w:t>(103)</w:t>
            </w:r>
          </w:p>
        </w:tc>
        <w:tc>
          <w:tcPr>
            <w:tcW w:w="1559" w:type="dxa"/>
          </w:tcPr>
          <w:p w14:paraId="0B22D4C9" w14:textId="7428B5AD" w:rsidR="00B53FC2" w:rsidRPr="00543C89" w:rsidRDefault="00AA6BF4" w:rsidP="00B53FC2">
            <w:pPr>
              <w:jc w:val="right"/>
              <w:rPr>
                <w:rFonts w:cs="Arial"/>
                <w:szCs w:val="24"/>
              </w:rPr>
            </w:pPr>
            <w:r>
              <w:rPr>
                <w:rFonts w:cs="Arial"/>
                <w:szCs w:val="24"/>
              </w:rPr>
              <w:t>(24)</w:t>
            </w:r>
          </w:p>
        </w:tc>
        <w:tc>
          <w:tcPr>
            <w:tcW w:w="1842" w:type="dxa"/>
            <w:vAlign w:val="center"/>
          </w:tcPr>
          <w:p w14:paraId="0C2240F0" w14:textId="694D7785" w:rsidR="00B53FC2" w:rsidRPr="00543C89" w:rsidRDefault="00AA6BF4" w:rsidP="00B53FC2">
            <w:pPr>
              <w:jc w:val="right"/>
              <w:rPr>
                <w:rFonts w:cs="Arial"/>
                <w:szCs w:val="24"/>
              </w:rPr>
            </w:pPr>
            <w:r>
              <w:rPr>
                <w:rFonts w:cs="Arial"/>
                <w:szCs w:val="24"/>
              </w:rPr>
              <w:t>(128)</w:t>
            </w:r>
          </w:p>
        </w:tc>
        <w:tc>
          <w:tcPr>
            <w:tcW w:w="1560" w:type="dxa"/>
            <w:vAlign w:val="center"/>
          </w:tcPr>
          <w:p w14:paraId="1921E293" w14:textId="071581CE" w:rsidR="00B53FC2" w:rsidRPr="00543C89" w:rsidRDefault="00191A24" w:rsidP="00B53FC2">
            <w:pPr>
              <w:jc w:val="right"/>
              <w:rPr>
                <w:rFonts w:cs="Arial"/>
                <w:szCs w:val="24"/>
              </w:rPr>
            </w:pPr>
            <w:r>
              <w:rPr>
                <w:rFonts w:cs="Arial"/>
                <w:szCs w:val="24"/>
              </w:rPr>
              <w:t>(85)</w:t>
            </w:r>
          </w:p>
        </w:tc>
        <w:tc>
          <w:tcPr>
            <w:tcW w:w="1701" w:type="dxa"/>
            <w:vAlign w:val="center"/>
          </w:tcPr>
          <w:p w14:paraId="43FDDB66" w14:textId="400C75AD" w:rsidR="00B53FC2" w:rsidRPr="00543C89" w:rsidRDefault="00587064" w:rsidP="00B53FC2">
            <w:pPr>
              <w:jc w:val="right"/>
              <w:rPr>
                <w:rFonts w:cs="Arial"/>
                <w:szCs w:val="24"/>
              </w:rPr>
            </w:pPr>
            <w:r>
              <w:rPr>
                <w:rFonts w:cs="Arial"/>
                <w:szCs w:val="24"/>
              </w:rPr>
              <w:t>(27,050)</w:t>
            </w:r>
          </w:p>
        </w:tc>
        <w:tc>
          <w:tcPr>
            <w:tcW w:w="1559" w:type="dxa"/>
            <w:vAlign w:val="center"/>
          </w:tcPr>
          <w:p w14:paraId="7CD6A228" w14:textId="1B524462" w:rsidR="00B53FC2" w:rsidRPr="00543C89" w:rsidRDefault="0047254B" w:rsidP="00B53FC2">
            <w:pPr>
              <w:jc w:val="right"/>
              <w:rPr>
                <w:rFonts w:cs="Arial"/>
                <w:szCs w:val="24"/>
              </w:rPr>
            </w:pPr>
            <w:r>
              <w:rPr>
                <w:rFonts w:cs="Arial"/>
                <w:szCs w:val="24"/>
              </w:rPr>
              <w:t>(5)</w:t>
            </w:r>
          </w:p>
        </w:tc>
        <w:tc>
          <w:tcPr>
            <w:tcW w:w="2126" w:type="dxa"/>
            <w:vAlign w:val="center"/>
          </w:tcPr>
          <w:p w14:paraId="5117CB05" w14:textId="20A1D222" w:rsidR="00B53FC2" w:rsidRPr="00B53FC2" w:rsidRDefault="00F85425" w:rsidP="00B53FC2">
            <w:pPr>
              <w:jc w:val="right"/>
              <w:rPr>
                <w:rFonts w:cs="Arial"/>
                <w:b/>
                <w:bCs/>
                <w:szCs w:val="24"/>
              </w:rPr>
            </w:pPr>
            <w:r>
              <w:rPr>
                <w:rFonts w:cs="Arial"/>
                <w:b/>
                <w:bCs/>
                <w:szCs w:val="24"/>
              </w:rPr>
              <w:t>(27,140)</w:t>
            </w:r>
          </w:p>
        </w:tc>
      </w:tr>
      <w:tr w:rsidR="00B53FC2" w:rsidRPr="00D948C1" w14:paraId="06679D7A" w14:textId="77777777" w:rsidTr="00E253C6">
        <w:tc>
          <w:tcPr>
            <w:tcW w:w="3543" w:type="dxa"/>
          </w:tcPr>
          <w:p w14:paraId="287ED27E" w14:textId="77777777" w:rsidR="00B53FC2" w:rsidRPr="00D948C1" w:rsidRDefault="00B53FC2" w:rsidP="00B53FC2">
            <w:pPr>
              <w:rPr>
                <w:szCs w:val="24"/>
              </w:rPr>
            </w:pPr>
            <w:r w:rsidRPr="00D948C1">
              <w:rPr>
                <w:szCs w:val="24"/>
              </w:rPr>
              <w:t>Strategy and Planning</w:t>
            </w:r>
          </w:p>
        </w:tc>
        <w:tc>
          <w:tcPr>
            <w:tcW w:w="1559" w:type="dxa"/>
            <w:vAlign w:val="center"/>
          </w:tcPr>
          <w:p w14:paraId="245E022B" w14:textId="0F4F987D" w:rsidR="00B53FC2" w:rsidRPr="00543C89" w:rsidRDefault="00AA6BF4" w:rsidP="00B53FC2">
            <w:pPr>
              <w:jc w:val="right"/>
              <w:rPr>
                <w:rFonts w:cs="Arial"/>
                <w:szCs w:val="24"/>
              </w:rPr>
            </w:pPr>
            <w:r>
              <w:rPr>
                <w:rFonts w:cs="Arial"/>
                <w:szCs w:val="24"/>
              </w:rPr>
              <w:t>(515)</w:t>
            </w:r>
          </w:p>
        </w:tc>
        <w:tc>
          <w:tcPr>
            <w:tcW w:w="1559" w:type="dxa"/>
          </w:tcPr>
          <w:p w14:paraId="33BE21C8" w14:textId="58CEAD26" w:rsidR="00B53FC2" w:rsidRPr="00543C89" w:rsidRDefault="00AA6BF4" w:rsidP="00B53FC2">
            <w:pPr>
              <w:jc w:val="right"/>
              <w:rPr>
                <w:rFonts w:cs="Arial"/>
                <w:szCs w:val="24"/>
              </w:rPr>
            </w:pPr>
            <w:r>
              <w:rPr>
                <w:rFonts w:cs="Arial"/>
                <w:szCs w:val="24"/>
              </w:rPr>
              <w:t>-</w:t>
            </w:r>
          </w:p>
        </w:tc>
        <w:tc>
          <w:tcPr>
            <w:tcW w:w="1842" w:type="dxa"/>
            <w:vAlign w:val="center"/>
          </w:tcPr>
          <w:p w14:paraId="4585EFA8" w14:textId="7E701489" w:rsidR="00B53FC2" w:rsidRPr="00543C89" w:rsidRDefault="00AA6BF4" w:rsidP="00B53FC2">
            <w:pPr>
              <w:jc w:val="right"/>
              <w:rPr>
                <w:rFonts w:cs="Arial"/>
                <w:szCs w:val="24"/>
              </w:rPr>
            </w:pPr>
            <w:r>
              <w:rPr>
                <w:rFonts w:cs="Arial"/>
                <w:szCs w:val="24"/>
              </w:rPr>
              <w:t>(515)</w:t>
            </w:r>
          </w:p>
        </w:tc>
        <w:tc>
          <w:tcPr>
            <w:tcW w:w="1560" w:type="dxa"/>
            <w:vAlign w:val="center"/>
          </w:tcPr>
          <w:p w14:paraId="3E47D72C" w14:textId="5F216053" w:rsidR="00B53FC2" w:rsidRPr="00543C89" w:rsidRDefault="00191A24" w:rsidP="00B53FC2">
            <w:pPr>
              <w:jc w:val="right"/>
              <w:rPr>
                <w:rFonts w:cs="Arial"/>
                <w:szCs w:val="24"/>
              </w:rPr>
            </w:pPr>
            <w:r>
              <w:rPr>
                <w:rFonts w:cs="Arial"/>
                <w:szCs w:val="24"/>
              </w:rPr>
              <w:t>-</w:t>
            </w:r>
          </w:p>
        </w:tc>
        <w:tc>
          <w:tcPr>
            <w:tcW w:w="1701" w:type="dxa"/>
            <w:vAlign w:val="center"/>
          </w:tcPr>
          <w:p w14:paraId="65169656" w14:textId="5B3C1BF1" w:rsidR="00B53FC2" w:rsidRPr="00543C89" w:rsidRDefault="00587064" w:rsidP="00B53FC2">
            <w:pPr>
              <w:jc w:val="right"/>
              <w:rPr>
                <w:rFonts w:cs="Arial"/>
                <w:szCs w:val="24"/>
              </w:rPr>
            </w:pPr>
            <w:r>
              <w:rPr>
                <w:rFonts w:cs="Arial"/>
                <w:szCs w:val="24"/>
              </w:rPr>
              <w:t>(2,257</w:t>
            </w:r>
            <w:r w:rsidR="0047254B">
              <w:rPr>
                <w:rFonts w:cs="Arial"/>
                <w:szCs w:val="24"/>
              </w:rPr>
              <w:t>)</w:t>
            </w:r>
          </w:p>
        </w:tc>
        <w:tc>
          <w:tcPr>
            <w:tcW w:w="1559" w:type="dxa"/>
            <w:vAlign w:val="center"/>
          </w:tcPr>
          <w:p w14:paraId="2E925BE7" w14:textId="643D5BB2" w:rsidR="00B53FC2" w:rsidRPr="00543C89" w:rsidRDefault="00F85425" w:rsidP="00B53FC2">
            <w:pPr>
              <w:jc w:val="right"/>
              <w:rPr>
                <w:rFonts w:cs="Arial"/>
                <w:szCs w:val="24"/>
              </w:rPr>
            </w:pPr>
            <w:r>
              <w:rPr>
                <w:rFonts w:cs="Arial"/>
                <w:szCs w:val="24"/>
              </w:rPr>
              <w:t>-</w:t>
            </w:r>
          </w:p>
        </w:tc>
        <w:tc>
          <w:tcPr>
            <w:tcW w:w="2126" w:type="dxa"/>
            <w:vAlign w:val="center"/>
          </w:tcPr>
          <w:p w14:paraId="3FDC6DA8" w14:textId="2DF0DF4C" w:rsidR="00B53FC2" w:rsidRPr="00B53FC2" w:rsidRDefault="00F85425" w:rsidP="00B53FC2">
            <w:pPr>
              <w:jc w:val="right"/>
              <w:rPr>
                <w:rFonts w:cs="Arial"/>
                <w:b/>
                <w:bCs/>
                <w:szCs w:val="24"/>
              </w:rPr>
            </w:pPr>
            <w:r>
              <w:rPr>
                <w:rFonts w:cs="Arial"/>
                <w:b/>
                <w:bCs/>
                <w:szCs w:val="24"/>
              </w:rPr>
              <w:t>(2,257)</w:t>
            </w:r>
          </w:p>
        </w:tc>
      </w:tr>
      <w:tr w:rsidR="00B53FC2" w:rsidRPr="00D948C1" w14:paraId="6E04BE23" w14:textId="77777777" w:rsidTr="00E253C6">
        <w:tc>
          <w:tcPr>
            <w:tcW w:w="3543" w:type="dxa"/>
          </w:tcPr>
          <w:p w14:paraId="501103D2" w14:textId="77777777" w:rsidR="00B53FC2" w:rsidRPr="00D948C1" w:rsidRDefault="00B53FC2" w:rsidP="00B53FC2">
            <w:pPr>
              <w:rPr>
                <w:szCs w:val="24"/>
              </w:rPr>
            </w:pPr>
            <w:r w:rsidRPr="00D948C1">
              <w:rPr>
                <w:szCs w:val="24"/>
              </w:rPr>
              <w:t>People and Development</w:t>
            </w:r>
          </w:p>
        </w:tc>
        <w:tc>
          <w:tcPr>
            <w:tcW w:w="1559" w:type="dxa"/>
            <w:vAlign w:val="center"/>
          </w:tcPr>
          <w:p w14:paraId="37CC7977" w14:textId="289988CD" w:rsidR="00B53FC2" w:rsidRPr="00543C89" w:rsidRDefault="00AA6BF4" w:rsidP="00B53FC2">
            <w:pPr>
              <w:jc w:val="right"/>
              <w:rPr>
                <w:rFonts w:cs="Arial"/>
                <w:szCs w:val="24"/>
              </w:rPr>
            </w:pPr>
            <w:r>
              <w:rPr>
                <w:rFonts w:cs="Arial"/>
                <w:szCs w:val="24"/>
              </w:rPr>
              <w:t>(30)</w:t>
            </w:r>
          </w:p>
        </w:tc>
        <w:tc>
          <w:tcPr>
            <w:tcW w:w="1559" w:type="dxa"/>
          </w:tcPr>
          <w:p w14:paraId="585F2D8F" w14:textId="0BD57C06" w:rsidR="00B53FC2" w:rsidRPr="00543C89" w:rsidRDefault="00AA6BF4" w:rsidP="00B53FC2">
            <w:pPr>
              <w:jc w:val="right"/>
              <w:rPr>
                <w:rFonts w:cs="Arial"/>
                <w:szCs w:val="24"/>
              </w:rPr>
            </w:pPr>
            <w:r>
              <w:rPr>
                <w:rFonts w:cs="Arial"/>
                <w:szCs w:val="24"/>
              </w:rPr>
              <w:t>-</w:t>
            </w:r>
          </w:p>
        </w:tc>
        <w:tc>
          <w:tcPr>
            <w:tcW w:w="1842" w:type="dxa"/>
            <w:vAlign w:val="center"/>
          </w:tcPr>
          <w:p w14:paraId="3A5C8C78" w14:textId="35B0EBCA" w:rsidR="00B53FC2" w:rsidRPr="00543C89" w:rsidRDefault="00AA6BF4" w:rsidP="00B53FC2">
            <w:pPr>
              <w:jc w:val="right"/>
              <w:rPr>
                <w:rFonts w:cs="Arial"/>
                <w:szCs w:val="24"/>
              </w:rPr>
            </w:pPr>
            <w:r>
              <w:rPr>
                <w:rFonts w:cs="Arial"/>
                <w:szCs w:val="24"/>
              </w:rPr>
              <w:t>(30)</w:t>
            </w:r>
          </w:p>
        </w:tc>
        <w:tc>
          <w:tcPr>
            <w:tcW w:w="1560" w:type="dxa"/>
            <w:vAlign w:val="center"/>
          </w:tcPr>
          <w:p w14:paraId="0B85A0F4" w14:textId="1E793B9A" w:rsidR="00B53FC2" w:rsidRPr="00543C89" w:rsidRDefault="00191A24" w:rsidP="00B53FC2">
            <w:pPr>
              <w:jc w:val="right"/>
              <w:rPr>
                <w:rFonts w:cs="Arial"/>
                <w:szCs w:val="24"/>
              </w:rPr>
            </w:pPr>
            <w:r>
              <w:rPr>
                <w:rFonts w:cs="Arial"/>
                <w:szCs w:val="24"/>
              </w:rPr>
              <w:t>-</w:t>
            </w:r>
          </w:p>
        </w:tc>
        <w:tc>
          <w:tcPr>
            <w:tcW w:w="1701" w:type="dxa"/>
            <w:vAlign w:val="center"/>
          </w:tcPr>
          <w:p w14:paraId="207C5D73" w14:textId="63A5EFDB" w:rsidR="00B53FC2" w:rsidRPr="00543C89" w:rsidRDefault="0047254B" w:rsidP="00B53FC2">
            <w:pPr>
              <w:jc w:val="right"/>
              <w:rPr>
                <w:rFonts w:cs="Arial"/>
                <w:szCs w:val="24"/>
              </w:rPr>
            </w:pPr>
            <w:r>
              <w:rPr>
                <w:rFonts w:cs="Arial"/>
                <w:szCs w:val="24"/>
              </w:rPr>
              <w:t>106</w:t>
            </w:r>
          </w:p>
        </w:tc>
        <w:tc>
          <w:tcPr>
            <w:tcW w:w="1559" w:type="dxa"/>
            <w:vAlign w:val="center"/>
          </w:tcPr>
          <w:p w14:paraId="5E19D014" w14:textId="20F39B20" w:rsidR="00B53FC2" w:rsidRPr="00543C89" w:rsidRDefault="00F85425" w:rsidP="00B53FC2">
            <w:pPr>
              <w:jc w:val="right"/>
              <w:rPr>
                <w:rFonts w:cs="Arial"/>
                <w:szCs w:val="24"/>
              </w:rPr>
            </w:pPr>
            <w:r>
              <w:rPr>
                <w:rFonts w:cs="Arial"/>
                <w:szCs w:val="24"/>
              </w:rPr>
              <w:t>-</w:t>
            </w:r>
          </w:p>
        </w:tc>
        <w:tc>
          <w:tcPr>
            <w:tcW w:w="2126" w:type="dxa"/>
            <w:vAlign w:val="center"/>
          </w:tcPr>
          <w:p w14:paraId="1F507E29" w14:textId="0A47C51D" w:rsidR="00B53FC2" w:rsidRPr="00B53FC2" w:rsidRDefault="009E52E0" w:rsidP="00B53FC2">
            <w:pPr>
              <w:jc w:val="right"/>
              <w:rPr>
                <w:rFonts w:cs="Arial"/>
                <w:b/>
                <w:bCs/>
                <w:szCs w:val="24"/>
              </w:rPr>
            </w:pPr>
            <w:r>
              <w:rPr>
                <w:rFonts w:cs="Arial"/>
                <w:b/>
                <w:bCs/>
                <w:szCs w:val="24"/>
              </w:rPr>
              <w:t>106</w:t>
            </w:r>
          </w:p>
        </w:tc>
      </w:tr>
      <w:tr w:rsidR="00B53FC2" w:rsidRPr="00D948C1" w14:paraId="649FA0C2" w14:textId="77777777" w:rsidTr="00E253C6">
        <w:tc>
          <w:tcPr>
            <w:tcW w:w="3543" w:type="dxa"/>
          </w:tcPr>
          <w:p w14:paraId="46FF3D59" w14:textId="77777777" w:rsidR="00B53FC2" w:rsidRPr="00D948C1" w:rsidRDefault="00B53FC2" w:rsidP="00B53FC2">
            <w:pPr>
              <w:rPr>
                <w:szCs w:val="24"/>
              </w:rPr>
            </w:pPr>
            <w:r w:rsidRPr="00D948C1">
              <w:rPr>
                <w:szCs w:val="24"/>
              </w:rPr>
              <w:t>Corporate Services</w:t>
            </w:r>
          </w:p>
        </w:tc>
        <w:tc>
          <w:tcPr>
            <w:tcW w:w="1559" w:type="dxa"/>
            <w:vAlign w:val="center"/>
          </w:tcPr>
          <w:p w14:paraId="48E16A41" w14:textId="2F574E96" w:rsidR="00B53FC2" w:rsidRPr="00543C89" w:rsidRDefault="00AA6BF4" w:rsidP="00B53FC2">
            <w:pPr>
              <w:jc w:val="right"/>
              <w:rPr>
                <w:rFonts w:cs="Arial"/>
                <w:szCs w:val="24"/>
              </w:rPr>
            </w:pPr>
            <w:r>
              <w:rPr>
                <w:rFonts w:cs="Arial"/>
                <w:szCs w:val="24"/>
              </w:rPr>
              <w:t>(316)</w:t>
            </w:r>
          </w:p>
        </w:tc>
        <w:tc>
          <w:tcPr>
            <w:tcW w:w="1559" w:type="dxa"/>
          </w:tcPr>
          <w:p w14:paraId="2DEF746F" w14:textId="1803B744" w:rsidR="00B53FC2" w:rsidRPr="00543C89" w:rsidRDefault="00AA6BF4" w:rsidP="00B53FC2">
            <w:pPr>
              <w:jc w:val="right"/>
              <w:rPr>
                <w:rFonts w:cs="Arial"/>
                <w:szCs w:val="24"/>
              </w:rPr>
            </w:pPr>
            <w:r>
              <w:rPr>
                <w:rFonts w:cs="Arial"/>
                <w:szCs w:val="24"/>
              </w:rPr>
              <w:t>-</w:t>
            </w:r>
          </w:p>
        </w:tc>
        <w:tc>
          <w:tcPr>
            <w:tcW w:w="1842" w:type="dxa"/>
            <w:vAlign w:val="center"/>
          </w:tcPr>
          <w:p w14:paraId="0AB6212C" w14:textId="22CFB151" w:rsidR="00B53FC2" w:rsidRPr="00543C89" w:rsidRDefault="00245B2C" w:rsidP="00B53FC2">
            <w:pPr>
              <w:jc w:val="right"/>
              <w:rPr>
                <w:rFonts w:cs="Arial"/>
                <w:szCs w:val="24"/>
              </w:rPr>
            </w:pPr>
            <w:r>
              <w:rPr>
                <w:rFonts w:cs="Arial"/>
                <w:szCs w:val="24"/>
              </w:rPr>
              <w:t>(316)</w:t>
            </w:r>
          </w:p>
        </w:tc>
        <w:tc>
          <w:tcPr>
            <w:tcW w:w="1560" w:type="dxa"/>
            <w:vAlign w:val="center"/>
          </w:tcPr>
          <w:p w14:paraId="08235B7F" w14:textId="2BF0488E" w:rsidR="00B53FC2" w:rsidRPr="00543C89" w:rsidRDefault="00191A24" w:rsidP="00B53FC2">
            <w:pPr>
              <w:jc w:val="right"/>
              <w:rPr>
                <w:rFonts w:cs="Arial"/>
                <w:szCs w:val="24"/>
              </w:rPr>
            </w:pPr>
            <w:r>
              <w:rPr>
                <w:rFonts w:cs="Arial"/>
                <w:szCs w:val="24"/>
              </w:rPr>
              <w:t>-</w:t>
            </w:r>
          </w:p>
        </w:tc>
        <w:tc>
          <w:tcPr>
            <w:tcW w:w="1701" w:type="dxa"/>
            <w:vAlign w:val="center"/>
          </w:tcPr>
          <w:p w14:paraId="4F79C7B1" w14:textId="6B032E6C" w:rsidR="00B53FC2" w:rsidRPr="00543C89" w:rsidRDefault="0047254B" w:rsidP="00B53FC2">
            <w:pPr>
              <w:jc w:val="right"/>
              <w:rPr>
                <w:rFonts w:cs="Arial"/>
                <w:szCs w:val="24"/>
              </w:rPr>
            </w:pPr>
            <w:r>
              <w:rPr>
                <w:rFonts w:cs="Arial"/>
                <w:szCs w:val="24"/>
              </w:rPr>
              <w:t>(375)</w:t>
            </w:r>
          </w:p>
        </w:tc>
        <w:tc>
          <w:tcPr>
            <w:tcW w:w="1559" w:type="dxa"/>
            <w:vAlign w:val="center"/>
          </w:tcPr>
          <w:p w14:paraId="0DEE9FC1" w14:textId="3C92DDD6" w:rsidR="00B53FC2" w:rsidRPr="00543C89" w:rsidRDefault="00F85425" w:rsidP="00B53FC2">
            <w:pPr>
              <w:jc w:val="right"/>
              <w:rPr>
                <w:rFonts w:cs="Arial"/>
                <w:szCs w:val="24"/>
              </w:rPr>
            </w:pPr>
            <w:r>
              <w:rPr>
                <w:rFonts w:cs="Arial"/>
                <w:szCs w:val="24"/>
              </w:rPr>
              <w:t>-</w:t>
            </w:r>
          </w:p>
        </w:tc>
        <w:tc>
          <w:tcPr>
            <w:tcW w:w="2126" w:type="dxa"/>
            <w:vAlign w:val="center"/>
          </w:tcPr>
          <w:p w14:paraId="16736969" w14:textId="61267DC0" w:rsidR="00B53FC2" w:rsidRPr="00B53FC2" w:rsidRDefault="009E52E0" w:rsidP="00B53FC2">
            <w:pPr>
              <w:jc w:val="right"/>
              <w:rPr>
                <w:rFonts w:cs="Arial"/>
                <w:b/>
                <w:bCs/>
                <w:szCs w:val="24"/>
              </w:rPr>
            </w:pPr>
            <w:r>
              <w:rPr>
                <w:rFonts w:cs="Arial"/>
                <w:b/>
                <w:bCs/>
                <w:szCs w:val="24"/>
              </w:rPr>
              <w:t>(375)</w:t>
            </w:r>
          </w:p>
        </w:tc>
      </w:tr>
      <w:tr w:rsidR="00B53FC2" w:rsidRPr="00D948C1" w14:paraId="6CD6E4BA" w14:textId="77777777" w:rsidTr="00E253C6">
        <w:tc>
          <w:tcPr>
            <w:tcW w:w="3543" w:type="dxa"/>
          </w:tcPr>
          <w:p w14:paraId="5AE7147B" w14:textId="77777777" w:rsidR="00B53FC2" w:rsidRPr="00D948C1" w:rsidRDefault="00B53FC2" w:rsidP="00B53FC2">
            <w:pPr>
              <w:rPr>
                <w:szCs w:val="24"/>
              </w:rPr>
            </w:pPr>
            <w:r w:rsidRPr="00D948C1">
              <w:rPr>
                <w:szCs w:val="24"/>
              </w:rPr>
              <w:t>Firefighters Pensions</w:t>
            </w:r>
          </w:p>
        </w:tc>
        <w:tc>
          <w:tcPr>
            <w:tcW w:w="1559" w:type="dxa"/>
            <w:vAlign w:val="center"/>
          </w:tcPr>
          <w:p w14:paraId="6E09A300" w14:textId="436E94AE" w:rsidR="00B53FC2" w:rsidRPr="00543C89" w:rsidRDefault="00AA6BF4" w:rsidP="00B53FC2">
            <w:pPr>
              <w:jc w:val="right"/>
              <w:rPr>
                <w:rFonts w:cs="Arial"/>
                <w:szCs w:val="24"/>
              </w:rPr>
            </w:pPr>
            <w:r>
              <w:rPr>
                <w:rFonts w:cs="Arial"/>
                <w:szCs w:val="24"/>
              </w:rPr>
              <w:t>-</w:t>
            </w:r>
          </w:p>
        </w:tc>
        <w:tc>
          <w:tcPr>
            <w:tcW w:w="1559" w:type="dxa"/>
          </w:tcPr>
          <w:p w14:paraId="24559743" w14:textId="619A714F" w:rsidR="00B53FC2" w:rsidRPr="00543C89" w:rsidRDefault="00AA6BF4" w:rsidP="00B53FC2">
            <w:pPr>
              <w:jc w:val="right"/>
              <w:rPr>
                <w:rFonts w:cs="Arial"/>
                <w:szCs w:val="24"/>
              </w:rPr>
            </w:pPr>
            <w:r>
              <w:rPr>
                <w:rFonts w:cs="Arial"/>
                <w:szCs w:val="24"/>
              </w:rPr>
              <w:t>-</w:t>
            </w:r>
          </w:p>
        </w:tc>
        <w:tc>
          <w:tcPr>
            <w:tcW w:w="1842" w:type="dxa"/>
            <w:vAlign w:val="center"/>
          </w:tcPr>
          <w:p w14:paraId="02BF1B8F" w14:textId="14D244CC" w:rsidR="00B53FC2" w:rsidRPr="00543C89" w:rsidRDefault="00245B2C" w:rsidP="00B53FC2">
            <w:pPr>
              <w:jc w:val="right"/>
              <w:rPr>
                <w:rFonts w:cs="Arial"/>
                <w:szCs w:val="24"/>
              </w:rPr>
            </w:pPr>
            <w:r>
              <w:rPr>
                <w:rFonts w:cs="Arial"/>
                <w:szCs w:val="24"/>
              </w:rPr>
              <w:t>-</w:t>
            </w:r>
          </w:p>
        </w:tc>
        <w:tc>
          <w:tcPr>
            <w:tcW w:w="1560" w:type="dxa"/>
            <w:vAlign w:val="center"/>
          </w:tcPr>
          <w:p w14:paraId="7890E76E" w14:textId="3C1C3F9C" w:rsidR="00B53FC2" w:rsidRPr="00543C89" w:rsidRDefault="00191A24" w:rsidP="00B53FC2">
            <w:pPr>
              <w:jc w:val="right"/>
              <w:rPr>
                <w:rFonts w:cs="Arial"/>
                <w:szCs w:val="24"/>
              </w:rPr>
            </w:pPr>
            <w:r>
              <w:rPr>
                <w:rFonts w:cs="Arial"/>
                <w:szCs w:val="24"/>
              </w:rPr>
              <w:t>-</w:t>
            </w:r>
          </w:p>
        </w:tc>
        <w:tc>
          <w:tcPr>
            <w:tcW w:w="1701" w:type="dxa"/>
            <w:vAlign w:val="center"/>
          </w:tcPr>
          <w:p w14:paraId="6A0B66CA" w14:textId="7418CAAF" w:rsidR="00B53FC2" w:rsidRPr="00543C89" w:rsidRDefault="0047254B" w:rsidP="00B53FC2">
            <w:pPr>
              <w:jc w:val="right"/>
              <w:rPr>
                <w:rFonts w:cs="Arial"/>
                <w:szCs w:val="24"/>
              </w:rPr>
            </w:pPr>
            <w:r>
              <w:rPr>
                <w:rFonts w:cs="Arial"/>
                <w:szCs w:val="24"/>
              </w:rPr>
              <w:t>-</w:t>
            </w:r>
          </w:p>
        </w:tc>
        <w:tc>
          <w:tcPr>
            <w:tcW w:w="1559" w:type="dxa"/>
            <w:vAlign w:val="center"/>
          </w:tcPr>
          <w:p w14:paraId="52733FA7" w14:textId="695531F5" w:rsidR="00B53FC2" w:rsidRPr="00543C89" w:rsidRDefault="00F85425" w:rsidP="00B53FC2">
            <w:pPr>
              <w:jc w:val="right"/>
              <w:rPr>
                <w:rFonts w:cs="Arial"/>
                <w:szCs w:val="24"/>
              </w:rPr>
            </w:pPr>
            <w:r>
              <w:rPr>
                <w:rFonts w:cs="Arial"/>
                <w:szCs w:val="24"/>
              </w:rPr>
              <w:t>-</w:t>
            </w:r>
          </w:p>
        </w:tc>
        <w:tc>
          <w:tcPr>
            <w:tcW w:w="2126" w:type="dxa"/>
            <w:vAlign w:val="center"/>
          </w:tcPr>
          <w:p w14:paraId="2A5DD591" w14:textId="1CB3242A" w:rsidR="00B53FC2" w:rsidRPr="00B53FC2" w:rsidRDefault="009E52E0" w:rsidP="00B53FC2">
            <w:pPr>
              <w:jc w:val="right"/>
              <w:rPr>
                <w:rFonts w:cs="Arial"/>
                <w:b/>
                <w:bCs/>
                <w:szCs w:val="24"/>
              </w:rPr>
            </w:pPr>
            <w:r>
              <w:rPr>
                <w:rFonts w:cs="Arial"/>
                <w:b/>
                <w:bCs/>
                <w:szCs w:val="24"/>
              </w:rPr>
              <w:t>-</w:t>
            </w:r>
          </w:p>
        </w:tc>
      </w:tr>
      <w:tr w:rsidR="00B53FC2" w:rsidRPr="00D948C1" w14:paraId="3C26FA09" w14:textId="77777777" w:rsidTr="00E253C6">
        <w:tc>
          <w:tcPr>
            <w:tcW w:w="3543" w:type="dxa"/>
          </w:tcPr>
          <w:p w14:paraId="0B11B799" w14:textId="77777777" w:rsidR="00B53FC2" w:rsidRPr="00D948C1" w:rsidRDefault="00B53FC2" w:rsidP="00B53FC2">
            <w:pPr>
              <w:rPr>
                <w:szCs w:val="24"/>
              </w:rPr>
            </w:pPr>
            <w:r w:rsidRPr="00D948C1">
              <w:rPr>
                <w:szCs w:val="24"/>
              </w:rPr>
              <w:t>Overheads</w:t>
            </w:r>
          </w:p>
        </w:tc>
        <w:tc>
          <w:tcPr>
            <w:tcW w:w="1559" w:type="dxa"/>
            <w:vAlign w:val="center"/>
          </w:tcPr>
          <w:p w14:paraId="41BD1E28" w14:textId="048683C5" w:rsidR="00B53FC2" w:rsidRPr="00543C89" w:rsidRDefault="00AA6BF4" w:rsidP="00B53FC2">
            <w:pPr>
              <w:jc w:val="right"/>
              <w:rPr>
                <w:rFonts w:cs="Arial"/>
                <w:szCs w:val="24"/>
              </w:rPr>
            </w:pPr>
            <w:r>
              <w:rPr>
                <w:rFonts w:cs="Arial"/>
                <w:szCs w:val="24"/>
              </w:rPr>
              <w:t>2,415</w:t>
            </w:r>
          </w:p>
        </w:tc>
        <w:tc>
          <w:tcPr>
            <w:tcW w:w="1559" w:type="dxa"/>
          </w:tcPr>
          <w:p w14:paraId="55DDA695" w14:textId="7CF9DA15" w:rsidR="00B53FC2" w:rsidRPr="00543C89" w:rsidRDefault="00AA6BF4" w:rsidP="00B53FC2">
            <w:pPr>
              <w:jc w:val="right"/>
              <w:rPr>
                <w:rFonts w:cs="Arial"/>
                <w:szCs w:val="24"/>
              </w:rPr>
            </w:pPr>
            <w:r>
              <w:rPr>
                <w:rFonts w:cs="Arial"/>
                <w:szCs w:val="24"/>
              </w:rPr>
              <w:t>-</w:t>
            </w:r>
          </w:p>
        </w:tc>
        <w:tc>
          <w:tcPr>
            <w:tcW w:w="1842" w:type="dxa"/>
            <w:vAlign w:val="center"/>
          </w:tcPr>
          <w:p w14:paraId="0F3AB981" w14:textId="2BA391F0" w:rsidR="00B53FC2" w:rsidRPr="00543C89" w:rsidRDefault="00245B2C" w:rsidP="00B53FC2">
            <w:pPr>
              <w:jc w:val="right"/>
              <w:rPr>
                <w:rFonts w:cs="Arial"/>
                <w:szCs w:val="24"/>
              </w:rPr>
            </w:pPr>
            <w:r>
              <w:rPr>
                <w:rFonts w:cs="Arial"/>
                <w:szCs w:val="24"/>
              </w:rPr>
              <w:t>2,415</w:t>
            </w:r>
          </w:p>
        </w:tc>
        <w:tc>
          <w:tcPr>
            <w:tcW w:w="1560" w:type="dxa"/>
            <w:vAlign w:val="center"/>
          </w:tcPr>
          <w:p w14:paraId="5AEB3C97" w14:textId="1CC92BCC" w:rsidR="00B53FC2" w:rsidRPr="00543C89" w:rsidRDefault="00191A24" w:rsidP="00B53FC2">
            <w:pPr>
              <w:jc w:val="right"/>
              <w:rPr>
                <w:rFonts w:cs="Arial"/>
                <w:szCs w:val="24"/>
              </w:rPr>
            </w:pPr>
            <w:r>
              <w:rPr>
                <w:rFonts w:cs="Arial"/>
                <w:szCs w:val="24"/>
              </w:rPr>
              <w:t>1</w:t>
            </w:r>
            <w:r w:rsidR="00EE6E47">
              <w:rPr>
                <w:rFonts w:cs="Arial"/>
                <w:szCs w:val="24"/>
              </w:rPr>
              <w:t>0</w:t>
            </w:r>
            <w:r>
              <w:rPr>
                <w:rFonts w:cs="Arial"/>
                <w:szCs w:val="24"/>
              </w:rPr>
              <w:t>3</w:t>
            </w:r>
          </w:p>
        </w:tc>
        <w:tc>
          <w:tcPr>
            <w:tcW w:w="1701" w:type="dxa"/>
            <w:vAlign w:val="center"/>
          </w:tcPr>
          <w:p w14:paraId="0D804593" w14:textId="0B4298CC" w:rsidR="00B53FC2" w:rsidRPr="00543C89" w:rsidRDefault="0047254B" w:rsidP="00B53FC2">
            <w:pPr>
              <w:jc w:val="right"/>
              <w:rPr>
                <w:rFonts w:cs="Arial"/>
                <w:szCs w:val="24"/>
              </w:rPr>
            </w:pPr>
            <w:r>
              <w:rPr>
                <w:rFonts w:cs="Arial"/>
                <w:szCs w:val="24"/>
              </w:rPr>
              <w:t>1,628</w:t>
            </w:r>
          </w:p>
        </w:tc>
        <w:tc>
          <w:tcPr>
            <w:tcW w:w="1559" w:type="dxa"/>
            <w:vAlign w:val="center"/>
          </w:tcPr>
          <w:p w14:paraId="0CF9CE47" w14:textId="554BB36A" w:rsidR="00B53FC2" w:rsidRPr="00543C89" w:rsidRDefault="00F85425" w:rsidP="00B53FC2">
            <w:pPr>
              <w:jc w:val="right"/>
              <w:rPr>
                <w:rFonts w:cs="Arial"/>
                <w:szCs w:val="24"/>
              </w:rPr>
            </w:pPr>
            <w:r>
              <w:rPr>
                <w:rFonts w:cs="Arial"/>
                <w:szCs w:val="24"/>
              </w:rPr>
              <w:t>862</w:t>
            </w:r>
          </w:p>
        </w:tc>
        <w:tc>
          <w:tcPr>
            <w:tcW w:w="2126" w:type="dxa"/>
            <w:vAlign w:val="center"/>
          </w:tcPr>
          <w:p w14:paraId="666B4445" w14:textId="65C44BA7" w:rsidR="00B53FC2" w:rsidRPr="00B53FC2" w:rsidRDefault="009E52E0" w:rsidP="00B53FC2">
            <w:pPr>
              <w:jc w:val="right"/>
              <w:rPr>
                <w:rFonts w:cs="Arial"/>
                <w:b/>
                <w:bCs/>
                <w:szCs w:val="24"/>
              </w:rPr>
            </w:pPr>
            <w:r>
              <w:rPr>
                <w:rFonts w:cs="Arial"/>
                <w:b/>
                <w:bCs/>
                <w:szCs w:val="24"/>
              </w:rPr>
              <w:t>2,</w:t>
            </w:r>
            <w:r w:rsidR="0019401E">
              <w:rPr>
                <w:rFonts w:cs="Arial"/>
                <w:b/>
                <w:bCs/>
                <w:szCs w:val="24"/>
              </w:rPr>
              <w:t>593</w:t>
            </w:r>
          </w:p>
        </w:tc>
      </w:tr>
      <w:tr w:rsidR="00B53FC2" w:rsidRPr="00D948C1" w14:paraId="5E9D1F09" w14:textId="77777777" w:rsidTr="00E253C6">
        <w:tc>
          <w:tcPr>
            <w:tcW w:w="3543" w:type="dxa"/>
          </w:tcPr>
          <w:p w14:paraId="05EC8309" w14:textId="77777777" w:rsidR="00B53FC2" w:rsidRPr="00D948C1" w:rsidRDefault="00B53FC2" w:rsidP="00B53FC2">
            <w:pPr>
              <w:rPr>
                <w:b/>
                <w:szCs w:val="24"/>
              </w:rPr>
            </w:pPr>
            <w:r w:rsidRPr="00D948C1">
              <w:rPr>
                <w:b/>
                <w:szCs w:val="24"/>
              </w:rPr>
              <w:t>Net cost of Services</w:t>
            </w:r>
          </w:p>
        </w:tc>
        <w:tc>
          <w:tcPr>
            <w:tcW w:w="1559" w:type="dxa"/>
            <w:vAlign w:val="center"/>
          </w:tcPr>
          <w:p w14:paraId="5D6B98A8" w14:textId="78886315" w:rsidR="00B53FC2" w:rsidRPr="00543C89" w:rsidRDefault="00AA6BF4" w:rsidP="00B53FC2">
            <w:pPr>
              <w:jc w:val="right"/>
              <w:rPr>
                <w:rFonts w:cs="Arial"/>
                <w:b/>
                <w:bCs/>
                <w:szCs w:val="24"/>
              </w:rPr>
            </w:pPr>
            <w:r>
              <w:rPr>
                <w:rFonts w:cs="Arial"/>
                <w:b/>
                <w:bCs/>
                <w:szCs w:val="24"/>
              </w:rPr>
              <w:t>1,451</w:t>
            </w:r>
          </w:p>
        </w:tc>
        <w:tc>
          <w:tcPr>
            <w:tcW w:w="1559" w:type="dxa"/>
          </w:tcPr>
          <w:p w14:paraId="425B6446" w14:textId="6F6E5CCF" w:rsidR="00B53FC2" w:rsidRPr="00543C89" w:rsidRDefault="00AA6BF4" w:rsidP="00B53FC2">
            <w:pPr>
              <w:jc w:val="right"/>
              <w:rPr>
                <w:rFonts w:cs="Arial"/>
                <w:b/>
                <w:bCs/>
                <w:szCs w:val="24"/>
              </w:rPr>
            </w:pPr>
            <w:r>
              <w:rPr>
                <w:rFonts w:cs="Arial"/>
                <w:b/>
                <w:bCs/>
                <w:szCs w:val="24"/>
              </w:rPr>
              <w:t>(24)</w:t>
            </w:r>
          </w:p>
        </w:tc>
        <w:tc>
          <w:tcPr>
            <w:tcW w:w="1842" w:type="dxa"/>
            <w:vAlign w:val="center"/>
          </w:tcPr>
          <w:p w14:paraId="03CC3B34" w14:textId="1AEA7118" w:rsidR="00B53FC2" w:rsidRPr="00543C89" w:rsidRDefault="00245B2C" w:rsidP="00B53FC2">
            <w:pPr>
              <w:jc w:val="right"/>
              <w:rPr>
                <w:rFonts w:cs="Arial"/>
                <w:b/>
                <w:bCs/>
                <w:szCs w:val="24"/>
              </w:rPr>
            </w:pPr>
            <w:r>
              <w:rPr>
                <w:rFonts w:cs="Arial"/>
                <w:b/>
                <w:bCs/>
                <w:szCs w:val="24"/>
              </w:rPr>
              <w:t>1,426</w:t>
            </w:r>
          </w:p>
        </w:tc>
        <w:tc>
          <w:tcPr>
            <w:tcW w:w="1560" w:type="dxa"/>
            <w:vAlign w:val="center"/>
          </w:tcPr>
          <w:p w14:paraId="4D07E905" w14:textId="666A07CC" w:rsidR="00B53FC2" w:rsidRPr="00543C89" w:rsidRDefault="002D6DBD" w:rsidP="00B53FC2">
            <w:pPr>
              <w:jc w:val="right"/>
              <w:rPr>
                <w:rFonts w:cs="Arial"/>
                <w:b/>
                <w:bCs/>
                <w:szCs w:val="24"/>
              </w:rPr>
            </w:pPr>
            <w:r>
              <w:rPr>
                <w:rFonts w:cs="Arial"/>
                <w:b/>
                <w:bCs/>
                <w:szCs w:val="24"/>
              </w:rPr>
              <w:t>1</w:t>
            </w:r>
            <w:r w:rsidR="00191A24">
              <w:rPr>
                <w:rFonts w:cs="Arial"/>
                <w:b/>
                <w:bCs/>
                <w:szCs w:val="24"/>
              </w:rPr>
              <w:t>8</w:t>
            </w:r>
          </w:p>
        </w:tc>
        <w:tc>
          <w:tcPr>
            <w:tcW w:w="1701" w:type="dxa"/>
            <w:vAlign w:val="center"/>
          </w:tcPr>
          <w:p w14:paraId="43834852" w14:textId="2A66A37D" w:rsidR="00B53FC2" w:rsidRPr="00543C89" w:rsidRDefault="0047254B" w:rsidP="00B53FC2">
            <w:pPr>
              <w:jc w:val="right"/>
              <w:rPr>
                <w:rFonts w:cs="Arial"/>
                <w:b/>
                <w:bCs/>
                <w:szCs w:val="24"/>
              </w:rPr>
            </w:pPr>
            <w:r>
              <w:rPr>
                <w:rFonts w:cs="Arial"/>
                <w:b/>
                <w:bCs/>
                <w:szCs w:val="24"/>
              </w:rPr>
              <w:t>(27,948)</w:t>
            </w:r>
          </w:p>
        </w:tc>
        <w:tc>
          <w:tcPr>
            <w:tcW w:w="1559" w:type="dxa"/>
            <w:vAlign w:val="center"/>
          </w:tcPr>
          <w:p w14:paraId="1E7A5406" w14:textId="6CE36DAF" w:rsidR="00B53FC2" w:rsidRPr="00543C89" w:rsidRDefault="00F85425" w:rsidP="00B53FC2">
            <w:pPr>
              <w:jc w:val="right"/>
              <w:rPr>
                <w:rFonts w:cs="Arial"/>
                <w:b/>
                <w:bCs/>
                <w:szCs w:val="24"/>
              </w:rPr>
            </w:pPr>
            <w:r>
              <w:rPr>
                <w:rFonts w:cs="Arial"/>
                <w:b/>
                <w:bCs/>
                <w:szCs w:val="24"/>
              </w:rPr>
              <w:t>858</w:t>
            </w:r>
          </w:p>
        </w:tc>
        <w:tc>
          <w:tcPr>
            <w:tcW w:w="2126" w:type="dxa"/>
            <w:vAlign w:val="center"/>
          </w:tcPr>
          <w:p w14:paraId="55F622AD" w14:textId="23D038F4" w:rsidR="00B53FC2" w:rsidRPr="00B53FC2" w:rsidRDefault="007E2011" w:rsidP="00B53FC2">
            <w:pPr>
              <w:jc w:val="right"/>
              <w:rPr>
                <w:rFonts w:cs="Arial"/>
                <w:b/>
                <w:bCs/>
                <w:szCs w:val="24"/>
              </w:rPr>
            </w:pPr>
            <w:r>
              <w:rPr>
                <w:rFonts w:cs="Arial"/>
                <w:b/>
                <w:bCs/>
                <w:szCs w:val="24"/>
              </w:rPr>
              <w:t>(27,0</w:t>
            </w:r>
            <w:r w:rsidR="00160AA3">
              <w:rPr>
                <w:rFonts w:cs="Arial"/>
                <w:b/>
                <w:bCs/>
                <w:szCs w:val="24"/>
              </w:rPr>
              <w:t>7</w:t>
            </w:r>
            <w:r>
              <w:rPr>
                <w:rFonts w:cs="Arial"/>
                <w:b/>
                <w:bCs/>
                <w:szCs w:val="24"/>
              </w:rPr>
              <w:t>2)</w:t>
            </w:r>
          </w:p>
        </w:tc>
      </w:tr>
      <w:tr w:rsidR="00B53FC2" w:rsidRPr="00D948C1" w14:paraId="230C29D9" w14:textId="77777777" w:rsidTr="00067DE9">
        <w:tc>
          <w:tcPr>
            <w:tcW w:w="3543" w:type="dxa"/>
            <w:tcBorders>
              <w:bottom w:val="single" w:sz="4" w:space="0" w:color="auto"/>
            </w:tcBorders>
          </w:tcPr>
          <w:p w14:paraId="4A515E5F" w14:textId="77777777" w:rsidR="00B53FC2" w:rsidRPr="00D948C1" w:rsidRDefault="00B53FC2" w:rsidP="00B53FC2">
            <w:pPr>
              <w:rPr>
                <w:szCs w:val="24"/>
              </w:rPr>
            </w:pPr>
            <w:r w:rsidRPr="00D948C1">
              <w:rPr>
                <w:szCs w:val="24"/>
              </w:rPr>
              <w:t>Other income and expenditure</w:t>
            </w:r>
          </w:p>
        </w:tc>
        <w:tc>
          <w:tcPr>
            <w:tcW w:w="1559" w:type="dxa"/>
            <w:tcBorders>
              <w:bottom w:val="single" w:sz="4" w:space="0" w:color="auto"/>
            </w:tcBorders>
            <w:vAlign w:val="center"/>
          </w:tcPr>
          <w:p w14:paraId="2E9E4BF0" w14:textId="0A04E0B4" w:rsidR="00B53FC2" w:rsidRPr="00543C89" w:rsidRDefault="00EE6E47" w:rsidP="00B53FC2">
            <w:pPr>
              <w:jc w:val="right"/>
              <w:rPr>
                <w:rFonts w:cs="Arial"/>
                <w:szCs w:val="24"/>
              </w:rPr>
            </w:pPr>
            <w:r>
              <w:rPr>
                <w:rFonts w:cs="Arial"/>
                <w:szCs w:val="24"/>
              </w:rPr>
              <w:t>(789)</w:t>
            </w:r>
          </w:p>
        </w:tc>
        <w:tc>
          <w:tcPr>
            <w:tcW w:w="1559" w:type="dxa"/>
            <w:tcBorders>
              <w:bottom w:val="single" w:sz="4" w:space="0" w:color="auto"/>
            </w:tcBorders>
          </w:tcPr>
          <w:p w14:paraId="53D685AE" w14:textId="77EB5839" w:rsidR="00B53FC2" w:rsidRPr="00543C89" w:rsidRDefault="00AA6BF4" w:rsidP="00B53FC2">
            <w:pPr>
              <w:jc w:val="right"/>
              <w:rPr>
                <w:rFonts w:cs="Arial"/>
                <w:szCs w:val="24"/>
              </w:rPr>
            </w:pPr>
            <w:r>
              <w:rPr>
                <w:rFonts w:cs="Arial"/>
                <w:szCs w:val="24"/>
              </w:rPr>
              <w:t>-</w:t>
            </w:r>
          </w:p>
        </w:tc>
        <w:tc>
          <w:tcPr>
            <w:tcW w:w="1842" w:type="dxa"/>
            <w:tcBorders>
              <w:bottom w:val="single" w:sz="4" w:space="0" w:color="auto"/>
            </w:tcBorders>
            <w:vAlign w:val="center"/>
          </w:tcPr>
          <w:p w14:paraId="09D40AEF" w14:textId="4FAF0126" w:rsidR="00B53FC2" w:rsidRPr="00543C89" w:rsidRDefault="00EE6E47" w:rsidP="00B53FC2">
            <w:pPr>
              <w:jc w:val="right"/>
              <w:rPr>
                <w:rFonts w:cs="Arial"/>
                <w:szCs w:val="24"/>
              </w:rPr>
            </w:pPr>
            <w:r>
              <w:rPr>
                <w:rFonts w:cs="Arial"/>
                <w:szCs w:val="24"/>
              </w:rPr>
              <w:t>(789)</w:t>
            </w:r>
          </w:p>
        </w:tc>
        <w:tc>
          <w:tcPr>
            <w:tcW w:w="1560" w:type="dxa"/>
            <w:tcBorders>
              <w:bottom w:val="single" w:sz="4" w:space="0" w:color="auto"/>
            </w:tcBorders>
            <w:vAlign w:val="center"/>
          </w:tcPr>
          <w:p w14:paraId="26B43703" w14:textId="787C449E" w:rsidR="00B53FC2" w:rsidRPr="00543C89" w:rsidRDefault="00191A24" w:rsidP="00B53FC2">
            <w:pPr>
              <w:jc w:val="right"/>
              <w:rPr>
                <w:rFonts w:cs="Arial"/>
                <w:szCs w:val="24"/>
              </w:rPr>
            </w:pPr>
            <w:r>
              <w:rPr>
                <w:rFonts w:cs="Arial"/>
                <w:szCs w:val="24"/>
              </w:rPr>
              <w:t>(74)</w:t>
            </w:r>
          </w:p>
        </w:tc>
        <w:tc>
          <w:tcPr>
            <w:tcW w:w="1701" w:type="dxa"/>
            <w:tcBorders>
              <w:bottom w:val="single" w:sz="4" w:space="0" w:color="auto"/>
            </w:tcBorders>
            <w:vAlign w:val="center"/>
          </w:tcPr>
          <w:p w14:paraId="6AAF2CCD" w14:textId="3EB3B7AD" w:rsidR="00B53FC2" w:rsidRPr="00543C89" w:rsidRDefault="0047254B" w:rsidP="00B53FC2">
            <w:pPr>
              <w:jc w:val="right"/>
              <w:rPr>
                <w:rFonts w:cs="Arial"/>
                <w:szCs w:val="24"/>
              </w:rPr>
            </w:pPr>
            <w:r>
              <w:rPr>
                <w:rFonts w:cs="Arial"/>
                <w:szCs w:val="24"/>
              </w:rPr>
              <w:t>30,536</w:t>
            </w:r>
          </w:p>
        </w:tc>
        <w:tc>
          <w:tcPr>
            <w:tcW w:w="1559" w:type="dxa"/>
            <w:tcBorders>
              <w:bottom w:val="single" w:sz="4" w:space="0" w:color="auto"/>
            </w:tcBorders>
            <w:vAlign w:val="center"/>
          </w:tcPr>
          <w:p w14:paraId="5D56B5F3" w14:textId="7BE12716" w:rsidR="00B53FC2" w:rsidRPr="00543C89" w:rsidRDefault="00F85425" w:rsidP="00B53FC2">
            <w:pPr>
              <w:jc w:val="right"/>
              <w:rPr>
                <w:rFonts w:cs="Arial"/>
                <w:szCs w:val="24"/>
              </w:rPr>
            </w:pPr>
            <w:r>
              <w:rPr>
                <w:rFonts w:cs="Arial"/>
                <w:szCs w:val="24"/>
              </w:rPr>
              <w:t>(859)</w:t>
            </w:r>
          </w:p>
        </w:tc>
        <w:tc>
          <w:tcPr>
            <w:tcW w:w="2126" w:type="dxa"/>
            <w:tcBorders>
              <w:bottom w:val="single" w:sz="4" w:space="0" w:color="auto"/>
            </w:tcBorders>
            <w:vAlign w:val="center"/>
          </w:tcPr>
          <w:p w14:paraId="628F0052" w14:textId="0123F4E2" w:rsidR="00B53FC2" w:rsidRPr="00B53FC2" w:rsidRDefault="007E2011" w:rsidP="00B53FC2">
            <w:pPr>
              <w:jc w:val="right"/>
              <w:rPr>
                <w:rFonts w:cs="Arial"/>
                <w:b/>
                <w:bCs/>
                <w:szCs w:val="24"/>
              </w:rPr>
            </w:pPr>
            <w:r>
              <w:rPr>
                <w:rFonts w:cs="Arial"/>
                <w:b/>
                <w:bCs/>
                <w:szCs w:val="24"/>
              </w:rPr>
              <w:t>29,603</w:t>
            </w:r>
          </w:p>
        </w:tc>
      </w:tr>
      <w:tr w:rsidR="00B53FC2" w:rsidRPr="00D948C1" w14:paraId="6B3EEC17" w14:textId="77777777" w:rsidTr="00067DE9">
        <w:tc>
          <w:tcPr>
            <w:tcW w:w="3543" w:type="dxa"/>
            <w:tcBorders>
              <w:top w:val="single" w:sz="4" w:space="0" w:color="auto"/>
              <w:left w:val="single" w:sz="4" w:space="0" w:color="auto"/>
              <w:bottom w:val="single" w:sz="4" w:space="0" w:color="auto"/>
              <w:right w:val="single" w:sz="4" w:space="0" w:color="auto"/>
            </w:tcBorders>
          </w:tcPr>
          <w:p w14:paraId="47634C7C" w14:textId="77777777" w:rsidR="00B53FC2" w:rsidRPr="00D948C1" w:rsidRDefault="00B53FC2" w:rsidP="00B53FC2">
            <w:pPr>
              <w:rPr>
                <w:b/>
                <w:szCs w:val="24"/>
              </w:rPr>
            </w:pPr>
            <w:r w:rsidRPr="00D948C1">
              <w:rPr>
                <w:b/>
                <w:szCs w:val="24"/>
              </w:rPr>
              <w:t>Total</w:t>
            </w:r>
          </w:p>
        </w:tc>
        <w:tc>
          <w:tcPr>
            <w:tcW w:w="1559" w:type="dxa"/>
            <w:tcBorders>
              <w:top w:val="single" w:sz="4" w:space="0" w:color="auto"/>
              <w:left w:val="single" w:sz="4" w:space="0" w:color="auto"/>
              <w:bottom w:val="single" w:sz="4" w:space="0" w:color="auto"/>
              <w:right w:val="single" w:sz="4" w:space="0" w:color="auto"/>
            </w:tcBorders>
            <w:vAlign w:val="center"/>
          </w:tcPr>
          <w:p w14:paraId="477A1C32" w14:textId="08FFFEAB" w:rsidR="00B53FC2" w:rsidRPr="00543C89" w:rsidRDefault="00EE6E47" w:rsidP="00B53FC2">
            <w:pPr>
              <w:jc w:val="right"/>
              <w:rPr>
                <w:rFonts w:cs="Arial"/>
                <w:b/>
                <w:bCs/>
                <w:szCs w:val="24"/>
              </w:rPr>
            </w:pPr>
            <w:r>
              <w:rPr>
                <w:rFonts w:cs="Arial"/>
                <w:b/>
                <w:bCs/>
                <w:szCs w:val="24"/>
              </w:rPr>
              <w:t>662</w:t>
            </w:r>
          </w:p>
        </w:tc>
        <w:tc>
          <w:tcPr>
            <w:tcW w:w="1559" w:type="dxa"/>
            <w:tcBorders>
              <w:top w:val="single" w:sz="4" w:space="0" w:color="auto"/>
              <w:left w:val="single" w:sz="4" w:space="0" w:color="auto"/>
              <w:bottom w:val="single" w:sz="4" w:space="0" w:color="auto"/>
              <w:right w:val="single" w:sz="4" w:space="0" w:color="auto"/>
            </w:tcBorders>
          </w:tcPr>
          <w:p w14:paraId="2512F160" w14:textId="090462E7" w:rsidR="00B53FC2" w:rsidRPr="00543C89" w:rsidRDefault="00AA6BF4" w:rsidP="00B53FC2">
            <w:pPr>
              <w:jc w:val="right"/>
              <w:rPr>
                <w:rFonts w:cs="Arial"/>
                <w:b/>
                <w:bCs/>
                <w:szCs w:val="24"/>
              </w:rPr>
            </w:pPr>
            <w:r>
              <w:rPr>
                <w:rFonts w:cs="Arial"/>
                <w:b/>
                <w:bCs/>
                <w:szCs w:val="24"/>
              </w:rPr>
              <w:t>(24)</w:t>
            </w:r>
          </w:p>
        </w:tc>
        <w:tc>
          <w:tcPr>
            <w:tcW w:w="1842" w:type="dxa"/>
            <w:tcBorders>
              <w:top w:val="single" w:sz="4" w:space="0" w:color="auto"/>
              <w:left w:val="single" w:sz="4" w:space="0" w:color="auto"/>
              <w:bottom w:val="single" w:sz="4" w:space="0" w:color="auto"/>
              <w:right w:val="single" w:sz="4" w:space="0" w:color="auto"/>
            </w:tcBorders>
            <w:vAlign w:val="center"/>
          </w:tcPr>
          <w:p w14:paraId="32987A43" w14:textId="098B4500" w:rsidR="00B53FC2" w:rsidRPr="00543C89" w:rsidRDefault="00EE6E47" w:rsidP="00B53FC2">
            <w:pPr>
              <w:jc w:val="right"/>
              <w:rPr>
                <w:rFonts w:cs="Arial"/>
                <w:b/>
                <w:bCs/>
                <w:szCs w:val="24"/>
              </w:rPr>
            </w:pPr>
            <w:r>
              <w:rPr>
                <w:rFonts w:cs="Arial"/>
                <w:b/>
                <w:bCs/>
                <w:szCs w:val="24"/>
              </w:rPr>
              <w:t>637</w:t>
            </w:r>
          </w:p>
        </w:tc>
        <w:tc>
          <w:tcPr>
            <w:tcW w:w="1560" w:type="dxa"/>
            <w:tcBorders>
              <w:top w:val="single" w:sz="4" w:space="0" w:color="auto"/>
              <w:left w:val="single" w:sz="4" w:space="0" w:color="auto"/>
              <w:bottom w:val="single" w:sz="4" w:space="0" w:color="auto"/>
              <w:right w:val="single" w:sz="4" w:space="0" w:color="auto"/>
            </w:tcBorders>
            <w:vAlign w:val="center"/>
          </w:tcPr>
          <w:p w14:paraId="1E973CDA" w14:textId="498E5D7B" w:rsidR="00B53FC2" w:rsidRPr="00543C89" w:rsidRDefault="00191A24" w:rsidP="00B53FC2">
            <w:pPr>
              <w:jc w:val="right"/>
              <w:rPr>
                <w:rFonts w:cs="Arial"/>
                <w:b/>
                <w:bCs/>
                <w:szCs w:val="24"/>
              </w:rPr>
            </w:pPr>
            <w:r>
              <w:rPr>
                <w:rFonts w:cs="Arial"/>
                <w:b/>
                <w:bCs/>
                <w:szCs w:val="24"/>
              </w:rPr>
              <w:t>(</w:t>
            </w:r>
            <w:r w:rsidR="002D6DBD">
              <w:rPr>
                <w:rFonts w:cs="Arial"/>
                <w:b/>
                <w:bCs/>
                <w:szCs w:val="24"/>
              </w:rPr>
              <w:t>57</w:t>
            </w:r>
            <w:r>
              <w:rPr>
                <w:rFonts w:cs="Arial"/>
                <w:b/>
                <w:bCs/>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628E0" w14:textId="205B4536" w:rsidR="00B53FC2" w:rsidRPr="00543C89" w:rsidRDefault="0047254B" w:rsidP="00B53FC2">
            <w:pPr>
              <w:jc w:val="right"/>
              <w:rPr>
                <w:rFonts w:cs="Arial"/>
                <w:b/>
                <w:bCs/>
                <w:szCs w:val="24"/>
              </w:rPr>
            </w:pPr>
            <w:r>
              <w:rPr>
                <w:rFonts w:cs="Arial"/>
                <w:b/>
                <w:bCs/>
                <w:szCs w:val="24"/>
              </w:rPr>
              <w:t>2</w:t>
            </w:r>
            <w:r w:rsidR="00E413D2">
              <w:rPr>
                <w:rFonts w:cs="Arial"/>
                <w:b/>
                <w:bCs/>
                <w:szCs w:val="24"/>
              </w:rPr>
              <w:t>,</w:t>
            </w:r>
            <w:r>
              <w:rPr>
                <w:rFonts w:cs="Arial"/>
                <w:b/>
                <w:bCs/>
                <w:szCs w:val="24"/>
              </w:rPr>
              <w:t>589</w:t>
            </w:r>
          </w:p>
        </w:tc>
        <w:tc>
          <w:tcPr>
            <w:tcW w:w="1559" w:type="dxa"/>
            <w:tcBorders>
              <w:top w:val="single" w:sz="4" w:space="0" w:color="auto"/>
              <w:left w:val="single" w:sz="4" w:space="0" w:color="auto"/>
              <w:bottom w:val="single" w:sz="4" w:space="0" w:color="auto"/>
              <w:right w:val="single" w:sz="4" w:space="0" w:color="auto"/>
            </w:tcBorders>
            <w:vAlign w:val="center"/>
          </w:tcPr>
          <w:p w14:paraId="265ADD43" w14:textId="133AE6B7" w:rsidR="00B53FC2" w:rsidRPr="00543C89" w:rsidRDefault="00F85425" w:rsidP="00B53FC2">
            <w:pPr>
              <w:jc w:val="right"/>
              <w:rPr>
                <w:rFonts w:cs="Arial"/>
                <w:b/>
                <w:bCs/>
                <w:szCs w:val="24"/>
              </w:rPr>
            </w:pPr>
            <w:r>
              <w:rPr>
                <w:rFonts w:cs="Arial"/>
                <w:b/>
                <w:bCs/>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06E71C8C" w14:textId="5BD7B69E" w:rsidR="00B53FC2" w:rsidRPr="00B53FC2" w:rsidRDefault="007E2011" w:rsidP="00B53FC2">
            <w:pPr>
              <w:jc w:val="right"/>
              <w:rPr>
                <w:rFonts w:cs="Arial"/>
                <w:b/>
                <w:bCs/>
                <w:szCs w:val="24"/>
              </w:rPr>
            </w:pPr>
            <w:r>
              <w:rPr>
                <w:rFonts w:cs="Arial"/>
                <w:b/>
                <w:bCs/>
                <w:szCs w:val="24"/>
              </w:rPr>
              <w:t>2,5</w:t>
            </w:r>
            <w:r w:rsidR="00160AA3">
              <w:rPr>
                <w:rFonts w:cs="Arial"/>
                <w:b/>
                <w:bCs/>
                <w:szCs w:val="24"/>
              </w:rPr>
              <w:t>31</w:t>
            </w:r>
          </w:p>
        </w:tc>
      </w:tr>
      <w:bookmarkEnd w:id="23"/>
    </w:tbl>
    <w:p w14:paraId="24F266F2" w14:textId="77777777" w:rsidR="003C7C40" w:rsidRPr="00D948C1" w:rsidRDefault="003C7C40">
      <w:r w:rsidRPr="00D948C1">
        <w:br w:type="page"/>
      </w:r>
    </w:p>
    <w:tbl>
      <w:tblPr>
        <w:tblStyle w:val="TableGrid"/>
        <w:tblW w:w="15307" w:type="dxa"/>
        <w:tblInd w:w="720" w:type="dxa"/>
        <w:tblLayout w:type="fixed"/>
        <w:tblLook w:val="04A0" w:firstRow="1" w:lastRow="0" w:firstColumn="1" w:lastColumn="0" w:noHBand="0" w:noVBand="1"/>
      </w:tblPr>
      <w:tblGrid>
        <w:gridCol w:w="3543"/>
        <w:gridCol w:w="1559"/>
        <w:gridCol w:w="1559"/>
        <w:gridCol w:w="1837"/>
        <w:gridCol w:w="1565"/>
        <w:gridCol w:w="1701"/>
        <w:gridCol w:w="1559"/>
        <w:gridCol w:w="1984"/>
      </w:tblGrid>
      <w:tr w:rsidR="00A0736F" w:rsidRPr="00D948C1" w14:paraId="02A0C65E" w14:textId="77777777" w:rsidTr="006860B8">
        <w:trPr>
          <w:tblHeader/>
        </w:trPr>
        <w:tc>
          <w:tcPr>
            <w:tcW w:w="3543" w:type="dxa"/>
            <w:shd w:val="clear" w:color="auto" w:fill="BD2716"/>
            <w:vAlign w:val="center"/>
          </w:tcPr>
          <w:p w14:paraId="0C4A0751" w14:textId="1A9917AB" w:rsidR="00A0736F" w:rsidRPr="00D948C1" w:rsidRDefault="001A42DD" w:rsidP="00A0736F">
            <w:pPr>
              <w:rPr>
                <w:color w:val="FFFFFF" w:themeColor="background1"/>
                <w:szCs w:val="24"/>
              </w:rPr>
            </w:pPr>
            <w:r>
              <w:rPr>
                <w:color w:val="FFFFFF" w:themeColor="background1"/>
                <w:szCs w:val="24"/>
              </w:rPr>
              <w:lastRenderedPageBreak/>
              <w:t>2024-25</w:t>
            </w:r>
          </w:p>
          <w:p w14:paraId="1385CF36" w14:textId="0F075F82" w:rsidR="00A0736F" w:rsidRPr="00D948C1" w:rsidRDefault="00A0736F" w:rsidP="00A0736F">
            <w:pPr>
              <w:rPr>
                <w:color w:val="FFFFFF" w:themeColor="background1"/>
                <w:szCs w:val="24"/>
              </w:rPr>
            </w:pPr>
            <w:r w:rsidRPr="00D948C1">
              <w:rPr>
                <w:color w:val="FFFFFF" w:themeColor="background1"/>
                <w:szCs w:val="24"/>
              </w:rPr>
              <w:t>Adjustments from General Fund to arrive at the Comprehensive Income and Expenditure Statement amounts</w:t>
            </w:r>
          </w:p>
        </w:tc>
        <w:tc>
          <w:tcPr>
            <w:tcW w:w="1559" w:type="dxa"/>
            <w:shd w:val="clear" w:color="auto" w:fill="BD2716"/>
            <w:vAlign w:val="center"/>
          </w:tcPr>
          <w:p w14:paraId="5B73B9BE" w14:textId="59D82D39" w:rsidR="00A0736F" w:rsidRPr="00D948C1" w:rsidRDefault="00A0736F" w:rsidP="00A0736F">
            <w:pPr>
              <w:jc w:val="right"/>
              <w:rPr>
                <w:color w:val="FFFFFF" w:themeColor="background1"/>
                <w:szCs w:val="24"/>
              </w:rPr>
            </w:pPr>
            <w:r w:rsidRPr="00D948C1">
              <w:rPr>
                <w:color w:val="FFFFFF" w:themeColor="background1"/>
                <w:szCs w:val="24"/>
              </w:rPr>
              <w:t>Transfer to</w:t>
            </w:r>
            <w:r w:rsidR="007E0E1E">
              <w:rPr>
                <w:color w:val="FFFFFF" w:themeColor="background1"/>
                <w:szCs w:val="24"/>
              </w:rPr>
              <w:t xml:space="preserve"> or </w:t>
            </w:r>
            <w:r w:rsidRPr="00D948C1">
              <w:rPr>
                <w:color w:val="FFFFFF" w:themeColor="background1"/>
                <w:szCs w:val="24"/>
              </w:rPr>
              <w:t>(from) Earmarked Reserves</w:t>
            </w:r>
          </w:p>
          <w:p w14:paraId="0F6AF541" w14:textId="01A996A1" w:rsidR="00A0736F" w:rsidRPr="00D948C1" w:rsidRDefault="00A0736F" w:rsidP="00A0736F">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5850DEDB" w14:textId="77777777" w:rsidR="00A0736F" w:rsidRDefault="00A0736F" w:rsidP="00A0736F">
            <w:pPr>
              <w:jc w:val="right"/>
              <w:rPr>
                <w:bCs/>
                <w:color w:val="FFFFFF" w:themeColor="background1"/>
                <w:szCs w:val="24"/>
              </w:rPr>
            </w:pPr>
            <w:proofErr w:type="gramStart"/>
            <w:r w:rsidRPr="008C72DB">
              <w:rPr>
                <w:bCs/>
                <w:color w:val="FFFFFF" w:themeColor="background1"/>
                <w:szCs w:val="24"/>
              </w:rPr>
              <w:t>North West</w:t>
            </w:r>
            <w:proofErr w:type="gramEnd"/>
            <w:r w:rsidRPr="008C72DB">
              <w:rPr>
                <w:bCs/>
                <w:color w:val="FFFFFF" w:themeColor="background1"/>
                <w:szCs w:val="24"/>
              </w:rPr>
              <w:t xml:space="preserve"> FireControl Ltd</w:t>
            </w:r>
          </w:p>
          <w:p w14:paraId="19D506EC" w14:textId="31824E54" w:rsidR="00A0736F" w:rsidRPr="008C72DB" w:rsidRDefault="00A0736F" w:rsidP="00A0736F">
            <w:pPr>
              <w:jc w:val="right"/>
              <w:rPr>
                <w:bCs/>
                <w:color w:val="FFFFFF" w:themeColor="background1"/>
                <w:szCs w:val="24"/>
              </w:rPr>
            </w:pPr>
            <w:r>
              <w:rPr>
                <w:bCs/>
                <w:color w:val="FFFFFF" w:themeColor="background1"/>
                <w:szCs w:val="24"/>
              </w:rPr>
              <w:t>£000</w:t>
            </w:r>
          </w:p>
        </w:tc>
        <w:tc>
          <w:tcPr>
            <w:tcW w:w="1837" w:type="dxa"/>
            <w:shd w:val="clear" w:color="auto" w:fill="BD2716"/>
            <w:vAlign w:val="center"/>
          </w:tcPr>
          <w:p w14:paraId="7B11CE70" w14:textId="77777777" w:rsidR="00A0736F" w:rsidRPr="00D948C1" w:rsidRDefault="00A0736F" w:rsidP="00A0736F">
            <w:pPr>
              <w:jc w:val="right"/>
              <w:rPr>
                <w:b/>
                <w:color w:val="FFFFFF" w:themeColor="background1"/>
                <w:szCs w:val="24"/>
              </w:rPr>
            </w:pPr>
            <w:r w:rsidRPr="00D948C1">
              <w:rPr>
                <w:b/>
                <w:color w:val="FFFFFF" w:themeColor="background1"/>
                <w:szCs w:val="24"/>
              </w:rPr>
              <w:t>Total to arrive at amount charged to the General Fund</w:t>
            </w:r>
          </w:p>
          <w:p w14:paraId="154F7FA7" w14:textId="7529AA47" w:rsidR="00A0736F" w:rsidRPr="00D948C1" w:rsidRDefault="00A0736F" w:rsidP="00A0736F">
            <w:pPr>
              <w:jc w:val="right"/>
              <w:rPr>
                <w:color w:val="FFFFFF" w:themeColor="background1"/>
                <w:szCs w:val="24"/>
              </w:rPr>
            </w:pPr>
            <w:r w:rsidRPr="00D948C1">
              <w:rPr>
                <w:b/>
                <w:color w:val="FFFFFF" w:themeColor="background1"/>
                <w:szCs w:val="24"/>
              </w:rPr>
              <w:t>£000</w:t>
            </w:r>
          </w:p>
        </w:tc>
        <w:tc>
          <w:tcPr>
            <w:tcW w:w="1565" w:type="dxa"/>
            <w:shd w:val="clear" w:color="auto" w:fill="BD2716"/>
            <w:vAlign w:val="center"/>
          </w:tcPr>
          <w:p w14:paraId="07BE6138" w14:textId="77777777" w:rsidR="00A0736F" w:rsidRPr="00D948C1" w:rsidRDefault="00A0736F" w:rsidP="00A0736F">
            <w:pPr>
              <w:jc w:val="right"/>
              <w:rPr>
                <w:color w:val="FFFFFF" w:themeColor="background1"/>
                <w:szCs w:val="24"/>
              </w:rPr>
            </w:pPr>
            <w:r w:rsidRPr="00D948C1">
              <w:rPr>
                <w:color w:val="FFFFFF" w:themeColor="background1"/>
                <w:szCs w:val="24"/>
              </w:rPr>
              <w:t>Adjustments for Capital Purposes (1)</w:t>
            </w:r>
          </w:p>
          <w:p w14:paraId="25E0F69F" w14:textId="2DA45EA3" w:rsidR="00A0736F" w:rsidRPr="00D948C1" w:rsidRDefault="00A0736F" w:rsidP="00A0736F">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4F305F6F" w14:textId="77777777" w:rsidR="00A0736F" w:rsidRPr="00D948C1" w:rsidRDefault="00A0736F" w:rsidP="00A0736F">
            <w:pPr>
              <w:jc w:val="right"/>
              <w:rPr>
                <w:color w:val="FFFFFF" w:themeColor="background1"/>
                <w:szCs w:val="24"/>
              </w:rPr>
            </w:pPr>
            <w:r w:rsidRPr="00D948C1">
              <w:rPr>
                <w:color w:val="FFFFFF" w:themeColor="background1"/>
                <w:szCs w:val="24"/>
              </w:rPr>
              <w:t>Net change for Pensions Adjustments (2)</w:t>
            </w:r>
          </w:p>
          <w:p w14:paraId="4261FA25" w14:textId="0DC9FE44" w:rsidR="00A0736F" w:rsidRPr="00D948C1" w:rsidRDefault="00A0736F" w:rsidP="00A0736F">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51D8F029" w14:textId="77777777" w:rsidR="00A0736F" w:rsidRPr="00D948C1" w:rsidRDefault="00A0736F" w:rsidP="00A0736F">
            <w:pPr>
              <w:jc w:val="right"/>
              <w:rPr>
                <w:color w:val="FFFFFF" w:themeColor="background1"/>
                <w:szCs w:val="24"/>
              </w:rPr>
            </w:pPr>
            <w:r w:rsidRPr="00D948C1">
              <w:rPr>
                <w:color w:val="FFFFFF" w:themeColor="background1"/>
                <w:szCs w:val="24"/>
              </w:rPr>
              <w:t>Other Differences (3)</w:t>
            </w:r>
          </w:p>
          <w:p w14:paraId="43C622C0" w14:textId="0A8244FE" w:rsidR="00A0736F" w:rsidRPr="00D948C1" w:rsidRDefault="00A0736F" w:rsidP="00A0736F">
            <w:pPr>
              <w:jc w:val="right"/>
              <w:rPr>
                <w:color w:val="FFFFFF" w:themeColor="background1"/>
                <w:szCs w:val="24"/>
              </w:rPr>
            </w:pPr>
            <w:r w:rsidRPr="00D948C1">
              <w:rPr>
                <w:color w:val="FFFFFF" w:themeColor="background1"/>
                <w:szCs w:val="24"/>
              </w:rPr>
              <w:t>£000</w:t>
            </w:r>
          </w:p>
        </w:tc>
        <w:tc>
          <w:tcPr>
            <w:tcW w:w="1984" w:type="dxa"/>
            <w:shd w:val="clear" w:color="auto" w:fill="BD2716"/>
            <w:vAlign w:val="center"/>
          </w:tcPr>
          <w:p w14:paraId="2C80E403" w14:textId="77777777" w:rsidR="00A0736F" w:rsidRPr="00D948C1" w:rsidRDefault="00A0736F" w:rsidP="00A0736F">
            <w:pPr>
              <w:jc w:val="right"/>
              <w:rPr>
                <w:b/>
                <w:color w:val="FFFFFF" w:themeColor="background1"/>
                <w:szCs w:val="24"/>
              </w:rPr>
            </w:pPr>
            <w:r w:rsidRPr="00D948C1">
              <w:rPr>
                <w:b/>
                <w:color w:val="FFFFFF" w:themeColor="background1"/>
                <w:szCs w:val="24"/>
              </w:rPr>
              <w:t>Total adjustment between funding and accounting basis</w:t>
            </w:r>
          </w:p>
          <w:p w14:paraId="232FFA44" w14:textId="67B8117E" w:rsidR="00A0736F" w:rsidRPr="00D948C1" w:rsidRDefault="00A0736F" w:rsidP="00A0736F">
            <w:pPr>
              <w:jc w:val="right"/>
              <w:rPr>
                <w:color w:val="FFFFFF" w:themeColor="background1"/>
                <w:szCs w:val="24"/>
              </w:rPr>
            </w:pPr>
            <w:r w:rsidRPr="00D948C1">
              <w:rPr>
                <w:b/>
                <w:color w:val="FFFFFF" w:themeColor="background1"/>
                <w:szCs w:val="24"/>
              </w:rPr>
              <w:t>£000</w:t>
            </w:r>
          </w:p>
        </w:tc>
      </w:tr>
      <w:tr w:rsidR="00A0736F" w:rsidRPr="00D948C1" w14:paraId="6BC03170" w14:textId="77777777" w:rsidTr="00C4656D">
        <w:tc>
          <w:tcPr>
            <w:tcW w:w="3543" w:type="dxa"/>
          </w:tcPr>
          <w:p w14:paraId="7764DD86" w14:textId="309EE844" w:rsidR="00A0736F" w:rsidRPr="00D948C1" w:rsidRDefault="00A0736F" w:rsidP="00A0736F">
            <w:pPr>
              <w:rPr>
                <w:szCs w:val="24"/>
              </w:rPr>
            </w:pPr>
            <w:r w:rsidRPr="00D948C1">
              <w:rPr>
                <w:szCs w:val="24"/>
              </w:rPr>
              <w:t>Service Delivery</w:t>
            </w:r>
          </w:p>
        </w:tc>
        <w:tc>
          <w:tcPr>
            <w:tcW w:w="1559" w:type="dxa"/>
            <w:vAlign w:val="center"/>
          </w:tcPr>
          <w:p w14:paraId="739357E3" w14:textId="7239A4FD" w:rsidR="00A0736F" w:rsidRPr="00FB606A" w:rsidRDefault="00A0736F" w:rsidP="00A0736F">
            <w:pPr>
              <w:jc w:val="right"/>
              <w:rPr>
                <w:rFonts w:cs="Arial"/>
                <w:szCs w:val="24"/>
              </w:rPr>
            </w:pPr>
            <w:r>
              <w:rPr>
                <w:rFonts w:cs="Arial"/>
                <w:szCs w:val="24"/>
              </w:rPr>
              <w:t>(371)</w:t>
            </w:r>
          </w:p>
        </w:tc>
        <w:tc>
          <w:tcPr>
            <w:tcW w:w="1559" w:type="dxa"/>
          </w:tcPr>
          <w:p w14:paraId="042F23B2" w14:textId="2082FFAC" w:rsidR="00A0736F" w:rsidRPr="00FB606A" w:rsidRDefault="00A0736F" w:rsidP="00A0736F">
            <w:pPr>
              <w:jc w:val="right"/>
              <w:rPr>
                <w:rFonts w:cs="Arial"/>
                <w:szCs w:val="24"/>
              </w:rPr>
            </w:pPr>
            <w:r>
              <w:rPr>
                <w:rFonts w:cs="Arial"/>
                <w:szCs w:val="24"/>
              </w:rPr>
              <w:t>(168)</w:t>
            </w:r>
          </w:p>
        </w:tc>
        <w:tc>
          <w:tcPr>
            <w:tcW w:w="1837" w:type="dxa"/>
            <w:vAlign w:val="center"/>
          </w:tcPr>
          <w:p w14:paraId="769F8331" w14:textId="2E9D5FC1" w:rsidR="00A0736F" w:rsidRPr="00FB606A" w:rsidRDefault="00A0736F" w:rsidP="00A0736F">
            <w:pPr>
              <w:jc w:val="right"/>
              <w:rPr>
                <w:rFonts w:cs="Arial"/>
                <w:szCs w:val="24"/>
              </w:rPr>
            </w:pPr>
            <w:r>
              <w:rPr>
                <w:rFonts w:cs="Arial"/>
                <w:szCs w:val="24"/>
              </w:rPr>
              <w:t>(539)</w:t>
            </w:r>
          </w:p>
        </w:tc>
        <w:tc>
          <w:tcPr>
            <w:tcW w:w="1565" w:type="dxa"/>
            <w:vAlign w:val="center"/>
          </w:tcPr>
          <w:p w14:paraId="6078E603" w14:textId="52691730" w:rsidR="00A0736F" w:rsidRPr="00FB606A" w:rsidRDefault="00A0736F" w:rsidP="00A0736F">
            <w:pPr>
              <w:jc w:val="right"/>
              <w:rPr>
                <w:rFonts w:cs="Arial"/>
                <w:szCs w:val="24"/>
              </w:rPr>
            </w:pPr>
            <w:r w:rsidRPr="00543C89">
              <w:rPr>
                <w:rFonts w:cs="Arial"/>
                <w:szCs w:val="24"/>
              </w:rPr>
              <w:t>-</w:t>
            </w:r>
          </w:p>
        </w:tc>
        <w:tc>
          <w:tcPr>
            <w:tcW w:w="1701" w:type="dxa"/>
            <w:vAlign w:val="center"/>
          </w:tcPr>
          <w:p w14:paraId="191CDAA2" w14:textId="60039201" w:rsidR="00A0736F" w:rsidRPr="00FB606A" w:rsidRDefault="00A0736F" w:rsidP="00A0736F">
            <w:pPr>
              <w:jc w:val="right"/>
              <w:rPr>
                <w:rFonts w:cs="Arial"/>
                <w:szCs w:val="24"/>
              </w:rPr>
            </w:pPr>
            <w:r w:rsidRPr="00543C89">
              <w:rPr>
                <w:rFonts w:cs="Arial"/>
                <w:szCs w:val="24"/>
              </w:rPr>
              <w:t>(24,577)</w:t>
            </w:r>
          </w:p>
        </w:tc>
        <w:tc>
          <w:tcPr>
            <w:tcW w:w="1559" w:type="dxa"/>
            <w:vAlign w:val="center"/>
          </w:tcPr>
          <w:p w14:paraId="02FC2EA7" w14:textId="5330FE5C" w:rsidR="00A0736F" w:rsidRPr="00FB606A" w:rsidRDefault="00A0736F" w:rsidP="00A0736F">
            <w:pPr>
              <w:jc w:val="right"/>
              <w:rPr>
                <w:rFonts w:cs="Arial"/>
                <w:szCs w:val="24"/>
              </w:rPr>
            </w:pPr>
            <w:r w:rsidRPr="00543C89">
              <w:rPr>
                <w:rFonts w:cs="Arial"/>
                <w:szCs w:val="24"/>
              </w:rPr>
              <w:t>(</w:t>
            </w:r>
            <w:r>
              <w:rPr>
                <w:rFonts w:cs="Arial"/>
                <w:szCs w:val="24"/>
              </w:rPr>
              <w:t>10</w:t>
            </w:r>
            <w:r w:rsidRPr="00543C89">
              <w:rPr>
                <w:rFonts w:cs="Arial"/>
                <w:szCs w:val="24"/>
              </w:rPr>
              <w:t>)</w:t>
            </w:r>
          </w:p>
        </w:tc>
        <w:tc>
          <w:tcPr>
            <w:tcW w:w="1984" w:type="dxa"/>
            <w:vAlign w:val="center"/>
          </w:tcPr>
          <w:p w14:paraId="1F96802E" w14:textId="6855111A" w:rsidR="00A0736F" w:rsidRPr="00FB606A" w:rsidRDefault="00A0736F" w:rsidP="00A0736F">
            <w:pPr>
              <w:jc w:val="right"/>
              <w:rPr>
                <w:rFonts w:cs="Arial"/>
                <w:b/>
                <w:bCs/>
                <w:szCs w:val="24"/>
              </w:rPr>
            </w:pPr>
            <w:r w:rsidRPr="00B53FC2">
              <w:rPr>
                <w:rFonts w:cs="Arial"/>
                <w:b/>
                <w:bCs/>
                <w:szCs w:val="24"/>
              </w:rPr>
              <w:t>(24,587)</w:t>
            </w:r>
          </w:p>
        </w:tc>
      </w:tr>
      <w:tr w:rsidR="00A0736F" w:rsidRPr="00D948C1" w14:paraId="18748AEC" w14:textId="77777777" w:rsidTr="00C4656D">
        <w:tc>
          <w:tcPr>
            <w:tcW w:w="3543" w:type="dxa"/>
          </w:tcPr>
          <w:p w14:paraId="47358688" w14:textId="5853AAD9" w:rsidR="00A0736F" w:rsidRPr="00D948C1" w:rsidRDefault="00A0736F" w:rsidP="00A0736F">
            <w:pPr>
              <w:rPr>
                <w:szCs w:val="24"/>
              </w:rPr>
            </w:pPr>
            <w:r w:rsidRPr="00D948C1">
              <w:rPr>
                <w:szCs w:val="24"/>
              </w:rPr>
              <w:t>Strategy and Planning</w:t>
            </w:r>
          </w:p>
        </w:tc>
        <w:tc>
          <w:tcPr>
            <w:tcW w:w="1559" w:type="dxa"/>
            <w:vAlign w:val="center"/>
          </w:tcPr>
          <w:p w14:paraId="6B76D829" w14:textId="2CBF4187" w:rsidR="00A0736F" w:rsidRPr="00FB606A" w:rsidRDefault="00A0736F" w:rsidP="00A0736F">
            <w:pPr>
              <w:jc w:val="right"/>
              <w:rPr>
                <w:rFonts w:cs="Arial"/>
                <w:szCs w:val="24"/>
              </w:rPr>
            </w:pPr>
            <w:r>
              <w:rPr>
                <w:rFonts w:cs="Arial"/>
                <w:szCs w:val="24"/>
              </w:rPr>
              <w:t>(200)</w:t>
            </w:r>
          </w:p>
        </w:tc>
        <w:tc>
          <w:tcPr>
            <w:tcW w:w="1559" w:type="dxa"/>
          </w:tcPr>
          <w:p w14:paraId="347CA534" w14:textId="2EA91272" w:rsidR="00A0736F" w:rsidRPr="00FB606A" w:rsidRDefault="00A0736F" w:rsidP="00A0736F">
            <w:pPr>
              <w:jc w:val="right"/>
              <w:rPr>
                <w:rFonts w:cs="Arial"/>
                <w:szCs w:val="24"/>
              </w:rPr>
            </w:pPr>
            <w:r>
              <w:rPr>
                <w:rFonts w:cs="Arial"/>
                <w:szCs w:val="24"/>
              </w:rPr>
              <w:t>-</w:t>
            </w:r>
          </w:p>
        </w:tc>
        <w:tc>
          <w:tcPr>
            <w:tcW w:w="1837" w:type="dxa"/>
            <w:vAlign w:val="center"/>
          </w:tcPr>
          <w:p w14:paraId="494F850B" w14:textId="46FE40DE" w:rsidR="00A0736F" w:rsidRPr="00FB606A" w:rsidRDefault="00A0736F" w:rsidP="00A0736F">
            <w:pPr>
              <w:jc w:val="right"/>
              <w:rPr>
                <w:rFonts w:cs="Arial"/>
                <w:szCs w:val="24"/>
              </w:rPr>
            </w:pPr>
            <w:r>
              <w:rPr>
                <w:rFonts w:cs="Arial"/>
                <w:szCs w:val="24"/>
              </w:rPr>
              <w:t>(200)</w:t>
            </w:r>
          </w:p>
        </w:tc>
        <w:tc>
          <w:tcPr>
            <w:tcW w:w="1565" w:type="dxa"/>
            <w:vAlign w:val="center"/>
          </w:tcPr>
          <w:p w14:paraId="0AAFE36C" w14:textId="04A52510" w:rsidR="00A0736F" w:rsidRPr="00FB606A" w:rsidRDefault="00A0736F" w:rsidP="00A0736F">
            <w:pPr>
              <w:jc w:val="right"/>
              <w:rPr>
                <w:rFonts w:cs="Arial"/>
                <w:szCs w:val="24"/>
              </w:rPr>
            </w:pPr>
            <w:r w:rsidRPr="00543C89">
              <w:rPr>
                <w:rFonts w:cs="Arial"/>
                <w:szCs w:val="24"/>
              </w:rPr>
              <w:t>-</w:t>
            </w:r>
          </w:p>
        </w:tc>
        <w:tc>
          <w:tcPr>
            <w:tcW w:w="1701" w:type="dxa"/>
            <w:vAlign w:val="center"/>
          </w:tcPr>
          <w:p w14:paraId="18B45358" w14:textId="59CF2FDB" w:rsidR="00A0736F" w:rsidRPr="00FB606A" w:rsidRDefault="00A0736F" w:rsidP="00A0736F">
            <w:pPr>
              <w:jc w:val="right"/>
              <w:rPr>
                <w:rFonts w:cs="Arial"/>
                <w:szCs w:val="24"/>
              </w:rPr>
            </w:pPr>
            <w:r w:rsidRPr="00543C89">
              <w:rPr>
                <w:rFonts w:cs="Arial"/>
                <w:szCs w:val="24"/>
              </w:rPr>
              <w:t>(1,899)</w:t>
            </w:r>
          </w:p>
        </w:tc>
        <w:tc>
          <w:tcPr>
            <w:tcW w:w="1559" w:type="dxa"/>
            <w:vAlign w:val="center"/>
          </w:tcPr>
          <w:p w14:paraId="58EE17C8" w14:textId="4EB5E6BB" w:rsidR="00A0736F" w:rsidRPr="00FB606A" w:rsidRDefault="00A0736F" w:rsidP="00A0736F">
            <w:pPr>
              <w:jc w:val="right"/>
              <w:rPr>
                <w:rFonts w:cs="Arial"/>
                <w:szCs w:val="24"/>
              </w:rPr>
            </w:pPr>
            <w:r>
              <w:rPr>
                <w:rFonts w:cs="Arial"/>
                <w:szCs w:val="24"/>
              </w:rPr>
              <w:t>-</w:t>
            </w:r>
          </w:p>
        </w:tc>
        <w:tc>
          <w:tcPr>
            <w:tcW w:w="1984" w:type="dxa"/>
            <w:vAlign w:val="center"/>
          </w:tcPr>
          <w:p w14:paraId="41133211" w14:textId="3E077C38" w:rsidR="00A0736F" w:rsidRPr="00FB606A" w:rsidRDefault="00A0736F" w:rsidP="00A0736F">
            <w:pPr>
              <w:jc w:val="right"/>
              <w:rPr>
                <w:rFonts w:cs="Arial"/>
                <w:b/>
                <w:bCs/>
                <w:szCs w:val="24"/>
              </w:rPr>
            </w:pPr>
            <w:r w:rsidRPr="00B53FC2">
              <w:rPr>
                <w:rFonts w:cs="Arial"/>
                <w:b/>
                <w:bCs/>
                <w:szCs w:val="24"/>
              </w:rPr>
              <w:t>(1,899)</w:t>
            </w:r>
          </w:p>
        </w:tc>
      </w:tr>
      <w:tr w:rsidR="00A0736F" w:rsidRPr="00D948C1" w14:paraId="3D93ACB0" w14:textId="77777777" w:rsidTr="00C4656D">
        <w:tc>
          <w:tcPr>
            <w:tcW w:w="3543" w:type="dxa"/>
          </w:tcPr>
          <w:p w14:paraId="4A0243EB" w14:textId="57D8F9D5" w:rsidR="00A0736F" w:rsidRPr="00D948C1" w:rsidRDefault="00A0736F" w:rsidP="00A0736F">
            <w:pPr>
              <w:rPr>
                <w:szCs w:val="24"/>
              </w:rPr>
            </w:pPr>
            <w:r w:rsidRPr="00D948C1">
              <w:rPr>
                <w:szCs w:val="24"/>
              </w:rPr>
              <w:t>People and Development</w:t>
            </w:r>
          </w:p>
        </w:tc>
        <w:tc>
          <w:tcPr>
            <w:tcW w:w="1559" w:type="dxa"/>
            <w:vAlign w:val="center"/>
          </w:tcPr>
          <w:p w14:paraId="53F47373" w14:textId="0F3D4E3A" w:rsidR="00A0736F" w:rsidRPr="00FB606A" w:rsidRDefault="00A0736F" w:rsidP="00A0736F">
            <w:pPr>
              <w:jc w:val="right"/>
              <w:rPr>
                <w:rFonts w:cs="Arial"/>
                <w:szCs w:val="24"/>
              </w:rPr>
            </w:pPr>
            <w:r>
              <w:rPr>
                <w:rFonts w:cs="Arial"/>
                <w:szCs w:val="24"/>
              </w:rPr>
              <w:t>(39)</w:t>
            </w:r>
          </w:p>
        </w:tc>
        <w:tc>
          <w:tcPr>
            <w:tcW w:w="1559" w:type="dxa"/>
          </w:tcPr>
          <w:p w14:paraId="4DA0230E" w14:textId="0B4C14F7" w:rsidR="00A0736F" w:rsidRPr="00FB606A" w:rsidRDefault="00A0736F" w:rsidP="00A0736F">
            <w:pPr>
              <w:jc w:val="right"/>
              <w:rPr>
                <w:rFonts w:cs="Arial"/>
                <w:szCs w:val="24"/>
              </w:rPr>
            </w:pPr>
            <w:r>
              <w:rPr>
                <w:rFonts w:cs="Arial"/>
                <w:szCs w:val="24"/>
              </w:rPr>
              <w:t>-</w:t>
            </w:r>
          </w:p>
        </w:tc>
        <w:tc>
          <w:tcPr>
            <w:tcW w:w="1837" w:type="dxa"/>
            <w:vAlign w:val="center"/>
          </w:tcPr>
          <w:p w14:paraId="63FDDDE3" w14:textId="53076F57" w:rsidR="00A0736F" w:rsidRPr="00FB606A" w:rsidRDefault="00A0736F" w:rsidP="00A0736F">
            <w:pPr>
              <w:jc w:val="right"/>
              <w:rPr>
                <w:rFonts w:cs="Arial"/>
                <w:szCs w:val="24"/>
              </w:rPr>
            </w:pPr>
            <w:r>
              <w:rPr>
                <w:rFonts w:cs="Arial"/>
                <w:szCs w:val="24"/>
              </w:rPr>
              <w:t>(39)</w:t>
            </w:r>
          </w:p>
        </w:tc>
        <w:tc>
          <w:tcPr>
            <w:tcW w:w="1565" w:type="dxa"/>
            <w:vAlign w:val="center"/>
          </w:tcPr>
          <w:p w14:paraId="1D3648E0" w14:textId="4914DB28" w:rsidR="00A0736F" w:rsidRPr="00FB606A" w:rsidRDefault="00A0736F" w:rsidP="00A0736F">
            <w:pPr>
              <w:jc w:val="right"/>
              <w:rPr>
                <w:rFonts w:cs="Arial"/>
                <w:szCs w:val="24"/>
              </w:rPr>
            </w:pPr>
            <w:r w:rsidRPr="00543C89">
              <w:rPr>
                <w:rFonts w:cs="Arial"/>
                <w:szCs w:val="24"/>
              </w:rPr>
              <w:t>-</w:t>
            </w:r>
          </w:p>
        </w:tc>
        <w:tc>
          <w:tcPr>
            <w:tcW w:w="1701" w:type="dxa"/>
            <w:vAlign w:val="center"/>
          </w:tcPr>
          <w:p w14:paraId="46967312" w14:textId="66B3F478" w:rsidR="00A0736F" w:rsidRPr="00FB606A" w:rsidRDefault="00A0736F" w:rsidP="00A0736F">
            <w:pPr>
              <w:jc w:val="right"/>
              <w:rPr>
                <w:rFonts w:cs="Arial"/>
                <w:szCs w:val="24"/>
              </w:rPr>
            </w:pPr>
            <w:r w:rsidRPr="00543C89">
              <w:rPr>
                <w:rFonts w:cs="Arial"/>
                <w:szCs w:val="24"/>
              </w:rPr>
              <w:t>177</w:t>
            </w:r>
          </w:p>
        </w:tc>
        <w:tc>
          <w:tcPr>
            <w:tcW w:w="1559" w:type="dxa"/>
            <w:vAlign w:val="center"/>
          </w:tcPr>
          <w:p w14:paraId="14C94E23" w14:textId="17205DAD" w:rsidR="00A0736F" w:rsidRPr="00FB606A" w:rsidRDefault="00A0736F" w:rsidP="00A0736F">
            <w:pPr>
              <w:jc w:val="right"/>
              <w:rPr>
                <w:rFonts w:cs="Arial"/>
                <w:szCs w:val="24"/>
              </w:rPr>
            </w:pPr>
            <w:r>
              <w:rPr>
                <w:rFonts w:cs="Arial"/>
                <w:szCs w:val="24"/>
              </w:rPr>
              <w:t>-</w:t>
            </w:r>
          </w:p>
        </w:tc>
        <w:tc>
          <w:tcPr>
            <w:tcW w:w="1984" w:type="dxa"/>
            <w:vAlign w:val="center"/>
          </w:tcPr>
          <w:p w14:paraId="09C74AF7" w14:textId="23F646B2" w:rsidR="00A0736F" w:rsidRPr="00FB606A" w:rsidRDefault="00A0736F" w:rsidP="00A0736F">
            <w:pPr>
              <w:jc w:val="right"/>
              <w:rPr>
                <w:rFonts w:cs="Arial"/>
                <w:b/>
                <w:bCs/>
                <w:szCs w:val="24"/>
              </w:rPr>
            </w:pPr>
            <w:r w:rsidRPr="00B53FC2">
              <w:rPr>
                <w:rFonts w:cs="Arial"/>
                <w:b/>
                <w:bCs/>
                <w:szCs w:val="24"/>
              </w:rPr>
              <w:t>177</w:t>
            </w:r>
          </w:p>
        </w:tc>
      </w:tr>
      <w:tr w:rsidR="00A0736F" w:rsidRPr="00D948C1" w14:paraId="21358A79" w14:textId="77777777" w:rsidTr="00C4656D">
        <w:tc>
          <w:tcPr>
            <w:tcW w:w="3543" w:type="dxa"/>
          </w:tcPr>
          <w:p w14:paraId="6554B64D" w14:textId="1DBB726D" w:rsidR="00A0736F" w:rsidRPr="00D948C1" w:rsidRDefault="00A0736F" w:rsidP="00A0736F">
            <w:pPr>
              <w:rPr>
                <w:szCs w:val="24"/>
              </w:rPr>
            </w:pPr>
            <w:r w:rsidRPr="00D948C1">
              <w:rPr>
                <w:szCs w:val="24"/>
              </w:rPr>
              <w:t>Corporate Services</w:t>
            </w:r>
          </w:p>
        </w:tc>
        <w:tc>
          <w:tcPr>
            <w:tcW w:w="1559" w:type="dxa"/>
            <w:vAlign w:val="center"/>
          </w:tcPr>
          <w:p w14:paraId="7DE2840E" w14:textId="1064ADC1" w:rsidR="00A0736F" w:rsidRPr="00FB606A" w:rsidRDefault="00A0736F" w:rsidP="00A0736F">
            <w:pPr>
              <w:jc w:val="right"/>
              <w:rPr>
                <w:rFonts w:cs="Arial"/>
                <w:szCs w:val="24"/>
              </w:rPr>
            </w:pPr>
            <w:r>
              <w:rPr>
                <w:rFonts w:cs="Arial"/>
                <w:szCs w:val="24"/>
              </w:rPr>
              <w:t>(1,270)</w:t>
            </w:r>
          </w:p>
        </w:tc>
        <w:tc>
          <w:tcPr>
            <w:tcW w:w="1559" w:type="dxa"/>
          </w:tcPr>
          <w:p w14:paraId="13C1E5E6" w14:textId="6DF71B23" w:rsidR="00A0736F" w:rsidRPr="00FB606A" w:rsidRDefault="00A0736F" w:rsidP="00A0736F">
            <w:pPr>
              <w:jc w:val="right"/>
              <w:rPr>
                <w:rFonts w:cs="Arial"/>
                <w:szCs w:val="24"/>
              </w:rPr>
            </w:pPr>
            <w:r>
              <w:rPr>
                <w:rFonts w:cs="Arial"/>
                <w:szCs w:val="24"/>
              </w:rPr>
              <w:t>-</w:t>
            </w:r>
          </w:p>
        </w:tc>
        <w:tc>
          <w:tcPr>
            <w:tcW w:w="1837" w:type="dxa"/>
            <w:vAlign w:val="center"/>
          </w:tcPr>
          <w:p w14:paraId="75F1165A" w14:textId="0C65E239" w:rsidR="00A0736F" w:rsidRPr="00FB606A" w:rsidRDefault="00A0736F" w:rsidP="00A0736F">
            <w:pPr>
              <w:jc w:val="right"/>
              <w:rPr>
                <w:rFonts w:cs="Arial"/>
                <w:szCs w:val="24"/>
              </w:rPr>
            </w:pPr>
            <w:r>
              <w:rPr>
                <w:rFonts w:cs="Arial"/>
                <w:szCs w:val="24"/>
              </w:rPr>
              <w:t>(1,270)</w:t>
            </w:r>
          </w:p>
        </w:tc>
        <w:tc>
          <w:tcPr>
            <w:tcW w:w="1565" w:type="dxa"/>
            <w:vAlign w:val="center"/>
          </w:tcPr>
          <w:p w14:paraId="3CF371E8" w14:textId="290349D4" w:rsidR="00A0736F" w:rsidRPr="00FB606A" w:rsidRDefault="00A0736F" w:rsidP="00A0736F">
            <w:pPr>
              <w:jc w:val="right"/>
              <w:rPr>
                <w:rFonts w:cs="Arial"/>
                <w:szCs w:val="24"/>
              </w:rPr>
            </w:pPr>
            <w:r w:rsidRPr="00543C89">
              <w:rPr>
                <w:rFonts w:cs="Arial"/>
                <w:szCs w:val="24"/>
              </w:rPr>
              <w:t>-</w:t>
            </w:r>
          </w:p>
        </w:tc>
        <w:tc>
          <w:tcPr>
            <w:tcW w:w="1701" w:type="dxa"/>
            <w:vAlign w:val="center"/>
          </w:tcPr>
          <w:p w14:paraId="6265AAD2" w14:textId="2E6D9B78" w:rsidR="00A0736F" w:rsidRPr="00FB606A" w:rsidRDefault="00A0736F" w:rsidP="00A0736F">
            <w:pPr>
              <w:jc w:val="right"/>
              <w:rPr>
                <w:rFonts w:cs="Arial"/>
                <w:szCs w:val="24"/>
              </w:rPr>
            </w:pPr>
            <w:r w:rsidRPr="00543C89">
              <w:rPr>
                <w:rFonts w:cs="Arial"/>
                <w:szCs w:val="24"/>
              </w:rPr>
              <w:t>(238)</w:t>
            </w:r>
          </w:p>
        </w:tc>
        <w:tc>
          <w:tcPr>
            <w:tcW w:w="1559" w:type="dxa"/>
            <w:vAlign w:val="center"/>
          </w:tcPr>
          <w:p w14:paraId="71571673" w14:textId="0B1C62A4" w:rsidR="00A0736F" w:rsidRPr="00FB606A" w:rsidRDefault="00A0736F" w:rsidP="00A0736F">
            <w:pPr>
              <w:jc w:val="right"/>
              <w:rPr>
                <w:rFonts w:cs="Arial"/>
                <w:szCs w:val="24"/>
              </w:rPr>
            </w:pPr>
            <w:r>
              <w:rPr>
                <w:rFonts w:cs="Arial"/>
                <w:szCs w:val="24"/>
              </w:rPr>
              <w:t>-</w:t>
            </w:r>
          </w:p>
        </w:tc>
        <w:tc>
          <w:tcPr>
            <w:tcW w:w="1984" w:type="dxa"/>
            <w:vAlign w:val="center"/>
          </w:tcPr>
          <w:p w14:paraId="350523A7" w14:textId="4C731FFF" w:rsidR="00A0736F" w:rsidRPr="00FB606A" w:rsidRDefault="00A0736F" w:rsidP="00A0736F">
            <w:pPr>
              <w:jc w:val="right"/>
              <w:rPr>
                <w:rFonts w:cs="Arial"/>
                <w:b/>
                <w:bCs/>
                <w:szCs w:val="24"/>
              </w:rPr>
            </w:pPr>
            <w:r w:rsidRPr="00B53FC2">
              <w:rPr>
                <w:rFonts w:cs="Arial"/>
                <w:b/>
                <w:bCs/>
                <w:szCs w:val="24"/>
              </w:rPr>
              <w:t>(238)</w:t>
            </w:r>
          </w:p>
        </w:tc>
      </w:tr>
      <w:tr w:rsidR="00A0736F" w:rsidRPr="00D948C1" w14:paraId="63A28C5C" w14:textId="77777777" w:rsidTr="00C4656D">
        <w:tc>
          <w:tcPr>
            <w:tcW w:w="3543" w:type="dxa"/>
          </w:tcPr>
          <w:p w14:paraId="1E0DFE67" w14:textId="39715D0A" w:rsidR="00A0736F" w:rsidRPr="00D948C1" w:rsidRDefault="00A0736F" w:rsidP="00A0736F">
            <w:pPr>
              <w:rPr>
                <w:szCs w:val="24"/>
              </w:rPr>
            </w:pPr>
            <w:r w:rsidRPr="00D948C1">
              <w:rPr>
                <w:szCs w:val="24"/>
              </w:rPr>
              <w:t>Firefighters Pensions</w:t>
            </w:r>
          </w:p>
        </w:tc>
        <w:tc>
          <w:tcPr>
            <w:tcW w:w="1559" w:type="dxa"/>
            <w:vAlign w:val="center"/>
          </w:tcPr>
          <w:p w14:paraId="19E582F9" w14:textId="3FEE455A" w:rsidR="00A0736F" w:rsidRPr="00FB606A" w:rsidRDefault="00A0736F" w:rsidP="00A0736F">
            <w:pPr>
              <w:jc w:val="right"/>
              <w:rPr>
                <w:rFonts w:cs="Arial"/>
                <w:szCs w:val="24"/>
              </w:rPr>
            </w:pPr>
            <w:r w:rsidRPr="00543C89">
              <w:rPr>
                <w:rFonts w:cs="Arial"/>
                <w:szCs w:val="24"/>
              </w:rPr>
              <w:t>-</w:t>
            </w:r>
          </w:p>
        </w:tc>
        <w:tc>
          <w:tcPr>
            <w:tcW w:w="1559" w:type="dxa"/>
          </w:tcPr>
          <w:p w14:paraId="72D8C235" w14:textId="73227CF0" w:rsidR="00A0736F" w:rsidRPr="00FB606A" w:rsidRDefault="00A0736F" w:rsidP="00A0736F">
            <w:pPr>
              <w:jc w:val="right"/>
              <w:rPr>
                <w:rFonts w:cs="Arial"/>
                <w:szCs w:val="24"/>
              </w:rPr>
            </w:pPr>
            <w:r>
              <w:rPr>
                <w:rFonts w:cs="Arial"/>
                <w:szCs w:val="24"/>
              </w:rPr>
              <w:t>-</w:t>
            </w:r>
          </w:p>
        </w:tc>
        <w:tc>
          <w:tcPr>
            <w:tcW w:w="1837" w:type="dxa"/>
            <w:vAlign w:val="center"/>
          </w:tcPr>
          <w:p w14:paraId="14DE3DDC" w14:textId="1ECA751D" w:rsidR="00A0736F" w:rsidRPr="00FB606A" w:rsidRDefault="00A0736F" w:rsidP="00A0736F">
            <w:pPr>
              <w:jc w:val="right"/>
              <w:rPr>
                <w:rFonts w:cs="Arial"/>
                <w:szCs w:val="24"/>
              </w:rPr>
            </w:pPr>
            <w:r w:rsidRPr="00543C89">
              <w:rPr>
                <w:rFonts w:cs="Arial"/>
                <w:szCs w:val="24"/>
              </w:rPr>
              <w:t>-</w:t>
            </w:r>
          </w:p>
        </w:tc>
        <w:tc>
          <w:tcPr>
            <w:tcW w:w="1565" w:type="dxa"/>
            <w:vAlign w:val="center"/>
          </w:tcPr>
          <w:p w14:paraId="2CF7EBA0" w14:textId="6B2EFD4C" w:rsidR="00A0736F" w:rsidRPr="00FB606A" w:rsidRDefault="00A0736F" w:rsidP="00A0736F">
            <w:pPr>
              <w:jc w:val="right"/>
              <w:rPr>
                <w:rFonts w:cs="Arial"/>
                <w:szCs w:val="24"/>
              </w:rPr>
            </w:pPr>
            <w:r w:rsidRPr="00543C89">
              <w:rPr>
                <w:rFonts w:cs="Arial"/>
                <w:szCs w:val="24"/>
              </w:rPr>
              <w:t>-</w:t>
            </w:r>
          </w:p>
        </w:tc>
        <w:tc>
          <w:tcPr>
            <w:tcW w:w="1701" w:type="dxa"/>
            <w:vAlign w:val="center"/>
          </w:tcPr>
          <w:p w14:paraId="3E1736A3" w14:textId="2D8CF78E" w:rsidR="00A0736F" w:rsidRPr="00FB606A" w:rsidRDefault="00A0736F" w:rsidP="00A0736F">
            <w:pPr>
              <w:jc w:val="right"/>
              <w:rPr>
                <w:rFonts w:cs="Arial"/>
                <w:szCs w:val="24"/>
              </w:rPr>
            </w:pPr>
            <w:r w:rsidRPr="00543C89">
              <w:rPr>
                <w:rFonts w:cs="Arial"/>
                <w:szCs w:val="24"/>
              </w:rPr>
              <w:t>-</w:t>
            </w:r>
          </w:p>
        </w:tc>
        <w:tc>
          <w:tcPr>
            <w:tcW w:w="1559" w:type="dxa"/>
            <w:vAlign w:val="center"/>
          </w:tcPr>
          <w:p w14:paraId="1B97D911" w14:textId="24194E4D" w:rsidR="00A0736F" w:rsidRPr="00FB606A" w:rsidRDefault="00A0736F" w:rsidP="00A0736F">
            <w:pPr>
              <w:jc w:val="right"/>
              <w:rPr>
                <w:rFonts w:cs="Arial"/>
                <w:szCs w:val="24"/>
              </w:rPr>
            </w:pPr>
            <w:r w:rsidRPr="00543C89">
              <w:rPr>
                <w:rFonts w:cs="Arial"/>
                <w:szCs w:val="24"/>
              </w:rPr>
              <w:t>-</w:t>
            </w:r>
          </w:p>
        </w:tc>
        <w:tc>
          <w:tcPr>
            <w:tcW w:w="1984" w:type="dxa"/>
            <w:vAlign w:val="center"/>
          </w:tcPr>
          <w:p w14:paraId="2B6F3074" w14:textId="46F5375A" w:rsidR="00A0736F" w:rsidRPr="00FB606A" w:rsidRDefault="00A0736F" w:rsidP="00A0736F">
            <w:pPr>
              <w:jc w:val="right"/>
              <w:rPr>
                <w:rFonts w:cs="Arial"/>
                <w:b/>
                <w:bCs/>
                <w:szCs w:val="24"/>
              </w:rPr>
            </w:pPr>
            <w:r w:rsidRPr="00B53FC2">
              <w:rPr>
                <w:rFonts w:cs="Arial"/>
                <w:b/>
                <w:bCs/>
                <w:szCs w:val="24"/>
              </w:rPr>
              <w:t>-</w:t>
            </w:r>
          </w:p>
        </w:tc>
      </w:tr>
      <w:tr w:rsidR="00A0736F" w:rsidRPr="00D948C1" w14:paraId="31064235" w14:textId="77777777" w:rsidTr="00C4656D">
        <w:tc>
          <w:tcPr>
            <w:tcW w:w="3543" w:type="dxa"/>
          </w:tcPr>
          <w:p w14:paraId="6DEF846E" w14:textId="24915257" w:rsidR="00A0736F" w:rsidRPr="00D948C1" w:rsidRDefault="00A0736F" w:rsidP="00A0736F">
            <w:pPr>
              <w:rPr>
                <w:szCs w:val="24"/>
              </w:rPr>
            </w:pPr>
            <w:r w:rsidRPr="00D948C1">
              <w:rPr>
                <w:szCs w:val="24"/>
              </w:rPr>
              <w:t>Overheads</w:t>
            </w:r>
          </w:p>
        </w:tc>
        <w:tc>
          <w:tcPr>
            <w:tcW w:w="1559" w:type="dxa"/>
            <w:vAlign w:val="center"/>
          </w:tcPr>
          <w:p w14:paraId="18B85617" w14:textId="781D089E" w:rsidR="00A0736F" w:rsidRPr="00FB606A" w:rsidRDefault="00A0736F" w:rsidP="00A0736F">
            <w:pPr>
              <w:jc w:val="right"/>
              <w:rPr>
                <w:rFonts w:cs="Arial"/>
                <w:szCs w:val="24"/>
              </w:rPr>
            </w:pPr>
            <w:r>
              <w:rPr>
                <w:rFonts w:cs="Arial"/>
                <w:szCs w:val="24"/>
              </w:rPr>
              <w:t>902</w:t>
            </w:r>
          </w:p>
        </w:tc>
        <w:tc>
          <w:tcPr>
            <w:tcW w:w="1559" w:type="dxa"/>
          </w:tcPr>
          <w:p w14:paraId="1C80795A" w14:textId="1F4B0185" w:rsidR="00A0736F" w:rsidRPr="00FB606A" w:rsidRDefault="00A0736F" w:rsidP="00A0736F">
            <w:pPr>
              <w:jc w:val="right"/>
              <w:rPr>
                <w:rFonts w:cs="Arial"/>
                <w:szCs w:val="24"/>
              </w:rPr>
            </w:pPr>
            <w:r>
              <w:rPr>
                <w:rFonts w:cs="Arial"/>
                <w:szCs w:val="24"/>
              </w:rPr>
              <w:t>-</w:t>
            </w:r>
          </w:p>
        </w:tc>
        <w:tc>
          <w:tcPr>
            <w:tcW w:w="1837" w:type="dxa"/>
            <w:vAlign w:val="center"/>
          </w:tcPr>
          <w:p w14:paraId="72CB7A02" w14:textId="0391699D" w:rsidR="00A0736F" w:rsidRPr="00FB606A" w:rsidRDefault="00A0736F" w:rsidP="00A0736F">
            <w:pPr>
              <w:jc w:val="right"/>
              <w:rPr>
                <w:rFonts w:cs="Arial"/>
                <w:szCs w:val="24"/>
              </w:rPr>
            </w:pPr>
            <w:r>
              <w:rPr>
                <w:rFonts w:cs="Arial"/>
                <w:szCs w:val="24"/>
              </w:rPr>
              <w:t>902</w:t>
            </w:r>
          </w:p>
        </w:tc>
        <w:tc>
          <w:tcPr>
            <w:tcW w:w="1565" w:type="dxa"/>
            <w:vAlign w:val="center"/>
          </w:tcPr>
          <w:p w14:paraId="03148DC6" w14:textId="566AD833" w:rsidR="00A0736F" w:rsidRPr="00FB606A" w:rsidRDefault="00A0736F" w:rsidP="00A0736F">
            <w:pPr>
              <w:jc w:val="right"/>
              <w:rPr>
                <w:rFonts w:cs="Arial"/>
                <w:szCs w:val="24"/>
              </w:rPr>
            </w:pPr>
            <w:r>
              <w:rPr>
                <w:rFonts w:cs="Arial"/>
                <w:szCs w:val="24"/>
              </w:rPr>
              <w:t>6</w:t>
            </w:r>
            <w:r w:rsidRPr="00543C89">
              <w:rPr>
                <w:rFonts w:cs="Arial"/>
                <w:szCs w:val="24"/>
              </w:rPr>
              <w:t>,</w:t>
            </w:r>
            <w:r>
              <w:rPr>
                <w:rFonts w:cs="Arial"/>
                <w:szCs w:val="24"/>
              </w:rPr>
              <w:t>938</w:t>
            </w:r>
          </w:p>
        </w:tc>
        <w:tc>
          <w:tcPr>
            <w:tcW w:w="1701" w:type="dxa"/>
            <w:vAlign w:val="center"/>
          </w:tcPr>
          <w:p w14:paraId="468F9FE6" w14:textId="63119DFC" w:rsidR="00A0736F" w:rsidRPr="00FB606A" w:rsidRDefault="00A0736F" w:rsidP="00A0736F">
            <w:pPr>
              <w:jc w:val="right"/>
              <w:rPr>
                <w:rFonts w:cs="Arial"/>
                <w:szCs w:val="24"/>
              </w:rPr>
            </w:pPr>
            <w:r>
              <w:rPr>
                <w:rFonts w:cs="Arial"/>
                <w:szCs w:val="24"/>
              </w:rPr>
              <w:t>1,119</w:t>
            </w:r>
          </w:p>
        </w:tc>
        <w:tc>
          <w:tcPr>
            <w:tcW w:w="1559" w:type="dxa"/>
            <w:vAlign w:val="center"/>
          </w:tcPr>
          <w:p w14:paraId="0EF61287" w14:textId="71B9F9E3" w:rsidR="00A0736F" w:rsidRPr="00FB606A" w:rsidRDefault="00A0736F" w:rsidP="00A0736F">
            <w:pPr>
              <w:jc w:val="right"/>
              <w:rPr>
                <w:rFonts w:cs="Arial"/>
                <w:szCs w:val="24"/>
              </w:rPr>
            </w:pPr>
            <w:r w:rsidRPr="00543C89">
              <w:rPr>
                <w:rFonts w:cs="Arial"/>
                <w:szCs w:val="24"/>
              </w:rPr>
              <w:t>(</w:t>
            </w:r>
            <w:r>
              <w:rPr>
                <w:rFonts w:cs="Arial"/>
                <w:szCs w:val="24"/>
              </w:rPr>
              <w:t>4</w:t>
            </w:r>
            <w:r w:rsidRPr="00543C89">
              <w:rPr>
                <w:rFonts w:cs="Arial"/>
                <w:szCs w:val="24"/>
              </w:rPr>
              <w:t>,</w:t>
            </w:r>
            <w:r>
              <w:rPr>
                <w:rFonts w:cs="Arial"/>
                <w:szCs w:val="24"/>
              </w:rPr>
              <w:t>097</w:t>
            </w:r>
            <w:r w:rsidRPr="00543C89">
              <w:rPr>
                <w:rFonts w:cs="Arial"/>
                <w:szCs w:val="24"/>
              </w:rPr>
              <w:t>)</w:t>
            </w:r>
          </w:p>
        </w:tc>
        <w:tc>
          <w:tcPr>
            <w:tcW w:w="1984" w:type="dxa"/>
            <w:vAlign w:val="center"/>
          </w:tcPr>
          <w:p w14:paraId="1131729A" w14:textId="50FD9149" w:rsidR="00A0736F" w:rsidRPr="00FB606A" w:rsidRDefault="00A0736F" w:rsidP="00A0736F">
            <w:pPr>
              <w:jc w:val="right"/>
              <w:rPr>
                <w:rFonts w:cs="Arial"/>
                <w:b/>
                <w:bCs/>
                <w:szCs w:val="24"/>
              </w:rPr>
            </w:pPr>
            <w:r w:rsidRPr="00B53FC2">
              <w:rPr>
                <w:rFonts w:cs="Arial"/>
                <w:b/>
                <w:bCs/>
                <w:szCs w:val="24"/>
              </w:rPr>
              <w:t>3,960</w:t>
            </w:r>
          </w:p>
        </w:tc>
      </w:tr>
      <w:tr w:rsidR="00A0736F" w:rsidRPr="00D948C1" w14:paraId="0BC38327" w14:textId="77777777" w:rsidTr="00C4656D">
        <w:tc>
          <w:tcPr>
            <w:tcW w:w="3543" w:type="dxa"/>
          </w:tcPr>
          <w:p w14:paraId="6F11E11F" w14:textId="7731DB52" w:rsidR="00A0736F" w:rsidRPr="00D948C1" w:rsidRDefault="00A0736F" w:rsidP="00A0736F">
            <w:pPr>
              <w:rPr>
                <w:b/>
                <w:szCs w:val="24"/>
              </w:rPr>
            </w:pPr>
            <w:r w:rsidRPr="00D948C1">
              <w:rPr>
                <w:b/>
                <w:szCs w:val="24"/>
              </w:rPr>
              <w:t>Net cost of Services</w:t>
            </w:r>
          </w:p>
        </w:tc>
        <w:tc>
          <w:tcPr>
            <w:tcW w:w="1559" w:type="dxa"/>
            <w:vAlign w:val="center"/>
          </w:tcPr>
          <w:p w14:paraId="1BF657FA" w14:textId="7C9F4A5E" w:rsidR="00A0736F" w:rsidRPr="00FB606A" w:rsidRDefault="00A0736F" w:rsidP="00A0736F">
            <w:pPr>
              <w:jc w:val="right"/>
              <w:rPr>
                <w:rFonts w:cs="Arial"/>
                <w:b/>
                <w:bCs/>
                <w:szCs w:val="24"/>
              </w:rPr>
            </w:pPr>
            <w:r>
              <w:rPr>
                <w:rFonts w:cs="Arial"/>
                <w:b/>
                <w:bCs/>
                <w:szCs w:val="24"/>
              </w:rPr>
              <w:t>(978)</w:t>
            </w:r>
          </w:p>
        </w:tc>
        <w:tc>
          <w:tcPr>
            <w:tcW w:w="1559" w:type="dxa"/>
          </w:tcPr>
          <w:p w14:paraId="3CE44BEE" w14:textId="1FC91EF6" w:rsidR="00A0736F" w:rsidRPr="00FB606A" w:rsidRDefault="00A0736F" w:rsidP="00A0736F">
            <w:pPr>
              <w:jc w:val="right"/>
              <w:rPr>
                <w:rFonts w:cs="Arial"/>
                <w:b/>
                <w:bCs/>
                <w:szCs w:val="24"/>
              </w:rPr>
            </w:pPr>
            <w:r>
              <w:rPr>
                <w:rFonts w:cs="Arial"/>
                <w:b/>
                <w:bCs/>
                <w:szCs w:val="24"/>
              </w:rPr>
              <w:t>(168)</w:t>
            </w:r>
          </w:p>
        </w:tc>
        <w:tc>
          <w:tcPr>
            <w:tcW w:w="1837" w:type="dxa"/>
            <w:vAlign w:val="center"/>
          </w:tcPr>
          <w:p w14:paraId="5499D315" w14:textId="2D6002D1" w:rsidR="00A0736F" w:rsidRPr="00FB606A" w:rsidRDefault="00A0736F" w:rsidP="00A0736F">
            <w:pPr>
              <w:jc w:val="right"/>
              <w:rPr>
                <w:rFonts w:cs="Arial"/>
                <w:b/>
                <w:bCs/>
                <w:szCs w:val="24"/>
              </w:rPr>
            </w:pPr>
            <w:r>
              <w:rPr>
                <w:rFonts w:cs="Arial"/>
                <w:b/>
                <w:bCs/>
                <w:szCs w:val="24"/>
              </w:rPr>
              <w:t>(1,145)</w:t>
            </w:r>
          </w:p>
        </w:tc>
        <w:tc>
          <w:tcPr>
            <w:tcW w:w="1565" w:type="dxa"/>
            <w:vAlign w:val="center"/>
          </w:tcPr>
          <w:p w14:paraId="2C43AE7D" w14:textId="087658C1" w:rsidR="00A0736F" w:rsidRPr="00DA36CE" w:rsidRDefault="00A0736F" w:rsidP="00A0736F">
            <w:pPr>
              <w:jc w:val="right"/>
              <w:rPr>
                <w:rFonts w:cs="Arial"/>
                <w:b/>
                <w:bCs/>
                <w:szCs w:val="24"/>
              </w:rPr>
            </w:pPr>
            <w:r>
              <w:rPr>
                <w:rFonts w:cs="Arial"/>
                <w:b/>
                <w:bCs/>
                <w:szCs w:val="24"/>
              </w:rPr>
              <w:t>6</w:t>
            </w:r>
            <w:r w:rsidRPr="00543C89">
              <w:rPr>
                <w:rFonts w:cs="Arial"/>
                <w:b/>
                <w:bCs/>
                <w:szCs w:val="24"/>
              </w:rPr>
              <w:t>,</w:t>
            </w:r>
            <w:r>
              <w:rPr>
                <w:rFonts w:cs="Arial"/>
                <w:b/>
                <w:bCs/>
                <w:szCs w:val="24"/>
              </w:rPr>
              <w:t>938</w:t>
            </w:r>
          </w:p>
        </w:tc>
        <w:tc>
          <w:tcPr>
            <w:tcW w:w="1701" w:type="dxa"/>
            <w:vAlign w:val="center"/>
          </w:tcPr>
          <w:p w14:paraId="3B89AD6E" w14:textId="50B42510" w:rsidR="00A0736F" w:rsidRPr="00FB606A" w:rsidRDefault="00A0736F" w:rsidP="00A0736F">
            <w:pPr>
              <w:jc w:val="right"/>
              <w:rPr>
                <w:rFonts w:cs="Arial"/>
                <w:b/>
                <w:bCs/>
                <w:szCs w:val="24"/>
              </w:rPr>
            </w:pPr>
            <w:r w:rsidRPr="00543C89">
              <w:rPr>
                <w:rFonts w:cs="Arial"/>
                <w:b/>
                <w:bCs/>
                <w:szCs w:val="24"/>
              </w:rPr>
              <w:t>(25,</w:t>
            </w:r>
            <w:r>
              <w:rPr>
                <w:rFonts w:cs="Arial"/>
                <w:b/>
                <w:bCs/>
                <w:szCs w:val="24"/>
              </w:rPr>
              <w:t>418</w:t>
            </w:r>
            <w:r w:rsidRPr="00543C89">
              <w:rPr>
                <w:rFonts w:cs="Arial"/>
                <w:b/>
                <w:bCs/>
                <w:szCs w:val="24"/>
              </w:rPr>
              <w:t>)</w:t>
            </w:r>
          </w:p>
        </w:tc>
        <w:tc>
          <w:tcPr>
            <w:tcW w:w="1559" w:type="dxa"/>
            <w:vAlign w:val="center"/>
          </w:tcPr>
          <w:p w14:paraId="2BCF1B65" w14:textId="2DE524A6" w:rsidR="00A0736F" w:rsidRPr="00FB606A" w:rsidRDefault="00A0736F" w:rsidP="00A0736F">
            <w:pPr>
              <w:jc w:val="right"/>
              <w:rPr>
                <w:rFonts w:cs="Arial"/>
                <w:b/>
                <w:bCs/>
                <w:szCs w:val="24"/>
              </w:rPr>
            </w:pPr>
            <w:r w:rsidRPr="00543C89">
              <w:rPr>
                <w:rFonts w:cs="Arial"/>
                <w:b/>
                <w:bCs/>
                <w:szCs w:val="24"/>
              </w:rPr>
              <w:t>(</w:t>
            </w:r>
            <w:r>
              <w:rPr>
                <w:rFonts w:cs="Arial"/>
                <w:b/>
                <w:bCs/>
                <w:szCs w:val="24"/>
              </w:rPr>
              <w:t>4</w:t>
            </w:r>
            <w:r w:rsidRPr="00543C89">
              <w:rPr>
                <w:rFonts w:cs="Arial"/>
                <w:b/>
                <w:bCs/>
                <w:szCs w:val="24"/>
              </w:rPr>
              <w:t>,</w:t>
            </w:r>
            <w:r>
              <w:rPr>
                <w:rFonts w:cs="Arial"/>
                <w:b/>
                <w:bCs/>
                <w:szCs w:val="24"/>
              </w:rPr>
              <w:t>107</w:t>
            </w:r>
            <w:r w:rsidRPr="00543C89">
              <w:rPr>
                <w:rFonts w:cs="Arial"/>
                <w:b/>
                <w:bCs/>
                <w:szCs w:val="24"/>
              </w:rPr>
              <w:t>)</w:t>
            </w:r>
          </w:p>
        </w:tc>
        <w:tc>
          <w:tcPr>
            <w:tcW w:w="1984" w:type="dxa"/>
            <w:vAlign w:val="center"/>
          </w:tcPr>
          <w:p w14:paraId="435AC1A4" w14:textId="1E149ED4" w:rsidR="00A0736F" w:rsidRPr="00FB606A" w:rsidRDefault="00A0736F" w:rsidP="00A0736F">
            <w:pPr>
              <w:jc w:val="right"/>
              <w:rPr>
                <w:rFonts w:cs="Arial"/>
                <w:b/>
                <w:bCs/>
                <w:szCs w:val="24"/>
              </w:rPr>
            </w:pPr>
            <w:r w:rsidRPr="00B53FC2">
              <w:rPr>
                <w:rFonts w:cs="Arial"/>
                <w:b/>
                <w:bCs/>
                <w:szCs w:val="24"/>
              </w:rPr>
              <w:t>(22,586)</w:t>
            </w:r>
          </w:p>
        </w:tc>
      </w:tr>
      <w:tr w:rsidR="00A0736F" w:rsidRPr="00D948C1" w14:paraId="35FEFC96" w14:textId="77777777" w:rsidTr="00C4656D">
        <w:tc>
          <w:tcPr>
            <w:tcW w:w="3543" w:type="dxa"/>
          </w:tcPr>
          <w:p w14:paraId="09A54903" w14:textId="4EA245CA" w:rsidR="00A0736F" w:rsidRPr="00D948C1" w:rsidRDefault="00A0736F" w:rsidP="00A0736F">
            <w:pPr>
              <w:rPr>
                <w:szCs w:val="24"/>
              </w:rPr>
            </w:pPr>
            <w:r w:rsidRPr="00D948C1">
              <w:rPr>
                <w:szCs w:val="24"/>
              </w:rPr>
              <w:t>Other income and expenditure</w:t>
            </w:r>
          </w:p>
        </w:tc>
        <w:tc>
          <w:tcPr>
            <w:tcW w:w="1559" w:type="dxa"/>
            <w:vAlign w:val="center"/>
          </w:tcPr>
          <w:p w14:paraId="24EEBF80" w14:textId="63BEA2E1" w:rsidR="00A0736F" w:rsidRPr="00FB606A" w:rsidRDefault="00A0736F" w:rsidP="00A0736F">
            <w:pPr>
              <w:jc w:val="right"/>
              <w:rPr>
                <w:rFonts w:cs="Arial"/>
                <w:szCs w:val="24"/>
              </w:rPr>
            </w:pPr>
            <w:r w:rsidRPr="00543C89">
              <w:rPr>
                <w:rFonts w:cs="Arial"/>
                <w:szCs w:val="24"/>
              </w:rPr>
              <w:t xml:space="preserve">- </w:t>
            </w:r>
          </w:p>
        </w:tc>
        <w:tc>
          <w:tcPr>
            <w:tcW w:w="1559" w:type="dxa"/>
          </w:tcPr>
          <w:p w14:paraId="6625B50B" w14:textId="54C3316E" w:rsidR="00A0736F" w:rsidRPr="00FB606A" w:rsidRDefault="00A0736F" w:rsidP="00A0736F">
            <w:pPr>
              <w:jc w:val="right"/>
              <w:rPr>
                <w:rFonts w:cs="Arial"/>
                <w:szCs w:val="24"/>
              </w:rPr>
            </w:pPr>
            <w:r>
              <w:rPr>
                <w:rFonts w:cs="Arial"/>
                <w:szCs w:val="24"/>
              </w:rPr>
              <w:t>-</w:t>
            </w:r>
          </w:p>
        </w:tc>
        <w:tc>
          <w:tcPr>
            <w:tcW w:w="1837" w:type="dxa"/>
            <w:vAlign w:val="center"/>
          </w:tcPr>
          <w:p w14:paraId="763548F2" w14:textId="0A5AFC0F" w:rsidR="00A0736F" w:rsidRPr="00FB606A" w:rsidRDefault="00A0736F" w:rsidP="00A0736F">
            <w:pPr>
              <w:jc w:val="right"/>
              <w:rPr>
                <w:rFonts w:cs="Arial"/>
                <w:szCs w:val="24"/>
              </w:rPr>
            </w:pPr>
            <w:r w:rsidRPr="00543C89">
              <w:rPr>
                <w:rFonts w:cs="Arial"/>
                <w:szCs w:val="24"/>
              </w:rPr>
              <w:t>-</w:t>
            </w:r>
          </w:p>
        </w:tc>
        <w:tc>
          <w:tcPr>
            <w:tcW w:w="1565" w:type="dxa"/>
            <w:vAlign w:val="center"/>
          </w:tcPr>
          <w:p w14:paraId="753C55A3" w14:textId="773A3075" w:rsidR="00A0736F" w:rsidRPr="00FB606A" w:rsidRDefault="00A0736F" w:rsidP="00A0736F">
            <w:pPr>
              <w:jc w:val="right"/>
              <w:rPr>
                <w:rFonts w:cs="Arial"/>
                <w:szCs w:val="24"/>
              </w:rPr>
            </w:pPr>
            <w:r>
              <w:rPr>
                <w:rFonts w:cs="Arial"/>
                <w:szCs w:val="24"/>
              </w:rPr>
              <w:t>(4,984)</w:t>
            </w:r>
          </w:p>
        </w:tc>
        <w:tc>
          <w:tcPr>
            <w:tcW w:w="1701" w:type="dxa"/>
            <w:vAlign w:val="center"/>
          </w:tcPr>
          <w:p w14:paraId="26AE3372" w14:textId="6091BDDC" w:rsidR="00A0736F" w:rsidRPr="00FB606A" w:rsidRDefault="00A0736F" w:rsidP="00A0736F">
            <w:pPr>
              <w:jc w:val="right"/>
              <w:rPr>
                <w:rFonts w:cs="Arial"/>
                <w:szCs w:val="24"/>
              </w:rPr>
            </w:pPr>
            <w:r w:rsidRPr="00543C89">
              <w:rPr>
                <w:rFonts w:cs="Arial"/>
                <w:szCs w:val="24"/>
              </w:rPr>
              <w:t>29,127</w:t>
            </w:r>
          </w:p>
        </w:tc>
        <w:tc>
          <w:tcPr>
            <w:tcW w:w="1559" w:type="dxa"/>
            <w:vAlign w:val="center"/>
          </w:tcPr>
          <w:p w14:paraId="03F85F2E" w14:textId="38AE1B47" w:rsidR="00A0736F" w:rsidRPr="00FB606A" w:rsidRDefault="00A0736F" w:rsidP="00A0736F">
            <w:pPr>
              <w:jc w:val="right"/>
              <w:rPr>
                <w:rFonts w:cs="Arial"/>
                <w:szCs w:val="24"/>
              </w:rPr>
            </w:pPr>
            <w:r>
              <w:rPr>
                <w:rFonts w:cs="Arial"/>
                <w:szCs w:val="24"/>
              </w:rPr>
              <w:t>3</w:t>
            </w:r>
            <w:r w:rsidRPr="00543C89">
              <w:rPr>
                <w:rFonts w:cs="Arial"/>
                <w:szCs w:val="24"/>
              </w:rPr>
              <w:t>,</w:t>
            </w:r>
            <w:r>
              <w:rPr>
                <w:rFonts w:cs="Arial"/>
                <w:szCs w:val="24"/>
              </w:rPr>
              <w:t>377</w:t>
            </w:r>
          </w:p>
        </w:tc>
        <w:tc>
          <w:tcPr>
            <w:tcW w:w="1984" w:type="dxa"/>
            <w:vAlign w:val="center"/>
          </w:tcPr>
          <w:p w14:paraId="6A68151D" w14:textId="1B4E7D86" w:rsidR="00A0736F" w:rsidRPr="00FB606A" w:rsidRDefault="00A0736F" w:rsidP="00A0736F">
            <w:pPr>
              <w:jc w:val="right"/>
              <w:rPr>
                <w:rFonts w:cs="Arial"/>
                <w:b/>
                <w:bCs/>
                <w:szCs w:val="24"/>
              </w:rPr>
            </w:pPr>
            <w:r w:rsidRPr="00B53FC2">
              <w:rPr>
                <w:rFonts w:cs="Arial"/>
                <w:b/>
                <w:bCs/>
                <w:szCs w:val="24"/>
              </w:rPr>
              <w:t>27,520</w:t>
            </w:r>
          </w:p>
        </w:tc>
      </w:tr>
      <w:tr w:rsidR="00A0736F" w:rsidRPr="00D948C1" w14:paraId="39DCCFC1" w14:textId="77777777" w:rsidTr="00C4656D">
        <w:tc>
          <w:tcPr>
            <w:tcW w:w="3543" w:type="dxa"/>
          </w:tcPr>
          <w:p w14:paraId="6065D806" w14:textId="79D0FA7C" w:rsidR="00A0736F" w:rsidRPr="00D948C1" w:rsidRDefault="00A0736F" w:rsidP="00A0736F">
            <w:pPr>
              <w:rPr>
                <w:b/>
                <w:szCs w:val="24"/>
              </w:rPr>
            </w:pPr>
            <w:r w:rsidRPr="00D948C1">
              <w:rPr>
                <w:b/>
                <w:szCs w:val="24"/>
              </w:rPr>
              <w:t>Total</w:t>
            </w:r>
          </w:p>
        </w:tc>
        <w:tc>
          <w:tcPr>
            <w:tcW w:w="1559" w:type="dxa"/>
            <w:vAlign w:val="center"/>
          </w:tcPr>
          <w:p w14:paraId="3E1D5697" w14:textId="17CA05CB" w:rsidR="00A0736F" w:rsidRPr="00FB606A" w:rsidRDefault="00A0736F" w:rsidP="00A0736F">
            <w:pPr>
              <w:jc w:val="right"/>
              <w:rPr>
                <w:rFonts w:cs="Arial"/>
                <w:b/>
                <w:bCs/>
                <w:szCs w:val="24"/>
              </w:rPr>
            </w:pPr>
            <w:r>
              <w:rPr>
                <w:rFonts w:cs="Arial"/>
                <w:b/>
                <w:bCs/>
                <w:szCs w:val="24"/>
              </w:rPr>
              <w:t>(978)</w:t>
            </w:r>
          </w:p>
        </w:tc>
        <w:tc>
          <w:tcPr>
            <w:tcW w:w="1559" w:type="dxa"/>
          </w:tcPr>
          <w:p w14:paraId="16C3FB3B" w14:textId="6F0D27DA" w:rsidR="00A0736F" w:rsidRPr="00FB606A" w:rsidRDefault="00A0736F" w:rsidP="00A0736F">
            <w:pPr>
              <w:jc w:val="right"/>
              <w:rPr>
                <w:rFonts w:cs="Arial"/>
                <w:b/>
                <w:bCs/>
                <w:szCs w:val="24"/>
              </w:rPr>
            </w:pPr>
            <w:r>
              <w:rPr>
                <w:rFonts w:cs="Arial"/>
                <w:b/>
                <w:bCs/>
                <w:szCs w:val="24"/>
              </w:rPr>
              <w:t>(168)</w:t>
            </w:r>
          </w:p>
        </w:tc>
        <w:tc>
          <w:tcPr>
            <w:tcW w:w="1837" w:type="dxa"/>
            <w:vAlign w:val="center"/>
          </w:tcPr>
          <w:p w14:paraId="068FB4BA" w14:textId="3DC46BD0" w:rsidR="00A0736F" w:rsidRPr="00FB606A" w:rsidRDefault="00A0736F" w:rsidP="00A0736F">
            <w:pPr>
              <w:jc w:val="right"/>
              <w:rPr>
                <w:rFonts w:cs="Arial"/>
                <w:b/>
                <w:bCs/>
                <w:szCs w:val="24"/>
              </w:rPr>
            </w:pPr>
            <w:r>
              <w:rPr>
                <w:rFonts w:cs="Arial"/>
                <w:b/>
                <w:bCs/>
                <w:szCs w:val="24"/>
              </w:rPr>
              <w:t>(1,145)</w:t>
            </w:r>
          </w:p>
        </w:tc>
        <w:tc>
          <w:tcPr>
            <w:tcW w:w="1565" w:type="dxa"/>
            <w:vAlign w:val="center"/>
          </w:tcPr>
          <w:p w14:paraId="5214FD30" w14:textId="56B95B80" w:rsidR="00A0736F" w:rsidRPr="00FB606A" w:rsidRDefault="00A0736F" w:rsidP="00A0736F">
            <w:pPr>
              <w:jc w:val="right"/>
              <w:rPr>
                <w:rFonts w:cs="Arial"/>
                <w:b/>
                <w:bCs/>
                <w:szCs w:val="24"/>
              </w:rPr>
            </w:pPr>
            <w:r>
              <w:rPr>
                <w:rFonts w:cs="Arial"/>
                <w:b/>
                <w:bCs/>
                <w:szCs w:val="24"/>
              </w:rPr>
              <w:t>1</w:t>
            </w:r>
            <w:r w:rsidRPr="00543C89">
              <w:rPr>
                <w:rFonts w:cs="Arial"/>
                <w:b/>
                <w:bCs/>
                <w:szCs w:val="24"/>
              </w:rPr>
              <w:t>,</w:t>
            </w:r>
            <w:r>
              <w:rPr>
                <w:rFonts w:cs="Arial"/>
                <w:b/>
                <w:bCs/>
                <w:szCs w:val="24"/>
              </w:rPr>
              <w:t>954</w:t>
            </w:r>
          </w:p>
        </w:tc>
        <w:tc>
          <w:tcPr>
            <w:tcW w:w="1701" w:type="dxa"/>
            <w:vAlign w:val="center"/>
          </w:tcPr>
          <w:p w14:paraId="0A420E6E" w14:textId="0B061D65" w:rsidR="00A0736F" w:rsidRPr="00FB606A" w:rsidRDefault="00A0736F" w:rsidP="00A0736F">
            <w:pPr>
              <w:jc w:val="right"/>
              <w:rPr>
                <w:rFonts w:cs="Arial"/>
                <w:b/>
                <w:bCs/>
                <w:szCs w:val="24"/>
              </w:rPr>
            </w:pPr>
            <w:r w:rsidRPr="00543C89">
              <w:rPr>
                <w:rFonts w:cs="Arial"/>
                <w:b/>
                <w:bCs/>
                <w:szCs w:val="24"/>
              </w:rPr>
              <w:t>3,</w:t>
            </w:r>
            <w:r>
              <w:rPr>
                <w:rFonts w:cs="Arial"/>
                <w:b/>
                <w:bCs/>
                <w:szCs w:val="24"/>
              </w:rPr>
              <w:t>709</w:t>
            </w:r>
          </w:p>
        </w:tc>
        <w:tc>
          <w:tcPr>
            <w:tcW w:w="1559" w:type="dxa"/>
            <w:vAlign w:val="center"/>
          </w:tcPr>
          <w:p w14:paraId="23304C55" w14:textId="63916D25" w:rsidR="00A0736F" w:rsidRPr="00FB606A" w:rsidRDefault="00A0736F" w:rsidP="00A0736F">
            <w:pPr>
              <w:jc w:val="right"/>
              <w:rPr>
                <w:rFonts w:cs="Arial"/>
                <w:b/>
                <w:bCs/>
                <w:szCs w:val="24"/>
              </w:rPr>
            </w:pPr>
            <w:r w:rsidRPr="00543C89">
              <w:rPr>
                <w:rFonts w:cs="Arial"/>
                <w:b/>
                <w:bCs/>
                <w:szCs w:val="24"/>
              </w:rPr>
              <w:t>(</w:t>
            </w:r>
            <w:r>
              <w:rPr>
                <w:rFonts w:cs="Arial"/>
                <w:b/>
                <w:bCs/>
                <w:szCs w:val="24"/>
              </w:rPr>
              <w:t>730</w:t>
            </w:r>
            <w:r w:rsidRPr="00543C89">
              <w:rPr>
                <w:rFonts w:cs="Arial"/>
                <w:b/>
                <w:bCs/>
                <w:szCs w:val="24"/>
              </w:rPr>
              <w:t>)</w:t>
            </w:r>
          </w:p>
        </w:tc>
        <w:tc>
          <w:tcPr>
            <w:tcW w:w="1984" w:type="dxa"/>
            <w:vAlign w:val="center"/>
          </w:tcPr>
          <w:p w14:paraId="0EED1F77" w14:textId="0D5714B2" w:rsidR="00A0736F" w:rsidRPr="00FB606A" w:rsidRDefault="00A0736F" w:rsidP="00A0736F">
            <w:pPr>
              <w:jc w:val="right"/>
              <w:rPr>
                <w:rFonts w:cs="Arial"/>
                <w:b/>
                <w:bCs/>
                <w:szCs w:val="24"/>
              </w:rPr>
            </w:pPr>
            <w:r w:rsidRPr="00B53FC2">
              <w:rPr>
                <w:rFonts w:cs="Arial"/>
                <w:b/>
                <w:bCs/>
                <w:szCs w:val="24"/>
              </w:rPr>
              <w:t>4,934</w:t>
            </w:r>
          </w:p>
        </w:tc>
      </w:tr>
    </w:tbl>
    <w:p w14:paraId="76F399D7" w14:textId="77777777" w:rsidR="006943DC" w:rsidRPr="00E669B4" w:rsidRDefault="006943DC" w:rsidP="009469D7">
      <w:pPr>
        <w:ind w:left="720"/>
        <w:jc w:val="both"/>
      </w:pPr>
    </w:p>
    <w:p w14:paraId="0E7A7516" w14:textId="53F1DAD4" w:rsidR="00296A09" w:rsidRPr="00566DA8" w:rsidRDefault="00296A09" w:rsidP="00FA71D8">
      <w:pPr>
        <w:ind w:left="720"/>
      </w:pPr>
      <w:r>
        <w:t>Note 1 – Adjustments for capital purposes – this column adds in depreciation, impairments and revaluation gains and losses. It also adjusts for capital disposals with a transfer of the income on the disposal and the amounts written off. MRP is deducted because it is not chargeable under generally accepted accounting practices. Adjustments are also made to recognise capital grant income.</w:t>
      </w:r>
    </w:p>
    <w:p w14:paraId="1F540F9F" w14:textId="77777777" w:rsidR="00F14715" w:rsidRPr="00566DA8" w:rsidRDefault="00F14715" w:rsidP="00FA71D8">
      <w:pPr>
        <w:ind w:left="720"/>
      </w:pPr>
    </w:p>
    <w:p w14:paraId="0AEA8917" w14:textId="77777777" w:rsidR="00296A09" w:rsidRPr="00566DA8" w:rsidRDefault="00296A09" w:rsidP="00FA71D8">
      <w:pPr>
        <w:ind w:left="720"/>
      </w:pPr>
      <w:r>
        <w:t>Note 2 – Pensions Adjustments - This shows which lines have been affected by the removal of pension contributions and replaced with IAS19 debits and credits.</w:t>
      </w:r>
    </w:p>
    <w:p w14:paraId="4062FAB3" w14:textId="77777777" w:rsidR="00F14715" w:rsidRPr="00566DA8" w:rsidRDefault="00F14715" w:rsidP="00FA71D8">
      <w:pPr>
        <w:ind w:left="720"/>
      </w:pPr>
    </w:p>
    <w:p w14:paraId="21EE932F" w14:textId="2E206BBA" w:rsidR="009F51E5" w:rsidRPr="00D948C1" w:rsidRDefault="00296A09" w:rsidP="00BE3C0F">
      <w:pPr>
        <w:ind w:left="720"/>
        <w:sectPr w:rsidR="009F51E5" w:rsidRPr="00D948C1" w:rsidSect="0050229D">
          <w:pgSz w:w="16840" w:h="11907" w:orient="landscape" w:code="9"/>
          <w:pgMar w:top="567" w:right="454" w:bottom="567" w:left="397" w:header="720" w:footer="720" w:gutter="0"/>
          <w:cols w:space="720"/>
          <w:docGrid w:linePitch="326"/>
        </w:sectPr>
      </w:pPr>
      <w:r>
        <w:t>Note 3 – Other Differences - This column adjusts for timing differences on the amounts chargeable for Business Rates and Council Tax under Statute and the Code</w:t>
      </w:r>
      <w:r w:rsidR="001C2721">
        <w:t xml:space="preserve"> and transfers to reserves</w:t>
      </w:r>
      <w:r>
        <w:t>.</w:t>
      </w:r>
    </w:p>
    <w:p w14:paraId="48DC6D68" w14:textId="77777777" w:rsidR="00D90216" w:rsidRPr="00D948C1" w:rsidRDefault="00EC5AC1" w:rsidP="00FA71D8">
      <w:pPr>
        <w:pStyle w:val="Heading2"/>
        <w:jc w:val="left"/>
        <w:rPr>
          <w:sz w:val="24"/>
          <w:szCs w:val="24"/>
        </w:rPr>
      </w:pPr>
      <w:bookmarkStart w:id="24" w:name="_Toc233717521"/>
      <w:r w:rsidRPr="00D948C1">
        <w:rPr>
          <w:sz w:val="24"/>
          <w:szCs w:val="24"/>
        </w:rPr>
        <w:lastRenderedPageBreak/>
        <w:t>2</w:t>
      </w:r>
      <w:r w:rsidR="005722FC" w:rsidRPr="00D948C1">
        <w:rPr>
          <w:sz w:val="24"/>
          <w:szCs w:val="24"/>
        </w:rPr>
        <w:tab/>
      </w:r>
      <w:bookmarkStart w:id="25" w:name="N2"/>
      <w:bookmarkEnd w:id="25"/>
      <w:r w:rsidR="00D90216" w:rsidRPr="00D948C1">
        <w:rPr>
          <w:sz w:val="24"/>
          <w:szCs w:val="24"/>
        </w:rPr>
        <w:t>Fire Authority Costs</w:t>
      </w:r>
      <w:bookmarkEnd w:id="24"/>
    </w:p>
    <w:p w14:paraId="4B5E0AB8" w14:textId="77777777" w:rsidR="00D90216" w:rsidRPr="00D948C1" w:rsidRDefault="00D90216" w:rsidP="00FA71D8">
      <w:pPr>
        <w:rPr>
          <w:b/>
          <w:sz w:val="22"/>
        </w:rPr>
      </w:pPr>
    </w:p>
    <w:p w14:paraId="085B49A8" w14:textId="0EE526A6" w:rsidR="00D90216" w:rsidRPr="00D948C1" w:rsidRDefault="00D90216" w:rsidP="003C7C40">
      <w:pPr>
        <w:pStyle w:val="BodyTextIndent"/>
        <w:spacing w:after="240"/>
        <w:rPr>
          <w:lang w:val="en-GB"/>
        </w:rPr>
      </w:pPr>
      <w:r w:rsidRPr="55842147">
        <w:rPr>
          <w:lang w:val="en-GB"/>
        </w:rPr>
        <w:t xml:space="preserve">In </w:t>
      </w:r>
      <w:r w:rsidR="001A42DD">
        <w:t>2025-26</w:t>
      </w:r>
      <w:r>
        <w:t xml:space="preserve"> </w:t>
      </w:r>
      <w:r w:rsidRPr="55842147">
        <w:rPr>
          <w:lang w:val="en-GB"/>
        </w:rPr>
        <w:t xml:space="preserve">Fire Authority costs amounted </w:t>
      </w:r>
      <w:r w:rsidR="003A422F" w:rsidRPr="55842147">
        <w:rPr>
          <w:lang w:val="en-GB"/>
        </w:rPr>
        <w:t>to £</w:t>
      </w:r>
      <w:r w:rsidR="00B51B15" w:rsidRPr="55842147">
        <w:rPr>
          <w:lang w:val="en-GB"/>
        </w:rPr>
        <w:t>0.</w:t>
      </w:r>
      <w:r w:rsidR="00DD3410" w:rsidRPr="55842147">
        <w:rPr>
          <w:lang w:val="en-GB"/>
        </w:rPr>
        <w:t>422</w:t>
      </w:r>
      <w:r w:rsidR="007C50C9">
        <w:rPr>
          <w:lang w:val="en-GB"/>
        </w:rPr>
        <w:t xml:space="preserve"> </w:t>
      </w:r>
      <w:r w:rsidR="000532DC" w:rsidRPr="55842147">
        <w:rPr>
          <w:lang w:val="en-GB"/>
        </w:rPr>
        <w:t>m</w:t>
      </w:r>
      <w:r w:rsidR="007C50C9">
        <w:rPr>
          <w:lang w:val="en-GB"/>
        </w:rPr>
        <w:t>illion</w:t>
      </w:r>
      <w:r w:rsidR="000532DC" w:rsidRPr="55842147">
        <w:rPr>
          <w:lang w:val="en-GB"/>
        </w:rPr>
        <w:t xml:space="preserve"> (</w:t>
      </w:r>
      <w:r w:rsidR="001A42DD">
        <w:rPr>
          <w:lang w:val="en-GB"/>
        </w:rPr>
        <w:t>2024-25</w:t>
      </w:r>
      <w:r w:rsidR="000532DC" w:rsidRPr="55842147">
        <w:rPr>
          <w:lang w:val="en-GB"/>
        </w:rPr>
        <w:t>: £0.3</w:t>
      </w:r>
      <w:r w:rsidR="00326640" w:rsidRPr="55842147">
        <w:rPr>
          <w:lang w:val="en-GB"/>
        </w:rPr>
        <w:t>8</w:t>
      </w:r>
      <w:r w:rsidR="000532DC" w:rsidRPr="55842147">
        <w:rPr>
          <w:lang w:val="en-GB"/>
        </w:rPr>
        <w:t>6</w:t>
      </w:r>
      <w:r w:rsidR="007C50C9">
        <w:rPr>
          <w:lang w:val="en-GB"/>
        </w:rPr>
        <w:t xml:space="preserve"> </w:t>
      </w:r>
      <w:r w:rsidR="000532DC" w:rsidRPr="55842147">
        <w:rPr>
          <w:lang w:val="en-GB"/>
        </w:rPr>
        <w:t>m</w:t>
      </w:r>
      <w:r w:rsidR="007C50C9">
        <w:rPr>
          <w:lang w:val="en-GB"/>
        </w:rPr>
        <w:t>illion</w:t>
      </w:r>
      <w:r w:rsidR="000532DC" w:rsidRPr="55842147">
        <w:rPr>
          <w:lang w:val="en-GB"/>
        </w:rPr>
        <w:t>)</w:t>
      </w:r>
      <w:r w:rsidR="000811CC" w:rsidRPr="55842147">
        <w:rPr>
          <w:lang w:val="en-GB"/>
        </w:rPr>
        <w:t>,</w:t>
      </w:r>
      <w:r w:rsidRPr="55842147">
        <w:rPr>
          <w:lang w:val="en-GB"/>
        </w:rPr>
        <w:t xml:space="preserve"> analysed as follows:</w:t>
      </w:r>
    </w:p>
    <w:tbl>
      <w:tblPr>
        <w:tblW w:w="85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90"/>
        <w:gridCol w:w="1888"/>
      </w:tblGrid>
      <w:tr w:rsidR="000960DE" w:rsidRPr="00D948C1" w14:paraId="172F644E" w14:textId="77777777" w:rsidTr="77119DA7">
        <w:trPr>
          <w:trHeight w:hRule="exact" w:val="576"/>
          <w:tblHeader/>
        </w:trPr>
        <w:tc>
          <w:tcPr>
            <w:tcW w:w="4770" w:type="dxa"/>
            <w:shd w:val="clear" w:color="auto" w:fill="BD2716"/>
          </w:tcPr>
          <w:p w14:paraId="31256476" w14:textId="06736A1E" w:rsidR="000960DE" w:rsidRPr="00D948C1" w:rsidRDefault="000960DE" w:rsidP="000960DE">
            <w:pPr>
              <w:pStyle w:val="Footer"/>
              <w:tabs>
                <w:tab w:val="clear" w:pos="4153"/>
                <w:tab w:val="clear" w:pos="8306"/>
              </w:tabs>
              <w:rPr>
                <w:color w:val="FFFFFF" w:themeColor="background1"/>
                <w:szCs w:val="24"/>
              </w:rPr>
            </w:pPr>
          </w:p>
        </w:tc>
        <w:tc>
          <w:tcPr>
            <w:tcW w:w="1890" w:type="dxa"/>
            <w:shd w:val="clear" w:color="auto" w:fill="BD2716"/>
            <w:vAlign w:val="center"/>
          </w:tcPr>
          <w:p w14:paraId="3B10D3F8" w14:textId="466DB261" w:rsidR="000960DE" w:rsidRPr="00D948C1" w:rsidRDefault="001A42DD" w:rsidP="00611673">
            <w:pPr>
              <w:pStyle w:val="BodyTextIndent"/>
              <w:ind w:left="0"/>
              <w:jc w:val="right"/>
              <w:rPr>
                <w:color w:val="FFFFFF" w:themeColor="background1"/>
                <w:szCs w:val="24"/>
              </w:rPr>
            </w:pPr>
            <w:r>
              <w:rPr>
                <w:color w:val="FFFFFF" w:themeColor="background1"/>
                <w:szCs w:val="24"/>
              </w:rPr>
              <w:t>2025-26</w:t>
            </w:r>
          </w:p>
          <w:p w14:paraId="028BBFB7" w14:textId="08D260BA" w:rsidR="003C7C40" w:rsidRPr="00D948C1" w:rsidRDefault="003C7C40" w:rsidP="00611673">
            <w:pPr>
              <w:pStyle w:val="BodyTextIndent"/>
              <w:ind w:left="0"/>
              <w:jc w:val="right"/>
              <w:rPr>
                <w:color w:val="FFFFFF" w:themeColor="background1"/>
                <w:szCs w:val="24"/>
                <w:lang w:val="en-GB"/>
              </w:rPr>
            </w:pPr>
            <w:r w:rsidRPr="00D948C1">
              <w:rPr>
                <w:color w:val="FFFFFF" w:themeColor="background1"/>
                <w:szCs w:val="24"/>
              </w:rPr>
              <w:t>£000</w:t>
            </w:r>
          </w:p>
        </w:tc>
        <w:tc>
          <w:tcPr>
            <w:tcW w:w="1888" w:type="dxa"/>
            <w:shd w:val="clear" w:color="auto" w:fill="BD2716"/>
            <w:vAlign w:val="center"/>
          </w:tcPr>
          <w:p w14:paraId="016C8259" w14:textId="4BB7202A" w:rsidR="00326640" w:rsidRPr="00D948C1" w:rsidRDefault="001A42DD" w:rsidP="00326640">
            <w:pPr>
              <w:pStyle w:val="BodyTextIndent"/>
              <w:ind w:left="0"/>
              <w:jc w:val="right"/>
              <w:rPr>
                <w:color w:val="FFFFFF" w:themeColor="background1"/>
                <w:szCs w:val="24"/>
              </w:rPr>
            </w:pPr>
            <w:r>
              <w:rPr>
                <w:color w:val="FFFFFF" w:themeColor="background1"/>
                <w:szCs w:val="24"/>
              </w:rPr>
              <w:t>2024-25</w:t>
            </w:r>
          </w:p>
          <w:p w14:paraId="43847763" w14:textId="3AD14FB9" w:rsidR="003C7C40" w:rsidRPr="00D948C1" w:rsidRDefault="00326640" w:rsidP="00326640">
            <w:pPr>
              <w:pStyle w:val="BodyTextIndent"/>
              <w:ind w:left="0"/>
              <w:jc w:val="right"/>
              <w:rPr>
                <w:color w:val="FFFFFF" w:themeColor="background1"/>
                <w:szCs w:val="24"/>
                <w:lang w:val="en-GB"/>
              </w:rPr>
            </w:pPr>
            <w:r w:rsidRPr="00D948C1">
              <w:rPr>
                <w:color w:val="FFFFFF" w:themeColor="background1"/>
                <w:szCs w:val="24"/>
              </w:rPr>
              <w:t>£000</w:t>
            </w:r>
          </w:p>
        </w:tc>
      </w:tr>
      <w:tr w:rsidR="00326640" w:rsidRPr="00BF4349" w14:paraId="5A257217" w14:textId="77777777" w:rsidTr="77119DA7">
        <w:trPr>
          <w:trHeight w:hRule="exact" w:val="300"/>
        </w:trPr>
        <w:tc>
          <w:tcPr>
            <w:tcW w:w="4770" w:type="dxa"/>
          </w:tcPr>
          <w:p w14:paraId="0A35004C" w14:textId="27A3D9D5" w:rsidR="00326640" w:rsidRPr="00BF4349" w:rsidRDefault="00326640" w:rsidP="00326640">
            <w:pPr>
              <w:pStyle w:val="Footer"/>
              <w:tabs>
                <w:tab w:val="clear" w:pos="4153"/>
                <w:tab w:val="clear" w:pos="8306"/>
                <w:tab w:val="left" w:pos="702"/>
              </w:tabs>
              <w:rPr>
                <w:szCs w:val="24"/>
              </w:rPr>
            </w:pPr>
            <w:r w:rsidRPr="00BF4349">
              <w:rPr>
                <w:szCs w:val="24"/>
              </w:rPr>
              <w:t>Members allowances</w:t>
            </w:r>
            <w:r w:rsidR="007E0E1E">
              <w:rPr>
                <w:szCs w:val="24"/>
              </w:rPr>
              <w:t xml:space="preserve"> and </w:t>
            </w:r>
            <w:r w:rsidRPr="00BF4349">
              <w:rPr>
                <w:szCs w:val="24"/>
              </w:rPr>
              <w:t>expenses</w:t>
            </w:r>
          </w:p>
        </w:tc>
        <w:tc>
          <w:tcPr>
            <w:tcW w:w="1890" w:type="dxa"/>
            <w:vAlign w:val="center"/>
          </w:tcPr>
          <w:p w14:paraId="2E5922C6" w14:textId="2B005AFE" w:rsidR="00326640" w:rsidRPr="00FB606A" w:rsidRDefault="000E5AAD" w:rsidP="00326640">
            <w:pPr>
              <w:pStyle w:val="Footer"/>
              <w:tabs>
                <w:tab w:val="clear" w:pos="4153"/>
                <w:tab w:val="clear" w:pos="8306"/>
                <w:tab w:val="decimal" w:pos="1080"/>
              </w:tabs>
              <w:jc w:val="right"/>
            </w:pPr>
            <w:r>
              <w:t>157</w:t>
            </w:r>
          </w:p>
        </w:tc>
        <w:tc>
          <w:tcPr>
            <w:tcW w:w="1888" w:type="dxa"/>
            <w:vAlign w:val="center"/>
          </w:tcPr>
          <w:p w14:paraId="0C908DB8" w14:textId="58FBD23D" w:rsidR="00326640" w:rsidRPr="00FB606A" w:rsidRDefault="00326640" w:rsidP="00326640">
            <w:pPr>
              <w:pStyle w:val="Footer"/>
              <w:tabs>
                <w:tab w:val="clear" w:pos="4153"/>
                <w:tab w:val="clear" w:pos="8306"/>
                <w:tab w:val="decimal" w:pos="1080"/>
              </w:tabs>
              <w:jc w:val="right"/>
              <w:rPr>
                <w:szCs w:val="24"/>
              </w:rPr>
            </w:pPr>
            <w:r w:rsidRPr="00FB606A">
              <w:t>154</w:t>
            </w:r>
          </w:p>
        </w:tc>
      </w:tr>
      <w:tr w:rsidR="00326640" w:rsidRPr="00BF4349" w14:paraId="1C5B417E" w14:textId="77777777" w:rsidTr="77119DA7">
        <w:trPr>
          <w:trHeight w:hRule="exact" w:val="300"/>
        </w:trPr>
        <w:tc>
          <w:tcPr>
            <w:tcW w:w="4770" w:type="dxa"/>
          </w:tcPr>
          <w:p w14:paraId="6996BEA9" w14:textId="77777777" w:rsidR="00326640" w:rsidRPr="00BF4349" w:rsidRDefault="00326640" w:rsidP="00326640">
            <w:pPr>
              <w:tabs>
                <w:tab w:val="left" w:pos="702"/>
              </w:tabs>
              <w:rPr>
                <w:szCs w:val="24"/>
              </w:rPr>
            </w:pPr>
            <w:r w:rsidRPr="00BF4349">
              <w:rPr>
                <w:szCs w:val="24"/>
              </w:rPr>
              <w:t>Statutory officers</w:t>
            </w:r>
          </w:p>
        </w:tc>
        <w:tc>
          <w:tcPr>
            <w:tcW w:w="1890" w:type="dxa"/>
            <w:vAlign w:val="center"/>
          </w:tcPr>
          <w:p w14:paraId="571D3F39" w14:textId="5D8656A0" w:rsidR="00326640" w:rsidRPr="00FB606A" w:rsidRDefault="000E5AAD" w:rsidP="00326640">
            <w:pPr>
              <w:tabs>
                <w:tab w:val="decimal" w:pos="1080"/>
              </w:tabs>
              <w:jc w:val="right"/>
            </w:pPr>
            <w:r>
              <w:t>144</w:t>
            </w:r>
          </w:p>
        </w:tc>
        <w:tc>
          <w:tcPr>
            <w:tcW w:w="1888" w:type="dxa"/>
            <w:vAlign w:val="center"/>
          </w:tcPr>
          <w:p w14:paraId="3C79B5AB" w14:textId="2E123C0F" w:rsidR="00326640" w:rsidRPr="00FB606A" w:rsidRDefault="00326640" w:rsidP="00326640">
            <w:pPr>
              <w:tabs>
                <w:tab w:val="decimal" w:pos="1080"/>
              </w:tabs>
              <w:jc w:val="right"/>
              <w:rPr>
                <w:szCs w:val="24"/>
              </w:rPr>
            </w:pPr>
            <w:r w:rsidRPr="00FB606A">
              <w:t>113</w:t>
            </w:r>
          </w:p>
        </w:tc>
      </w:tr>
      <w:tr w:rsidR="00326640" w:rsidRPr="00BF4349" w14:paraId="675D2655" w14:textId="77777777" w:rsidTr="77119DA7">
        <w:trPr>
          <w:trHeight w:hRule="exact" w:val="300"/>
        </w:trPr>
        <w:tc>
          <w:tcPr>
            <w:tcW w:w="4770" w:type="dxa"/>
          </w:tcPr>
          <w:p w14:paraId="143762EB" w14:textId="77777777" w:rsidR="00326640" w:rsidRPr="00BF4349" w:rsidRDefault="00326640" w:rsidP="00326640">
            <w:pPr>
              <w:tabs>
                <w:tab w:val="left" w:pos="702"/>
              </w:tabs>
              <w:rPr>
                <w:szCs w:val="24"/>
              </w:rPr>
            </w:pPr>
            <w:r w:rsidRPr="00BF4349">
              <w:rPr>
                <w:szCs w:val="24"/>
              </w:rPr>
              <w:t>Others</w:t>
            </w:r>
          </w:p>
        </w:tc>
        <w:tc>
          <w:tcPr>
            <w:tcW w:w="1890" w:type="dxa"/>
            <w:vAlign w:val="center"/>
          </w:tcPr>
          <w:p w14:paraId="2BDA8D04" w14:textId="0521B3B0" w:rsidR="00326640" w:rsidRPr="00FB606A" w:rsidRDefault="000E5AAD" w:rsidP="00326640">
            <w:pPr>
              <w:tabs>
                <w:tab w:val="decimal" w:pos="1080"/>
              </w:tabs>
              <w:jc w:val="right"/>
            </w:pPr>
            <w:r>
              <w:t>121</w:t>
            </w:r>
          </w:p>
        </w:tc>
        <w:tc>
          <w:tcPr>
            <w:tcW w:w="1888" w:type="dxa"/>
            <w:vAlign w:val="center"/>
          </w:tcPr>
          <w:p w14:paraId="0D8015FE" w14:textId="10636209" w:rsidR="00326640" w:rsidRPr="00FB606A" w:rsidRDefault="00326640" w:rsidP="00326640">
            <w:pPr>
              <w:tabs>
                <w:tab w:val="decimal" w:pos="1080"/>
              </w:tabs>
              <w:jc w:val="right"/>
              <w:rPr>
                <w:szCs w:val="24"/>
              </w:rPr>
            </w:pPr>
            <w:r w:rsidRPr="00FB606A">
              <w:t>119</w:t>
            </w:r>
          </w:p>
        </w:tc>
      </w:tr>
      <w:tr w:rsidR="00326640" w:rsidRPr="00D948C1" w14:paraId="5F4B826B" w14:textId="77777777" w:rsidTr="77119DA7">
        <w:trPr>
          <w:trHeight w:hRule="exact" w:val="300"/>
        </w:trPr>
        <w:tc>
          <w:tcPr>
            <w:tcW w:w="4770" w:type="dxa"/>
          </w:tcPr>
          <w:p w14:paraId="7B948216" w14:textId="200E9ED1" w:rsidR="00326640" w:rsidRPr="00BF4349" w:rsidRDefault="00326640" w:rsidP="00326640">
            <w:pPr>
              <w:tabs>
                <w:tab w:val="left" w:pos="702"/>
              </w:tabs>
              <w:rPr>
                <w:szCs w:val="24"/>
              </w:rPr>
            </w:pPr>
            <w:r w:rsidRPr="00BF4349">
              <w:rPr>
                <w:szCs w:val="24"/>
              </w:rPr>
              <w:t>Total</w:t>
            </w:r>
          </w:p>
        </w:tc>
        <w:tc>
          <w:tcPr>
            <w:tcW w:w="1890" w:type="dxa"/>
            <w:vAlign w:val="center"/>
          </w:tcPr>
          <w:p w14:paraId="0B4F85D3" w14:textId="64416AAF" w:rsidR="00326640" w:rsidRPr="00FB606A" w:rsidRDefault="0018527E" w:rsidP="00326640">
            <w:pPr>
              <w:tabs>
                <w:tab w:val="decimal" w:pos="1080"/>
              </w:tabs>
              <w:jc w:val="right"/>
            </w:pPr>
            <w:r>
              <w:t>422</w:t>
            </w:r>
          </w:p>
        </w:tc>
        <w:tc>
          <w:tcPr>
            <w:tcW w:w="1888" w:type="dxa"/>
            <w:vAlign w:val="center"/>
          </w:tcPr>
          <w:p w14:paraId="5BDCD18E" w14:textId="63F17694" w:rsidR="00326640" w:rsidRPr="00FB606A" w:rsidRDefault="00326640" w:rsidP="00326640">
            <w:pPr>
              <w:tabs>
                <w:tab w:val="decimal" w:pos="1080"/>
              </w:tabs>
              <w:jc w:val="right"/>
              <w:rPr>
                <w:szCs w:val="24"/>
              </w:rPr>
            </w:pPr>
            <w:r w:rsidRPr="00FB606A">
              <w:t>386</w:t>
            </w:r>
          </w:p>
        </w:tc>
      </w:tr>
    </w:tbl>
    <w:p w14:paraId="6ED72D57" w14:textId="77777777" w:rsidR="00DC4253" w:rsidRPr="00D948C1" w:rsidRDefault="00D90216" w:rsidP="00CA1CFF">
      <w:pPr>
        <w:pStyle w:val="Footer"/>
        <w:tabs>
          <w:tab w:val="clear" w:pos="4153"/>
          <w:tab w:val="clear" w:pos="8306"/>
        </w:tabs>
        <w:jc w:val="both"/>
        <w:rPr>
          <w:sz w:val="22"/>
        </w:rPr>
      </w:pPr>
      <w:r w:rsidRPr="00D948C1">
        <w:rPr>
          <w:sz w:val="22"/>
        </w:rPr>
        <w:t xml:space="preserve"> </w:t>
      </w:r>
    </w:p>
    <w:p w14:paraId="47C64980" w14:textId="3584B248" w:rsidR="00D90216" w:rsidRPr="00D948C1" w:rsidRDefault="00EC5AC1" w:rsidP="00FA71D8">
      <w:pPr>
        <w:pStyle w:val="Heading2"/>
        <w:jc w:val="left"/>
        <w:rPr>
          <w:sz w:val="24"/>
          <w:szCs w:val="24"/>
        </w:rPr>
      </w:pPr>
      <w:bookmarkStart w:id="26" w:name="_Toc233717522"/>
      <w:r w:rsidRPr="00D948C1">
        <w:rPr>
          <w:sz w:val="24"/>
          <w:szCs w:val="24"/>
        </w:rPr>
        <w:t>3</w:t>
      </w:r>
      <w:r w:rsidR="00D90216" w:rsidRPr="00D948C1">
        <w:rPr>
          <w:sz w:val="24"/>
          <w:szCs w:val="24"/>
        </w:rPr>
        <w:tab/>
        <w:t>Employees Emoluments</w:t>
      </w:r>
      <w:bookmarkEnd w:id="26"/>
    </w:p>
    <w:p w14:paraId="1CFE882C" w14:textId="77777777" w:rsidR="00D90216" w:rsidRPr="00D948C1" w:rsidRDefault="00D90216" w:rsidP="00FA71D8">
      <w:pPr>
        <w:pStyle w:val="Footer"/>
        <w:tabs>
          <w:tab w:val="clear" w:pos="4153"/>
          <w:tab w:val="clear" w:pos="8306"/>
        </w:tabs>
        <w:rPr>
          <w:sz w:val="22"/>
          <w:szCs w:val="22"/>
        </w:rPr>
      </w:pPr>
    </w:p>
    <w:p w14:paraId="75F936B9" w14:textId="2E9DD7B2" w:rsidR="00D90216" w:rsidRPr="00D948C1" w:rsidRDefault="00D90216" w:rsidP="003C7C40">
      <w:pPr>
        <w:pStyle w:val="BodyTextIndent2"/>
        <w:spacing w:after="240"/>
        <w:ind w:firstLine="0"/>
      </w:pPr>
      <w:r>
        <w:t xml:space="preserve">Details of the Authority’s employees, out of an estimated </w:t>
      </w:r>
      <w:r w:rsidR="002E15F7">
        <w:t>1</w:t>
      </w:r>
      <w:r w:rsidR="00D45F10">
        <w:t>,</w:t>
      </w:r>
      <w:r w:rsidR="000C24D5">
        <w:t>1</w:t>
      </w:r>
      <w:r w:rsidR="002F1FE5">
        <w:t>56</w:t>
      </w:r>
      <w:r w:rsidR="002741A8">
        <w:t xml:space="preserve"> </w:t>
      </w:r>
      <w:r w:rsidR="00AA7D6F">
        <w:t>employees</w:t>
      </w:r>
      <w:r>
        <w:t>, who have received pay and benefits of more than £50</w:t>
      </w:r>
      <w:r w:rsidR="007C50C9">
        <w:t xml:space="preserve"> thousand</w:t>
      </w:r>
      <w:r>
        <w:t xml:space="preserve">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1888"/>
        <w:gridCol w:w="1888"/>
      </w:tblGrid>
      <w:tr w:rsidR="00C7098F" w:rsidRPr="00D948C1" w14:paraId="3721B587" w14:textId="77777777" w:rsidTr="000F5E3B">
        <w:trPr>
          <w:trHeight w:hRule="exact" w:val="578"/>
          <w:tblHeader/>
        </w:trPr>
        <w:tc>
          <w:tcPr>
            <w:tcW w:w="4768" w:type="dxa"/>
            <w:shd w:val="clear" w:color="auto" w:fill="BD2716"/>
          </w:tcPr>
          <w:p w14:paraId="194B9CD1" w14:textId="14BAAA30" w:rsidR="00C7098F" w:rsidRPr="00D948C1" w:rsidRDefault="00C7098F" w:rsidP="00C7098F">
            <w:pPr>
              <w:pStyle w:val="Footer"/>
              <w:tabs>
                <w:tab w:val="clear" w:pos="4153"/>
                <w:tab w:val="clear" w:pos="8306"/>
                <w:tab w:val="left" w:pos="720"/>
                <w:tab w:val="right" w:pos="7920"/>
              </w:tabs>
              <w:rPr>
                <w:color w:val="FFFFFF" w:themeColor="background1"/>
                <w:szCs w:val="24"/>
              </w:rPr>
            </w:pPr>
          </w:p>
        </w:tc>
        <w:tc>
          <w:tcPr>
            <w:tcW w:w="1888" w:type="dxa"/>
            <w:shd w:val="clear" w:color="auto" w:fill="BD2716"/>
            <w:vAlign w:val="center"/>
          </w:tcPr>
          <w:p w14:paraId="4BC1F8E0" w14:textId="18DE255B" w:rsidR="00C7098F" w:rsidRPr="00D948C1" w:rsidRDefault="001A42DD" w:rsidP="00C7098F">
            <w:pPr>
              <w:jc w:val="right"/>
              <w:rPr>
                <w:color w:val="FFFFFF" w:themeColor="background1"/>
                <w:szCs w:val="24"/>
              </w:rPr>
            </w:pPr>
            <w:r>
              <w:rPr>
                <w:color w:val="FFFFFF" w:themeColor="background1"/>
                <w:szCs w:val="24"/>
              </w:rPr>
              <w:t>2025-26</w:t>
            </w:r>
          </w:p>
          <w:p w14:paraId="04CBB18E" w14:textId="6D074A80" w:rsidR="00C7098F" w:rsidRPr="00D948C1" w:rsidRDefault="00C7098F" w:rsidP="00C7098F">
            <w:pPr>
              <w:jc w:val="right"/>
              <w:rPr>
                <w:color w:val="FFFFFF" w:themeColor="background1"/>
                <w:szCs w:val="24"/>
              </w:rPr>
            </w:pPr>
            <w:r w:rsidRPr="00D948C1">
              <w:rPr>
                <w:color w:val="FFFFFF" w:themeColor="background1"/>
                <w:szCs w:val="24"/>
              </w:rPr>
              <w:t>No.</w:t>
            </w:r>
          </w:p>
        </w:tc>
        <w:tc>
          <w:tcPr>
            <w:tcW w:w="1888" w:type="dxa"/>
            <w:shd w:val="clear" w:color="auto" w:fill="BD2716"/>
            <w:vAlign w:val="center"/>
          </w:tcPr>
          <w:p w14:paraId="6B79CE82" w14:textId="4D7DE6AB" w:rsidR="00326640" w:rsidRPr="00D948C1" w:rsidRDefault="001A42DD" w:rsidP="00326640">
            <w:pPr>
              <w:jc w:val="right"/>
              <w:rPr>
                <w:color w:val="FFFFFF" w:themeColor="background1"/>
                <w:szCs w:val="24"/>
              </w:rPr>
            </w:pPr>
            <w:r>
              <w:rPr>
                <w:color w:val="FFFFFF" w:themeColor="background1"/>
                <w:szCs w:val="24"/>
              </w:rPr>
              <w:t>2024-25</w:t>
            </w:r>
          </w:p>
          <w:p w14:paraId="0957C1D2" w14:textId="3AF451BB" w:rsidR="00C7098F" w:rsidRPr="00D948C1" w:rsidRDefault="00326640" w:rsidP="00326640">
            <w:pPr>
              <w:jc w:val="right"/>
              <w:rPr>
                <w:color w:val="FFFFFF" w:themeColor="background1"/>
                <w:szCs w:val="24"/>
              </w:rPr>
            </w:pPr>
            <w:r w:rsidRPr="00D948C1">
              <w:rPr>
                <w:color w:val="FFFFFF" w:themeColor="background1"/>
                <w:szCs w:val="24"/>
              </w:rPr>
              <w:t>No.</w:t>
            </w:r>
          </w:p>
        </w:tc>
      </w:tr>
      <w:tr w:rsidR="00DD0338" w:rsidRPr="00D948C1" w14:paraId="6C0C562B" w14:textId="77777777" w:rsidTr="000F5E3B">
        <w:trPr>
          <w:trHeight w:hRule="exact" w:val="300"/>
        </w:trPr>
        <w:tc>
          <w:tcPr>
            <w:tcW w:w="4768" w:type="dxa"/>
          </w:tcPr>
          <w:p w14:paraId="100FD256" w14:textId="4D655CC8" w:rsidR="00DD0338" w:rsidRPr="00D948C1" w:rsidRDefault="00DD0338" w:rsidP="00DD0338">
            <w:pPr>
              <w:pStyle w:val="Footer"/>
              <w:tabs>
                <w:tab w:val="clear" w:pos="4153"/>
                <w:tab w:val="clear" w:pos="8306"/>
                <w:tab w:val="left" w:pos="720"/>
                <w:tab w:val="left" w:pos="1422"/>
                <w:tab w:val="right" w:pos="7920"/>
              </w:tabs>
              <w:rPr>
                <w:szCs w:val="24"/>
              </w:rPr>
            </w:pPr>
            <w:r w:rsidRPr="00E828E8">
              <w:rPr>
                <w:szCs w:val="24"/>
              </w:rPr>
              <w:t>£</w:t>
            </w:r>
            <w:r>
              <w:rPr>
                <w:szCs w:val="24"/>
              </w:rPr>
              <w:t>85</w:t>
            </w:r>
            <w:r w:rsidRPr="00E828E8">
              <w:rPr>
                <w:szCs w:val="24"/>
              </w:rPr>
              <w:t xml:space="preserve"> thousand to £</w:t>
            </w:r>
            <w:r>
              <w:rPr>
                <w:szCs w:val="24"/>
              </w:rPr>
              <w:t>90</w:t>
            </w:r>
            <w:r w:rsidRPr="00E828E8">
              <w:rPr>
                <w:szCs w:val="24"/>
              </w:rPr>
              <w:t xml:space="preserve"> thousand</w:t>
            </w:r>
          </w:p>
        </w:tc>
        <w:tc>
          <w:tcPr>
            <w:tcW w:w="1888" w:type="dxa"/>
            <w:vAlign w:val="center"/>
          </w:tcPr>
          <w:p w14:paraId="4A04E464" w14:textId="438433A5" w:rsidR="00DD0338" w:rsidRPr="00BF4349" w:rsidRDefault="00DD0338" w:rsidP="00DD0338">
            <w:pPr>
              <w:pStyle w:val="Footer"/>
              <w:tabs>
                <w:tab w:val="clear" w:pos="4153"/>
                <w:tab w:val="clear" w:pos="8306"/>
                <w:tab w:val="decimal" w:pos="810"/>
              </w:tabs>
              <w:jc w:val="right"/>
              <w:rPr>
                <w:szCs w:val="24"/>
              </w:rPr>
            </w:pPr>
            <w:r>
              <w:rPr>
                <w:szCs w:val="24"/>
              </w:rPr>
              <w:t>3</w:t>
            </w:r>
          </w:p>
        </w:tc>
        <w:tc>
          <w:tcPr>
            <w:tcW w:w="1888" w:type="dxa"/>
            <w:vAlign w:val="center"/>
          </w:tcPr>
          <w:p w14:paraId="38BAA9AE" w14:textId="3E84BAF7" w:rsidR="00DD0338" w:rsidRPr="00D948C1" w:rsidRDefault="00DD0338" w:rsidP="00DD0338">
            <w:pPr>
              <w:pStyle w:val="Footer"/>
              <w:tabs>
                <w:tab w:val="clear" w:pos="4153"/>
                <w:tab w:val="clear" w:pos="8306"/>
                <w:tab w:val="decimal" w:pos="810"/>
              </w:tabs>
              <w:jc w:val="right"/>
              <w:rPr>
                <w:szCs w:val="24"/>
              </w:rPr>
            </w:pPr>
            <w:r w:rsidRPr="00BF4349">
              <w:rPr>
                <w:szCs w:val="24"/>
              </w:rPr>
              <w:t>3</w:t>
            </w:r>
          </w:p>
        </w:tc>
      </w:tr>
      <w:tr w:rsidR="00DD0338" w:rsidRPr="00D948C1" w14:paraId="13F8D73C" w14:textId="77777777" w:rsidTr="000F5E3B">
        <w:trPr>
          <w:trHeight w:hRule="exact" w:val="300"/>
        </w:trPr>
        <w:tc>
          <w:tcPr>
            <w:tcW w:w="4768" w:type="dxa"/>
          </w:tcPr>
          <w:p w14:paraId="21C5A724" w14:textId="75CAEABD" w:rsidR="00DD0338" w:rsidRPr="00D948C1" w:rsidRDefault="00DD0338" w:rsidP="00DD0338">
            <w:pPr>
              <w:pStyle w:val="Footer"/>
              <w:tabs>
                <w:tab w:val="clear" w:pos="4153"/>
                <w:tab w:val="clear" w:pos="8306"/>
                <w:tab w:val="left" w:pos="720"/>
                <w:tab w:val="left" w:pos="1422"/>
                <w:tab w:val="right" w:pos="7920"/>
              </w:tabs>
              <w:rPr>
                <w:szCs w:val="24"/>
              </w:rPr>
            </w:pPr>
            <w:r w:rsidRPr="00D948C1">
              <w:rPr>
                <w:szCs w:val="24"/>
              </w:rPr>
              <w:t>£</w:t>
            </w:r>
            <w:r>
              <w:rPr>
                <w:szCs w:val="24"/>
              </w:rPr>
              <w:t>8</w:t>
            </w:r>
            <w:r w:rsidRPr="00D948C1">
              <w:rPr>
                <w:szCs w:val="24"/>
              </w:rPr>
              <w:t>0</w:t>
            </w:r>
            <w:r>
              <w:rPr>
                <w:szCs w:val="24"/>
              </w:rPr>
              <w:t xml:space="preserve"> thousand</w:t>
            </w:r>
            <w:r w:rsidRPr="00D948C1">
              <w:rPr>
                <w:szCs w:val="24"/>
              </w:rPr>
              <w:t xml:space="preserve"> </w:t>
            </w:r>
            <w:r>
              <w:rPr>
                <w:szCs w:val="24"/>
              </w:rPr>
              <w:t>to</w:t>
            </w:r>
            <w:r w:rsidRPr="00D948C1">
              <w:rPr>
                <w:szCs w:val="24"/>
              </w:rPr>
              <w:t xml:space="preserve"> £</w:t>
            </w:r>
            <w:r>
              <w:rPr>
                <w:szCs w:val="24"/>
              </w:rPr>
              <w:t>85 thousand</w:t>
            </w:r>
          </w:p>
        </w:tc>
        <w:tc>
          <w:tcPr>
            <w:tcW w:w="1888" w:type="dxa"/>
            <w:vAlign w:val="center"/>
          </w:tcPr>
          <w:p w14:paraId="36A9CBDF" w14:textId="41BE0E31" w:rsidR="00DD0338" w:rsidRPr="00BF4349" w:rsidRDefault="00DD0338" w:rsidP="00DD0338">
            <w:pPr>
              <w:pStyle w:val="Footer"/>
              <w:tabs>
                <w:tab w:val="clear" w:pos="4153"/>
                <w:tab w:val="clear" w:pos="8306"/>
                <w:tab w:val="decimal" w:pos="810"/>
              </w:tabs>
              <w:jc w:val="right"/>
              <w:rPr>
                <w:szCs w:val="24"/>
              </w:rPr>
            </w:pPr>
            <w:r>
              <w:rPr>
                <w:szCs w:val="24"/>
              </w:rPr>
              <w:t>1</w:t>
            </w:r>
          </w:p>
        </w:tc>
        <w:tc>
          <w:tcPr>
            <w:tcW w:w="1888" w:type="dxa"/>
            <w:vAlign w:val="center"/>
          </w:tcPr>
          <w:p w14:paraId="2AFF01E7" w14:textId="3C6AE7A7" w:rsidR="00DD0338" w:rsidRPr="00D948C1" w:rsidRDefault="00DD0338" w:rsidP="00DD0338">
            <w:pPr>
              <w:pStyle w:val="Footer"/>
              <w:tabs>
                <w:tab w:val="clear" w:pos="4153"/>
                <w:tab w:val="clear" w:pos="8306"/>
                <w:tab w:val="decimal" w:pos="810"/>
              </w:tabs>
              <w:jc w:val="right"/>
              <w:rPr>
                <w:szCs w:val="24"/>
              </w:rPr>
            </w:pPr>
            <w:r w:rsidRPr="00BF4349">
              <w:rPr>
                <w:szCs w:val="24"/>
              </w:rPr>
              <w:t>2</w:t>
            </w:r>
          </w:p>
        </w:tc>
      </w:tr>
      <w:tr w:rsidR="00DD0338" w:rsidRPr="00D948C1" w14:paraId="58878B9D" w14:textId="77777777" w:rsidTr="000F5E3B">
        <w:trPr>
          <w:trHeight w:hRule="exact" w:val="300"/>
        </w:trPr>
        <w:tc>
          <w:tcPr>
            <w:tcW w:w="4768" w:type="dxa"/>
          </w:tcPr>
          <w:p w14:paraId="233DCB05" w14:textId="418C1D1B" w:rsidR="00DD0338" w:rsidRPr="00D948C1" w:rsidRDefault="00DD0338" w:rsidP="00DD0338">
            <w:pPr>
              <w:pStyle w:val="Footer"/>
              <w:tabs>
                <w:tab w:val="clear" w:pos="4153"/>
                <w:tab w:val="clear" w:pos="8306"/>
                <w:tab w:val="left" w:pos="720"/>
                <w:tab w:val="left" w:pos="1422"/>
                <w:tab w:val="right" w:pos="7920"/>
              </w:tabs>
              <w:rPr>
                <w:szCs w:val="24"/>
              </w:rPr>
            </w:pPr>
            <w:r w:rsidRPr="00E828E8">
              <w:rPr>
                <w:szCs w:val="24"/>
              </w:rPr>
              <w:t>£</w:t>
            </w:r>
            <w:r>
              <w:rPr>
                <w:szCs w:val="24"/>
              </w:rPr>
              <w:t>75</w:t>
            </w:r>
            <w:r w:rsidRPr="00E828E8">
              <w:rPr>
                <w:szCs w:val="24"/>
              </w:rPr>
              <w:t xml:space="preserve"> thousand to £</w:t>
            </w:r>
            <w:r>
              <w:rPr>
                <w:szCs w:val="24"/>
              </w:rPr>
              <w:t>80</w:t>
            </w:r>
            <w:r w:rsidRPr="00E828E8">
              <w:rPr>
                <w:szCs w:val="24"/>
              </w:rPr>
              <w:t xml:space="preserve"> thousand</w:t>
            </w:r>
          </w:p>
        </w:tc>
        <w:tc>
          <w:tcPr>
            <w:tcW w:w="1888" w:type="dxa"/>
            <w:vAlign w:val="center"/>
          </w:tcPr>
          <w:p w14:paraId="14A24387" w14:textId="52DFBE46" w:rsidR="00DD0338" w:rsidRPr="00BF4349" w:rsidRDefault="00DD0338" w:rsidP="00DD0338">
            <w:pPr>
              <w:pStyle w:val="Footer"/>
              <w:tabs>
                <w:tab w:val="clear" w:pos="4153"/>
                <w:tab w:val="clear" w:pos="8306"/>
                <w:tab w:val="decimal" w:pos="810"/>
              </w:tabs>
              <w:jc w:val="right"/>
              <w:rPr>
                <w:szCs w:val="24"/>
              </w:rPr>
            </w:pPr>
            <w:r>
              <w:rPr>
                <w:szCs w:val="24"/>
              </w:rPr>
              <w:t>14</w:t>
            </w:r>
          </w:p>
        </w:tc>
        <w:tc>
          <w:tcPr>
            <w:tcW w:w="1888" w:type="dxa"/>
            <w:vAlign w:val="center"/>
          </w:tcPr>
          <w:p w14:paraId="2A0C1592" w14:textId="4A4FC669" w:rsidR="00DD0338" w:rsidRPr="00D948C1" w:rsidRDefault="00DD0338" w:rsidP="00DD0338">
            <w:pPr>
              <w:pStyle w:val="Footer"/>
              <w:tabs>
                <w:tab w:val="clear" w:pos="4153"/>
                <w:tab w:val="clear" w:pos="8306"/>
                <w:tab w:val="decimal" w:pos="810"/>
              </w:tabs>
              <w:jc w:val="right"/>
              <w:rPr>
                <w:szCs w:val="24"/>
              </w:rPr>
            </w:pPr>
            <w:r w:rsidRPr="00BF4349">
              <w:rPr>
                <w:szCs w:val="24"/>
              </w:rPr>
              <w:t>8</w:t>
            </w:r>
          </w:p>
        </w:tc>
      </w:tr>
      <w:tr w:rsidR="00DD0338" w:rsidRPr="00D948C1" w14:paraId="72228518" w14:textId="77777777" w:rsidTr="000F5E3B">
        <w:trPr>
          <w:trHeight w:hRule="exact" w:val="300"/>
        </w:trPr>
        <w:tc>
          <w:tcPr>
            <w:tcW w:w="4768" w:type="dxa"/>
          </w:tcPr>
          <w:p w14:paraId="6303DDB3" w14:textId="6092F0B5" w:rsidR="00DD0338" w:rsidRPr="00D948C1" w:rsidRDefault="00DD0338" w:rsidP="00DD0338">
            <w:pPr>
              <w:pStyle w:val="Footer"/>
              <w:tabs>
                <w:tab w:val="clear" w:pos="4153"/>
                <w:tab w:val="clear" w:pos="8306"/>
                <w:tab w:val="left" w:pos="720"/>
                <w:tab w:val="left" w:pos="1422"/>
                <w:tab w:val="right" w:pos="7920"/>
              </w:tabs>
              <w:rPr>
                <w:szCs w:val="24"/>
              </w:rPr>
            </w:pPr>
            <w:r w:rsidRPr="00E828E8">
              <w:rPr>
                <w:szCs w:val="24"/>
              </w:rPr>
              <w:t>£</w:t>
            </w:r>
            <w:r>
              <w:rPr>
                <w:szCs w:val="24"/>
              </w:rPr>
              <w:t>7</w:t>
            </w:r>
            <w:r w:rsidRPr="00E828E8">
              <w:rPr>
                <w:szCs w:val="24"/>
              </w:rPr>
              <w:t>0 thousand to £</w:t>
            </w:r>
            <w:r>
              <w:rPr>
                <w:szCs w:val="24"/>
              </w:rPr>
              <w:t>7</w:t>
            </w:r>
            <w:r w:rsidRPr="00E828E8">
              <w:rPr>
                <w:szCs w:val="24"/>
              </w:rPr>
              <w:t>5 thousand</w:t>
            </w:r>
          </w:p>
        </w:tc>
        <w:tc>
          <w:tcPr>
            <w:tcW w:w="1888" w:type="dxa"/>
            <w:vAlign w:val="center"/>
          </w:tcPr>
          <w:p w14:paraId="265D09CD" w14:textId="6CC14DFC" w:rsidR="00DD0338" w:rsidRPr="00BF4349" w:rsidRDefault="00DD0338" w:rsidP="00DD0338">
            <w:pPr>
              <w:pStyle w:val="Footer"/>
              <w:tabs>
                <w:tab w:val="clear" w:pos="4153"/>
                <w:tab w:val="clear" w:pos="8306"/>
                <w:tab w:val="decimal" w:pos="810"/>
              </w:tabs>
              <w:jc w:val="right"/>
              <w:rPr>
                <w:szCs w:val="24"/>
              </w:rPr>
            </w:pPr>
            <w:r>
              <w:rPr>
                <w:szCs w:val="24"/>
              </w:rPr>
              <w:t>10</w:t>
            </w:r>
          </w:p>
        </w:tc>
        <w:tc>
          <w:tcPr>
            <w:tcW w:w="1888" w:type="dxa"/>
            <w:vAlign w:val="center"/>
          </w:tcPr>
          <w:p w14:paraId="36744EC9" w14:textId="2A946B72" w:rsidR="00DD0338" w:rsidRPr="00D948C1" w:rsidRDefault="00DD0338" w:rsidP="00DD0338">
            <w:pPr>
              <w:pStyle w:val="Footer"/>
              <w:tabs>
                <w:tab w:val="clear" w:pos="4153"/>
                <w:tab w:val="clear" w:pos="8306"/>
                <w:tab w:val="decimal" w:pos="810"/>
              </w:tabs>
              <w:jc w:val="right"/>
              <w:rPr>
                <w:szCs w:val="24"/>
              </w:rPr>
            </w:pPr>
            <w:r w:rsidRPr="00BF4349">
              <w:rPr>
                <w:szCs w:val="24"/>
              </w:rPr>
              <w:t>13</w:t>
            </w:r>
          </w:p>
        </w:tc>
      </w:tr>
      <w:tr w:rsidR="00DD0338" w:rsidRPr="00D948C1" w14:paraId="571DE7CB" w14:textId="77777777" w:rsidTr="000F5E3B">
        <w:trPr>
          <w:trHeight w:hRule="exact" w:val="300"/>
        </w:trPr>
        <w:tc>
          <w:tcPr>
            <w:tcW w:w="4768" w:type="dxa"/>
          </w:tcPr>
          <w:p w14:paraId="3158CEE0" w14:textId="7F878F45" w:rsidR="00DD0338" w:rsidRPr="00D948C1" w:rsidRDefault="00DD0338" w:rsidP="00DD0338">
            <w:pPr>
              <w:pStyle w:val="Footer"/>
              <w:tabs>
                <w:tab w:val="clear" w:pos="4153"/>
                <w:tab w:val="clear" w:pos="8306"/>
                <w:tab w:val="left" w:pos="720"/>
                <w:tab w:val="left" w:pos="1422"/>
                <w:tab w:val="right" w:pos="7920"/>
              </w:tabs>
              <w:rPr>
                <w:szCs w:val="24"/>
              </w:rPr>
            </w:pPr>
            <w:r w:rsidRPr="00E828E8">
              <w:rPr>
                <w:szCs w:val="24"/>
              </w:rPr>
              <w:t>£6</w:t>
            </w:r>
            <w:r>
              <w:rPr>
                <w:szCs w:val="24"/>
              </w:rPr>
              <w:t>5</w:t>
            </w:r>
            <w:r w:rsidRPr="00E828E8">
              <w:rPr>
                <w:szCs w:val="24"/>
              </w:rPr>
              <w:t xml:space="preserve"> thousand to £</w:t>
            </w:r>
            <w:r>
              <w:rPr>
                <w:szCs w:val="24"/>
              </w:rPr>
              <w:t>70</w:t>
            </w:r>
            <w:r w:rsidRPr="00E828E8">
              <w:rPr>
                <w:szCs w:val="24"/>
              </w:rPr>
              <w:t xml:space="preserve"> thousand</w:t>
            </w:r>
          </w:p>
        </w:tc>
        <w:tc>
          <w:tcPr>
            <w:tcW w:w="1888" w:type="dxa"/>
            <w:vAlign w:val="center"/>
          </w:tcPr>
          <w:p w14:paraId="3705233E" w14:textId="1172EBC7" w:rsidR="00DD0338" w:rsidRPr="00BF4349" w:rsidRDefault="00DD0338" w:rsidP="00DD0338">
            <w:pPr>
              <w:pStyle w:val="Footer"/>
              <w:tabs>
                <w:tab w:val="clear" w:pos="4153"/>
                <w:tab w:val="clear" w:pos="8306"/>
                <w:tab w:val="decimal" w:pos="810"/>
              </w:tabs>
              <w:jc w:val="right"/>
              <w:rPr>
                <w:szCs w:val="24"/>
              </w:rPr>
            </w:pPr>
            <w:r>
              <w:rPr>
                <w:szCs w:val="24"/>
              </w:rPr>
              <w:t>32</w:t>
            </w:r>
          </w:p>
        </w:tc>
        <w:tc>
          <w:tcPr>
            <w:tcW w:w="1888" w:type="dxa"/>
            <w:vAlign w:val="center"/>
          </w:tcPr>
          <w:p w14:paraId="290B9BEB" w14:textId="393190BD" w:rsidR="00DD0338" w:rsidRPr="00D948C1" w:rsidRDefault="00DD0338" w:rsidP="00DD0338">
            <w:pPr>
              <w:pStyle w:val="Footer"/>
              <w:tabs>
                <w:tab w:val="clear" w:pos="4153"/>
                <w:tab w:val="clear" w:pos="8306"/>
                <w:tab w:val="decimal" w:pos="810"/>
              </w:tabs>
              <w:jc w:val="right"/>
              <w:rPr>
                <w:szCs w:val="24"/>
              </w:rPr>
            </w:pPr>
            <w:r w:rsidRPr="00BF4349">
              <w:rPr>
                <w:szCs w:val="24"/>
              </w:rPr>
              <w:t>23</w:t>
            </w:r>
          </w:p>
        </w:tc>
      </w:tr>
      <w:tr w:rsidR="00326640" w:rsidRPr="00D948C1" w14:paraId="3579D8D6" w14:textId="77777777" w:rsidTr="000F5E3B">
        <w:trPr>
          <w:trHeight w:hRule="exact" w:val="300"/>
        </w:trPr>
        <w:tc>
          <w:tcPr>
            <w:tcW w:w="4768" w:type="dxa"/>
          </w:tcPr>
          <w:p w14:paraId="31522892" w14:textId="08033EA0" w:rsidR="00326640" w:rsidRPr="00D948C1" w:rsidRDefault="00326640" w:rsidP="00326640">
            <w:pPr>
              <w:pStyle w:val="Footer"/>
              <w:tabs>
                <w:tab w:val="clear" w:pos="4153"/>
                <w:tab w:val="clear" w:pos="8306"/>
                <w:tab w:val="left" w:pos="720"/>
                <w:tab w:val="left" w:pos="1422"/>
                <w:tab w:val="right" w:pos="7920"/>
              </w:tabs>
              <w:rPr>
                <w:szCs w:val="24"/>
              </w:rPr>
            </w:pPr>
            <w:r w:rsidRPr="00D948C1">
              <w:rPr>
                <w:szCs w:val="24"/>
              </w:rPr>
              <w:t>£60</w:t>
            </w:r>
            <w:r w:rsidR="00FD3445">
              <w:rPr>
                <w:szCs w:val="24"/>
              </w:rPr>
              <w:t xml:space="preserve"> thousand</w:t>
            </w:r>
            <w:r w:rsidRPr="00D948C1">
              <w:rPr>
                <w:szCs w:val="24"/>
              </w:rPr>
              <w:t xml:space="preserve"> </w:t>
            </w:r>
            <w:r w:rsidR="00FD3445">
              <w:rPr>
                <w:szCs w:val="24"/>
              </w:rPr>
              <w:t>to</w:t>
            </w:r>
            <w:r w:rsidRPr="00D948C1">
              <w:rPr>
                <w:szCs w:val="24"/>
              </w:rPr>
              <w:t xml:space="preserve"> £6</w:t>
            </w:r>
            <w:r w:rsidR="00FD3445">
              <w:rPr>
                <w:szCs w:val="24"/>
              </w:rPr>
              <w:t>5 thousand</w:t>
            </w:r>
          </w:p>
        </w:tc>
        <w:tc>
          <w:tcPr>
            <w:tcW w:w="1888" w:type="dxa"/>
            <w:vAlign w:val="center"/>
          </w:tcPr>
          <w:p w14:paraId="37EB2A01" w14:textId="29564844" w:rsidR="00326640" w:rsidRPr="00BF4349" w:rsidRDefault="0020610B" w:rsidP="00326640">
            <w:pPr>
              <w:pStyle w:val="Footer"/>
              <w:tabs>
                <w:tab w:val="clear" w:pos="4153"/>
                <w:tab w:val="clear" w:pos="8306"/>
                <w:tab w:val="decimal" w:pos="810"/>
              </w:tabs>
              <w:jc w:val="right"/>
              <w:rPr>
                <w:szCs w:val="24"/>
              </w:rPr>
            </w:pPr>
            <w:r>
              <w:rPr>
                <w:szCs w:val="24"/>
              </w:rPr>
              <w:t>32</w:t>
            </w:r>
          </w:p>
        </w:tc>
        <w:tc>
          <w:tcPr>
            <w:tcW w:w="1888" w:type="dxa"/>
            <w:vAlign w:val="center"/>
          </w:tcPr>
          <w:p w14:paraId="0BD1097F" w14:textId="054FC6BE" w:rsidR="00326640" w:rsidRPr="00D948C1" w:rsidRDefault="00326640" w:rsidP="00326640">
            <w:pPr>
              <w:pStyle w:val="Footer"/>
              <w:tabs>
                <w:tab w:val="clear" w:pos="4153"/>
                <w:tab w:val="clear" w:pos="8306"/>
                <w:tab w:val="decimal" w:pos="810"/>
              </w:tabs>
              <w:jc w:val="right"/>
              <w:rPr>
                <w:szCs w:val="24"/>
              </w:rPr>
            </w:pPr>
            <w:r w:rsidRPr="00BF4349">
              <w:rPr>
                <w:szCs w:val="24"/>
              </w:rPr>
              <w:t>40</w:t>
            </w:r>
          </w:p>
        </w:tc>
      </w:tr>
      <w:tr w:rsidR="00326640" w:rsidRPr="00D948C1" w14:paraId="341F2CF1" w14:textId="77777777" w:rsidTr="000F5E3B">
        <w:trPr>
          <w:trHeight w:hRule="exact" w:val="300"/>
        </w:trPr>
        <w:tc>
          <w:tcPr>
            <w:tcW w:w="4768" w:type="dxa"/>
          </w:tcPr>
          <w:p w14:paraId="1E804EAE" w14:textId="3A1BA0A8" w:rsidR="00326640" w:rsidRPr="00D948C1" w:rsidRDefault="00326640" w:rsidP="00326640">
            <w:pPr>
              <w:tabs>
                <w:tab w:val="left" w:pos="720"/>
                <w:tab w:val="left" w:pos="1422"/>
                <w:tab w:val="right" w:pos="7920"/>
              </w:tabs>
              <w:rPr>
                <w:szCs w:val="24"/>
              </w:rPr>
            </w:pPr>
            <w:r w:rsidRPr="00D948C1">
              <w:rPr>
                <w:szCs w:val="24"/>
              </w:rPr>
              <w:t>£55</w:t>
            </w:r>
            <w:r w:rsidR="00FD3445">
              <w:rPr>
                <w:szCs w:val="24"/>
              </w:rPr>
              <w:t xml:space="preserve"> thousand</w:t>
            </w:r>
            <w:r w:rsidRPr="00D948C1">
              <w:rPr>
                <w:szCs w:val="24"/>
              </w:rPr>
              <w:t xml:space="preserve"> </w:t>
            </w:r>
            <w:r w:rsidR="00FD3445">
              <w:rPr>
                <w:szCs w:val="24"/>
              </w:rPr>
              <w:t>to</w:t>
            </w:r>
            <w:r w:rsidRPr="00D948C1">
              <w:rPr>
                <w:szCs w:val="24"/>
              </w:rPr>
              <w:t xml:space="preserve"> £</w:t>
            </w:r>
            <w:r w:rsidR="00FD3445">
              <w:rPr>
                <w:szCs w:val="24"/>
              </w:rPr>
              <w:t>60 thousand</w:t>
            </w:r>
          </w:p>
        </w:tc>
        <w:tc>
          <w:tcPr>
            <w:tcW w:w="1888" w:type="dxa"/>
            <w:vAlign w:val="center"/>
          </w:tcPr>
          <w:p w14:paraId="3B5720E2" w14:textId="3B1CDB9D" w:rsidR="00326640" w:rsidRPr="00BF4349" w:rsidRDefault="0020610B" w:rsidP="00326640">
            <w:pPr>
              <w:tabs>
                <w:tab w:val="decimal" w:pos="810"/>
              </w:tabs>
              <w:jc w:val="right"/>
              <w:rPr>
                <w:szCs w:val="24"/>
              </w:rPr>
            </w:pPr>
            <w:r>
              <w:rPr>
                <w:szCs w:val="24"/>
              </w:rPr>
              <w:t>80</w:t>
            </w:r>
          </w:p>
        </w:tc>
        <w:tc>
          <w:tcPr>
            <w:tcW w:w="1888" w:type="dxa"/>
            <w:vAlign w:val="center"/>
          </w:tcPr>
          <w:p w14:paraId="7BAE4A2A" w14:textId="632AD29D" w:rsidR="00326640" w:rsidRPr="00D948C1" w:rsidRDefault="00326640" w:rsidP="00326640">
            <w:pPr>
              <w:tabs>
                <w:tab w:val="decimal" w:pos="810"/>
              </w:tabs>
              <w:jc w:val="right"/>
              <w:rPr>
                <w:szCs w:val="24"/>
              </w:rPr>
            </w:pPr>
            <w:r w:rsidRPr="00BF4349">
              <w:rPr>
                <w:szCs w:val="24"/>
              </w:rPr>
              <w:t>54</w:t>
            </w:r>
          </w:p>
        </w:tc>
      </w:tr>
      <w:tr w:rsidR="00326640" w:rsidRPr="00D948C1" w14:paraId="529DDE15" w14:textId="77777777" w:rsidTr="000F5E3B">
        <w:trPr>
          <w:trHeight w:hRule="exact" w:val="300"/>
        </w:trPr>
        <w:tc>
          <w:tcPr>
            <w:tcW w:w="4768" w:type="dxa"/>
          </w:tcPr>
          <w:p w14:paraId="2B0BD665" w14:textId="5DE4AEA1" w:rsidR="00326640" w:rsidRPr="00D948C1" w:rsidRDefault="00326640" w:rsidP="00326640">
            <w:pPr>
              <w:tabs>
                <w:tab w:val="left" w:pos="720"/>
                <w:tab w:val="left" w:pos="1422"/>
                <w:tab w:val="right" w:pos="7920"/>
              </w:tabs>
              <w:rPr>
                <w:szCs w:val="24"/>
              </w:rPr>
            </w:pPr>
            <w:r w:rsidRPr="00D948C1">
              <w:rPr>
                <w:szCs w:val="24"/>
              </w:rPr>
              <w:t>£50</w:t>
            </w:r>
            <w:r w:rsidR="00FD3445">
              <w:rPr>
                <w:szCs w:val="24"/>
              </w:rPr>
              <w:t xml:space="preserve"> thousand</w:t>
            </w:r>
            <w:r w:rsidRPr="00D948C1">
              <w:rPr>
                <w:szCs w:val="24"/>
              </w:rPr>
              <w:t xml:space="preserve"> </w:t>
            </w:r>
            <w:r w:rsidR="00FD3445">
              <w:rPr>
                <w:szCs w:val="24"/>
              </w:rPr>
              <w:t>to</w:t>
            </w:r>
            <w:r w:rsidRPr="00D948C1">
              <w:rPr>
                <w:szCs w:val="24"/>
              </w:rPr>
              <w:t xml:space="preserve"> £5</w:t>
            </w:r>
            <w:r w:rsidR="00FD3445">
              <w:rPr>
                <w:szCs w:val="24"/>
              </w:rPr>
              <w:t>5 thousand</w:t>
            </w:r>
          </w:p>
        </w:tc>
        <w:tc>
          <w:tcPr>
            <w:tcW w:w="1888" w:type="dxa"/>
            <w:vAlign w:val="center"/>
          </w:tcPr>
          <w:p w14:paraId="002CA70E" w14:textId="2E7E6900" w:rsidR="00326640" w:rsidRPr="00BF4349" w:rsidRDefault="0020610B" w:rsidP="00326640">
            <w:pPr>
              <w:tabs>
                <w:tab w:val="decimal" w:pos="810"/>
              </w:tabs>
              <w:jc w:val="right"/>
              <w:rPr>
                <w:szCs w:val="24"/>
              </w:rPr>
            </w:pPr>
            <w:r>
              <w:rPr>
                <w:szCs w:val="24"/>
              </w:rPr>
              <w:t>135</w:t>
            </w:r>
          </w:p>
        </w:tc>
        <w:tc>
          <w:tcPr>
            <w:tcW w:w="1888" w:type="dxa"/>
            <w:vAlign w:val="center"/>
          </w:tcPr>
          <w:p w14:paraId="49D17B3D" w14:textId="09C63194" w:rsidR="00326640" w:rsidRPr="00D948C1" w:rsidRDefault="00326640" w:rsidP="00326640">
            <w:pPr>
              <w:tabs>
                <w:tab w:val="decimal" w:pos="810"/>
              </w:tabs>
              <w:jc w:val="right"/>
              <w:rPr>
                <w:szCs w:val="24"/>
              </w:rPr>
            </w:pPr>
            <w:r w:rsidRPr="00BF4349">
              <w:rPr>
                <w:szCs w:val="24"/>
              </w:rPr>
              <w:t>99</w:t>
            </w:r>
          </w:p>
        </w:tc>
      </w:tr>
      <w:tr w:rsidR="00326640" w:rsidRPr="00D948C1" w14:paraId="4890BE4D" w14:textId="77777777" w:rsidTr="000F5E3B">
        <w:trPr>
          <w:trHeight w:hRule="exact" w:val="300"/>
        </w:trPr>
        <w:tc>
          <w:tcPr>
            <w:tcW w:w="4768" w:type="dxa"/>
          </w:tcPr>
          <w:p w14:paraId="0D5DB9ED" w14:textId="1E50A1B8" w:rsidR="00326640" w:rsidRPr="00D948C1" w:rsidRDefault="00326640" w:rsidP="00326640">
            <w:pPr>
              <w:tabs>
                <w:tab w:val="left" w:pos="720"/>
                <w:tab w:val="left" w:pos="1422"/>
                <w:tab w:val="right" w:pos="7920"/>
              </w:tabs>
              <w:rPr>
                <w:szCs w:val="24"/>
              </w:rPr>
            </w:pPr>
            <w:r w:rsidRPr="00D948C1">
              <w:rPr>
                <w:szCs w:val="24"/>
              </w:rPr>
              <w:t>Total</w:t>
            </w:r>
          </w:p>
        </w:tc>
        <w:tc>
          <w:tcPr>
            <w:tcW w:w="1888" w:type="dxa"/>
            <w:vAlign w:val="center"/>
          </w:tcPr>
          <w:p w14:paraId="5FB27AF5" w14:textId="21D08DB7" w:rsidR="00326640" w:rsidRPr="00BF4349" w:rsidRDefault="00B36CB6" w:rsidP="00326640">
            <w:pPr>
              <w:tabs>
                <w:tab w:val="decimal" w:pos="810"/>
              </w:tabs>
              <w:jc w:val="right"/>
              <w:rPr>
                <w:szCs w:val="24"/>
              </w:rPr>
            </w:pPr>
            <w:r>
              <w:rPr>
                <w:szCs w:val="24"/>
              </w:rPr>
              <w:t>307</w:t>
            </w:r>
          </w:p>
        </w:tc>
        <w:tc>
          <w:tcPr>
            <w:tcW w:w="1888" w:type="dxa"/>
            <w:vAlign w:val="center"/>
          </w:tcPr>
          <w:p w14:paraId="18994414" w14:textId="334A42AD" w:rsidR="00326640" w:rsidRPr="00D948C1" w:rsidRDefault="00326640" w:rsidP="00326640">
            <w:pPr>
              <w:tabs>
                <w:tab w:val="decimal" w:pos="810"/>
              </w:tabs>
              <w:jc w:val="right"/>
              <w:rPr>
                <w:szCs w:val="24"/>
              </w:rPr>
            </w:pPr>
            <w:r w:rsidRPr="00BF4349">
              <w:rPr>
                <w:szCs w:val="24"/>
              </w:rPr>
              <w:t>242</w:t>
            </w:r>
          </w:p>
        </w:tc>
      </w:tr>
    </w:tbl>
    <w:p w14:paraId="73E15966" w14:textId="77777777" w:rsidR="006E188F" w:rsidRPr="00D948C1" w:rsidRDefault="006E188F" w:rsidP="006E188F">
      <w:pPr>
        <w:pStyle w:val="BodyTextIndent2"/>
        <w:ind w:firstLine="0"/>
        <w:jc w:val="both"/>
        <w:rPr>
          <w:sz w:val="22"/>
        </w:rPr>
      </w:pPr>
    </w:p>
    <w:p w14:paraId="4CB5EA25" w14:textId="545A25A2" w:rsidR="00A00B2E" w:rsidRPr="00D948C1" w:rsidRDefault="006E188F" w:rsidP="00BE3C0F">
      <w:pPr>
        <w:pStyle w:val="BodyTextIndent2"/>
        <w:ind w:firstLine="0"/>
        <w:rPr>
          <w:szCs w:val="24"/>
        </w:rPr>
      </w:pPr>
      <w:r>
        <w:t xml:space="preserve">The above table excludes Senior Officers, who are disclosed individually </w:t>
      </w:r>
      <w:r w:rsidR="00E91302">
        <w:t>in</w:t>
      </w:r>
      <w:r w:rsidR="00140881">
        <w:t xml:space="preserve"> the following </w:t>
      </w:r>
      <w:r w:rsidR="00E91302">
        <w:t>tables</w:t>
      </w:r>
      <w:r>
        <w:t>.</w:t>
      </w:r>
    </w:p>
    <w:p w14:paraId="5F6A6EBA" w14:textId="77777777" w:rsidR="00BE3C0F" w:rsidRPr="00D948C1" w:rsidRDefault="00BE3C0F" w:rsidP="00BE3C0F">
      <w:pPr>
        <w:pStyle w:val="BodyTextIndent2"/>
        <w:ind w:firstLine="0"/>
        <w:rPr>
          <w:szCs w:val="24"/>
        </w:rPr>
      </w:pPr>
    </w:p>
    <w:p w14:paraId="251C2AAC" w14:textId="77777777" w:rsidR="00BE3C0F" w:rsidRPr="00D948C1" w:rsidRDefault="00BE3C0F" w:rsidP="00BE3C0F">
      <w:pPr>
        <w:pStyle w:val="Heading3"/>
        <w:ind w:firstLine="567"/>
        <w:rPr>
          <w:szCs w:val="24"/>
        </w:rPr>
        <w:sectPr w:rsidR="00BE3C0F" w:rsidRPr="00D948C1" w:rsidSect="0050229D">
          <w:pgSz w:w="11907" w:h="16840" w:code="9"/>
          <w:pgMar w:top="454" w:right="567" w:bottom="397" w:left="567" w:header="720" w:footer="720" w:gutter="0"/>
          <w:cols w:space="720"/>
          <w:docGrid w:linePitch="326"/>
        </w:sectPr>
      </w:pPr>
    </w:p>
    <w:p w14:paraId="7DF0BE42" w14:textId="41387655" w:rsidR="00D90216" w:rsidRPr="00326640" w:rsidRDefault="00D90216" w:rsidP="003278CF">
      <w:pPr>
        <w:ind w:firstLine="567"/>
        <w:rPr>
          <w:b/>
        </w:rPr>
      </w:pPr>
      <w:r w:rsidRPr="15D5148E">
        <w:rPr>
          <w:b/>
        </w:rPr>
        <w:lastRenderedPageBreak/>
        <w:t>Senior Officers Remuneration</w:t>
      </w:r>
    </w:p>
    <w:p w14:paraId="692C23B4" w14:textId="77777777" w:rsidR="002D6690" w:rsidRPr="00326640" w:rsidRDefault="002D6690" w:rsidP="003278CF">
      <w:pPr>
        <w:rPr>
          <w:b/>
        </w:rPr>
      </w:pPr>
    </w:p>
    <w:p w14:paraId="17BFD31B" w14:textId="77777777" w:rsidR="00D90216" w:rsidRPr="00D948C1" w:rsidRDefault="00D90216" w:rsidP="00D90216">
      <w:pPr>
        <w:tabs>
          <w:tab w:val="left" w:pos="720"/>
          <w:tab w:val="right" w:pos="7920"/>
        </w:tabs>
        <w:ind w:left="567"/>
      </w:pPr>
      <w:r>
        <w:t>During the year, Senior Officers received remuneration packages as detailed below – these employees are also excluded from the table above.</w:t>
      </w:r>
    </w:p>
    <w:p w14:paraId="3512604B" w14:textId="77777777" w:rsidR="00D90216" w:rsidRPr="00D948C1" w:rsidRDefault="00D90216" w:rsidP="00BE3C0F">
      <w:pPr>
        <w:pStyle w:val="BalloonText"/>
        <w:tabs>
          <w:tab w:val="left" w:pos="720"/>
          <w:tab w:val="right" w:pos="7920"/>
        </w:tabs>
        <w:rPr>
          <w:rFonts w:ascii="Arial" w:hAnsi="Arial"/>
          <w:sz w:val="24"/>
          <w:szCs w:val="24"/>
        </w:rPr>
      </w:pPr>
    </w:p>
    <w:tbl>
      <w:tblPr>
        <w:tblW w:w="4823"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0"/>
        <w:gridCol w:w="1135"/>
        <w:gridCol w:w="1430"/>
        <w:gridCol w:w="2256"/>
        <w:gridCol w:w="2688"/>
        <w:gridCol w:w="1954"/>
      </w:tblGrid>
      <w:tr w:rsidR="00A00B2E" w:rsidRPr="00D948C1" w14:paraId="72BC8BCA" w14:textId="77777777" w:rsidTr="00611673">
        <w:trPr>
          <w:tblHeader/>
        </w:trPr>
        <w:tc>
          <w:tcPr>
            <w:tcW w:w="1930" w:type="pct"/>
            <w:shd w:val="clear" w:color="auto" w:fill="BD2716"/>
            <w:vAlign w:val="center"/>
          </w:tcPr>
          <w:p w14:paraId="055325E7" w14:textId="039971C0" w:rsidR="00A01DCD" w:rsidRPr="00D948C1" w:rsidRDefault="001A42DD" w:rsidP="00611673">
            <w:pPr>
              <w:tabs>
                <w:tab w:val="left" w:pos="720"/>
                <w:tab w:val="right" w:pos="7920"/>
              </w:tabs>
              <w:rPr>
                <w:bCs/>
                <w:color w:val="FFFFFF" w:themeColor="background1"/>
                <w:szCs w:val="24"/>
              </w:rPr>
            </w:pPr>
            <w:r>
              <w:rPr>
                <w:bCs/>
                <w:color w:val="FFFFFF" w:themeColor="background1"/>
                <w:szCs w:val="24"/>
              </w:rPr>
              <w:t>2025-26</w:t>
            </w:r>
          </w:p>
          <w:p w14:paraId="71C432CD" w14:textId="039ED215" w:rsidR="00CB21DE" w:rsidRPr="00D948C1" w:rsidRDefault="00D90216" w:rsidP="00611673">
            <w:pPr>
              <w:tabs>
                <w:tab w:val="left" w:pos="720"/>
                <w:tab w:val="right" w:pos="7920"/>
              </w:tabs>
              <w:rPr>
                <w:bCs/>
                <w:color w:val="FFFFFF" w:themeColor="background1"/>
                <w:szCs w:val="24"/>
              </w:rPr>
            </w:pPr>
            <w:r w:rsidRPr="00D948C1">
              <w:rPr>
                <w:bCs/>
                <w:color w:val="FFFFFF" w:themeColor="background1"/>
                <w:szCs w:val="24"/>
              </w:rPr>
              <w:t>Post holder information (post title and name)</w:t>
            </w:r>
          </w:p>
        </w:tc>
        <w:tc>
          <w:tcPr>
            <w:tcW w:w="368" w:type="pct"/>
            <w:shd w:val="clear" w:color="auto" w:fill="BD2716"/>
            <w:vAlign w:val="center"/>
          </w:tcPr>
          <w:p w14:paraId="0F612485" w14:textId="77777777" w:rsidR="00D90216"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Salary</w:t>
            </w:r>
          </w:p>
          <w:p w14:paraId="11919C9A" w14:textId="2EBF2FA0"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464" w:type="pct"/>
            <w:shd w:val="clear" w:color="auto" w:fill="BD2716"/>
            <w:vAlign w:val="center"/>
          </w:tcPr>
          <w:p w14:paraId="1A317C6A" w14:textId="13E95E1B" w:rsidR="00D90216"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Allowances</w:t>
            </w:r>
          </w:p>
          <w:p w14:paraId="53748B8D" w14:textId="6B2FAC5E" w:rsidR="00B312EB" w:rsidRPr="00D948C1" w:rsidRDefault="00A01DCD" w:rsidP="004E2A2F">
            <w:pPr>
              <w:tabs>
                <w:tab w:val="left" w:pos="720"/>
                <w:tab w:val="right" w:pos="7920"/>
              </w:tabs>
              <w:jc w:val="right"/>
              <w:rPr>
                <w:color w:val="FFFFFF" w:themeColor="background1"/>
                <w:szCs w:val="24"/>
              </w:rPr>
            </w:pPr>
            <w:r w:rsidRPr="00D948C1">
              <w:rPr>
                <w:color w:val="FFFFFF" w:themeColor="background1"/>
                <w:szCs w:val="24"/>
              </w:rPr>
              <w:t>£</w:t>
            </w:r>
          </w:p>
        </w:tc>
        <w:tc>
          <w:tcPr>
            <w:tcW w:w="732" w:type="pct"/>
            <w:shd w:val="clear" w:color="auto" w:fill="BD2716"/>
            <w:vAlign w:val="center"/>
          </w:tcPr>
          <w:p w14:paraId="148F2D05" w14:textId="77777777" w:rsidR="00B312EB"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Total Remuneration excluding pension contributions</w:t>
            </w:r>
          </w:p>
          <w:p w14:paraId="2B84E6A7" w14:textId="1E5FA2C5"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c>
          <w:tcPr>
            <w:tcW w:w="872" w:type="pct"/>
            <w:shd w:val="clear" w:color="auto" w:fill="BD2716"/>
            <w:vAlign w:val="center"/>
          </w:tcPr>
          <w:p w14:paraId="2A19FE52" w14:textId="77777777" w:rsidR="00B312EB" w:rsidRPr="00D948C1" w:rsidRDefault="00D90216" w:rsidP="00611673">
            <w:pPr>
              <w:tabs>
                <w:tab w:val="left" w:pos="720"/>
                <w:tab w:val="right" w:pos="7920"/>
              </w:tabs>
              <w:ind w:left="19"/>
              <w:jc w:val="right"/>
              <w:rPr>
                <w:color w:val="FFFFFF" w:themeColor="background1"/>
                <w:szCs w:val="24"/>
              </w:rPr>
            </w:pPr>
            <w:r w:rsidRPr="00D948C1">
              <w:rPr>
                <w:color w:val="FFFFFF" w:themeColor="background1"/>
                <w:szCs w:val="24"/>
              </w:rPr>
              <w:t xml:space="preserve">Pension contributions </w:t>
            </w:r>
            <w:r w:rsidR="00E54BE5" w:rsidRPr="00D948C1">
              <w:rPr>
                <w:color w:val="FFFFFF" w:themeColor="background1"/>
                <w:szCs w:val="24"/>
              </w:rPr>
              <w:t>accrued at the standard employer rate for all senior officers</w:t>
            </w:r>
          </w:p>
          <w:p w14:paraId="24917088" w14:textId="394AA1CC" w:rsidR="00A01DCD" w:rsidRPr="00D948C1" w:rsidRDefault="00A01DCD" w:rsidP="00611673">
            <w:pPr>
              <w:tabs>
                <w:tab w:val="left" w:pos="720"/>
                <w:tab w:val="right" w:pos="7920"/>
              </w:tabs>
              <w:ind w:left="19"/>
              <w:jc w:val="right"/>
              <w:rPr>
                <w:color w:val="FFFFFF" w:themeColor="background1"/>
                <w:szCs w:val="24"/>
              </w:rPr>
            </w:pPr>
            <w:r w:rsidRPr="00D948C1">
              <w:rPr>
                <w:color w:val="FFFFFF" w:themeColor="background1"/>
                <w:szCs w:val="24"/>
              </w:rPr>
              <w:t>£</w:t>
            </w:r>
          </w:p>
        </w:tc>
        <w:tc>
          <w:tcPr>
            <w:tcW w:w="634" w:type="pct"/>
            <w:shd w:val="clear" w:color="auto" w:fill="BD2716"/>
            <w:vAlign w:val="center"/>
          </w:tcPr>
          <w:p w14:paraId="26FC1C41" w14:textId="77777777" w:rsidR="00B312EB" w:rsidRPr="00D948C1" w:rsidRDefault="00D90216" w:rsidP="00611673">
            <w:pPr>
              <w:tabs>
                <w:tab w:val="left" w:pos="720"/>
                <w:tab w:val="right" w:pos="7920"/>
              </w:tabs>
              <w:jc w:val="right"/>
              <w:rPr>
                <w:color w:val="FFFFFF" w:themeColor="background1"/>
                <w:szCs w:val="24"/>
              </w:rPr>
            </w:pPr>
            <w:r w:rsidRPr="00D948C1">
              <w:rPr>
                <w:color w:val="FFFFFF" w:themeColor="background1"/>
                <w:szCs w:val="24"/>
              </w:rPr>
              <w:t>Total Remuneration including pension contributions</w:t>
            </w:r>
          </w:p>
          <w:p w14:paraId="318C699D" w14:textId="3B7E011B" w:rsidR="00A01DCD" w:rsidRPr="00D948C1" w:rsidRDefault="00A01DCD" w:rsidP="00611673">
            <w:pPr>
              <w:tabs>
                <w:tab w:val="left" w:pos="720"/>
                <w:tab w:val="right" w:pos="7920"/>
              </w:tabs>
              <w:jc w:val="right"/>
              <w:rPr>
                <w:color w:val="FFFFFF" w:themeColor="background1"/>
                <w:szCs w:val="24"/>
              </w:rPr>
            </w:pPr>
            <w:r w:rsidRPr="00D948C1">
              <w:rPr>
                <w:color w:val="FFFFFF" w:themeColor="background1"/>
                <w:szCs w:val="24"/>
              </w:rPr>
              <w:t>£</w:t>
            </w:r>
          </w:p>
        </w:tc>
      </w:tr>
      <w:tr w:rsidR="00BC705E" w:rsidRPr="00D948C1" w14:paraId="07B2D591" w14:textId="77777777" w:rsidTr="00233A66">
        <w:tc>
          <w:tcPr>
            <w:tcW w:w="1930" w:type="pct"/>
          </w:tcPr>
          <w:p w14:paraId="27249A72" w14:textId="2CB8DE07" w:rsidR="00BC705E" w:rsidRPr="000B1E03" w:rsidRDefault="00BC705E" w:rsidP="003A5F15">
            <w:pPr>
              <w:tabs>
                <w:tab w:val="left" w:pos="720"/>
                <w:tab w:val="right" w:pos="7920"/>
              </w:tabs>
              <w:rPr>
                <w:szCs w:val="24"/>
              </w:rPr>
            </w:pPr>
            <w:bookmarkStart w:id="27" w:name="_Hlk135644265"/>
            <w:r w:rsidRPr="000B1E03">
              <w:rPr>
                <w:szCs w:val="24"/>
              </w:rPr>
              <w:t>Chief Fire Officer – Jon Charters</w:t>
            </w:r>
          </w:p>
        </w:tc>
        <w:tc>
          <w:tcPr>
            <w:tcW w:w="368" w:type="pct"/>
            <w:vAlign w:val="center"/>
          </w:tcPr>
          <w:p w14:paraId="4245BF50" w14:textId="5CB57698" w:rsidR="00BC705E" w:rsidRPr="000B1E03" w:rsidRDefault="00816E46" w:rsidP="00233A66">
            <w:pPr>
              <w:tabs>
                <w:tab w:val="left" w:pos="1168"/>
                <w:tab w:val="right" w:pos="7920"/>
              </w:tabs>
              <w:jc w:val="right"/>
              <w:rPr>
                <w:szCs w:val="24"/>
              </w:rPr>
            </w:pPr>
            <w:r>
              <w:rPr>
                <w:szCs w:val="24"/>
              </w:rPr>
              <w:t>177,652</w:t>
            </w:r>
          </w:p>
        </w:tc>
        <w:tc>
          <w:tcPr>
            <w:tcW w:w="464" w:type="pct"/>
            <w:vAlign w:val="center"/>
          </w:tcPr>
          <w:p w14:paraId="08C926E0" w14:textId="54BD7B98" w:rsidR="00BC705E" w:rsidRPr="000B1E03" w:rsidRDefault="00416E46" w:rsidP="00233A66">
            <w:pPr>
              <w:tabs>
                <w:tab w:val="left" w:pos="720"/>
                <w:tab w:val="right" w:pos="7920"/>
              </w:tabs>
              <w:jc w:val="right"/>
              <w:rPr>
                <w:szCs w:val="24"/>
              </w:rPr>
            </w:pPr>
            <w:r>
              <w:rPr>
                <w:szCs w:val="24"/>
              </w:rPr>
              <w:t>-</w:t>
            </w:r>
          </w:p>
        </w:tc>
        <w:tc>
          <w:tcPr>
            <w:tcW w:w="732" w:type="pct"/>
            <w:vAlign w:val="center"/>
          </w:tcPr>
          <w:p w14:paraId="27E50571" w14:textId="547CFE38" w:rsidR="00BC705E" w:rsidRPr="000B1E03" w:rsidRDefault="00416E46" w:rsidP="00233A66">
            <w:pPr>
              <w:tabs>
                <w:tab w:val="left" w:pos="720"/>
                <w:tab w:val="right" w:pos="7920"/>
              </w:tabs>
              <w:jc w:val="right"/>
              <w:rPr>
                <w:szCs w:val="24"/>
              </w:rPr>
            </w:pPr>
            <w:r>
              <w:rPr>
                <w:szCs w:val="24"/>
              </w:rPr>
              <w:t>177,652</w:t>
            </w:r>
          </w:p>
        </w:tc>
        <w:tc>
          <w:tcPr>
            <w:tcW w:w="872" w:type="pct"/>
            <w:vAlign w:val="center"/>
          </w:tcPr>
          <w:p w14:paraId="180E7E05" w14:textId="05C0C166" w:rsidR="00BC705E" w:rsidRPr="000B1E03" w:rsidRDefault="005C2C67" w:rsidP="00233A66">
            <w:pPr>
              <w:jc w:val="right"/>
              <w:rPr>
                <w:rFonts w:cs="Arial"/>
                <w:szCs w:val="24"/>
              </w:rPr>
            </w:pPr>
            <w:r>
              <w:rPr>
                <w:rFonts w:cs="Arial"/>
                <w:szCs w:val="24"/>
              </w:rPr>
              <w:t>66,797</w:t>
            </w:r>
          </w:p>
        </w:tc>
        <w:tc>
          <w:tcPr>
            <w:tcW w:w="634" w:type="pct"/>
            <w:vAlign w:val="center"/>
          </w:tcPr>
          <w:p w14:paraId="7F05419B" w14:textId="360070FF" w:rsidR="00BC705E" w:rsidRPr="000B1E03" w:rsidRDefault="005C2C67" w:rsidP="00233A66">
            <w:pPr>
              <w:jc w:val="right"/>
              <w:rPr>
                <w:rFonts w:cs="Arial"/>
                <w:szCs w:val="24"/>
              </w:rPr>
            </w:pPr>
            <w:r>
              <w:rPr>
                <w:rFonts w:cs="Arial"/>
                <w:szCs w:val="24"/>
              </w:rPr>
              <w:t>244,449</w:t>
            </w:r>
          </w:p>
        </w:tc>
      </w:tr>
      <w:tr w:rsidR="00EF6071" w:rsidRPr="00D948C1" w14:paraId="4BED8F9B" w14:textId="77777777" w:rsidTr="00233A66">
        <w:tc>
          <w:tcPr>
            <w:tcW w:w="1930" w:type="pct"/>
          </w:tcPr>
          <w:p w14:paraId="5157FF13" w14:textId="21C1FAB2" w:rsidR="00EF6071" w:rsidRPr="000B1E03" w:rsidRDefault="00EF6071" w:rsidP="003A5F15">
            <w:pPr>
              <w:tabs>
                <w:tab w:val="left" w:pos="720"/>
                <w:tab w:val="right" w:pos="7920"/>
              </w:tabs>
              <w:rPr>
                <w:szCs w:val="24"/>
              </w:rPr>
            </w:pPr>
            <w:r w:rsidRPr="000B1E03">
              <w:rPr>
                <w:szCs w:val="24"/>
              </w:rPr>
              <w:t>Director of Service Delivery – Samantha Pink</w:t>
            </w:r>
          </w:p>
        </w:tc>
        <w:tc>
          <w:tcPr>
            <w:tcW w:w="368" w:type="pct"/>
            <w:vAlign w:val="center"/>
          </w:tcPr>
          <w:p w14:paraId="37E14EC6" w14:textId="285C3B96" w:rsidR="00EF6071" w:rsidRPr="000B1E03" w:rsidRDefault="00816E46" w:rsidP="00233A66">
            <w:pPr>
              <w:tabs>
                <w:tab w:val="left" w:pos="1168"/>
                <w:tab w:val="right" w:pos="7920"/>
              </w:tabs>
              <w:jc w:val="right"/>
              <w:rPr>
                <w:szCs w:val="24"/>
              </w:rPr>
            </w:pPr>
            <w:r>
              <w:rPr>
                <w:szCs w:val="24"/>
              </w:rPr>
              <w:t>139,394</w:t>
            </w:r>
          </w:p>
        </w:tc>
        <w:tc>
          <w:tcPr>
            <w:tcW w:w="464" w:type="pct"/>
            <w:vAlign w:val="center"/>
          </w:tcPr>
          <w:p w14:paraId="5997D7B9" w14:textId="043B639E" w:rsidR="00EF6071" w:rsidRPr="000B1E03" w:rsidRDefault="00416E46" w:rsidP="00233A66">
            <w:pPr>
              <w:tabs>
                <w:tab w:val="left" w:pos="720"/>
                <w:tab w:val="right" w:pos="7920"/>
              </w:tabs>
              <w:jc w:val="right"/>
              <w:rPr>
                <w:szCs w:val="24"/>
              </w:rPr>
            </w:pPr>
            <w:r>
              <w:rPr>
                <w:szCs w:val="24"/>
              </w:rPr>
              <w:t>-</w:t>
            </w:r>
          </w:p>
        </w:tc>
        <w:tc>
          <w:tcPr>
            <w:tcW w:w="732" w:type="pct"/>
            <w:vAlign w:val="center"/>
          </w:tcPr>
          <w:p w14:paraId="313BAD39" w14:textId="73C697E0" w:rsidR="00EF6071" w:rsidRPr="000B1E03" w:rsidRDefault="00416E46" w:rsidP="00233A66">
            <w:pPr>
              <w:tabs>
                <w:tab w:val="left" w:pos="720"/>
                <w:tab w:val="right" w:pos="7920"/>
              </w:tabs>
              <w:jc w:val="right"/>
              <w:rPr>
                <w:szCs w:val="24"/>
              </w:rPr>
            </w:pPr>
            <w:r>
              <w:rPr>
                <w:szCs w:val="24"/>
              </w:rPr>
              <w:t>139,394</w:t>
            </w:r>
          </w:p>
        </w:tc>
        <w:tc>
          <w:tcPr>
            <w:tcW w:w="872" w:type="pct"/>
            <w:vAlign w:val="center"/>
          </w:tcPr>
          <w:p w14:paraId="59713574" w14:textId="79C96E02" w:rsidR="00EF6071" w:rsidRPr="000B1E03" w:rsidRDefault="005C2C67" w:rsidP="00233A66">
            <w:pPr>
              <w:jc w:val="right"/>
              <w:rPr>
                <w:rFonts w:cs="Arial"/>
                <w:szCs w:val="24"/>
              </w:rPr>
            </w:pPr>
            <w:r>
              <w:rPr>
                <w:rFonts w:cs="Arial"/>
                <w:szCs w:val="24"/>
              </w:rPr>
              <w:t>52,412</w:t>
            </w:r>
          </w:p>
        </w:tc>
        <w:tc>
          <w:tcPr>
            <w:tcW w:w="634" w:type="pct"/>
            <w:vAlign w:val="center"/>
          </w:tcPr>
          <w:p w14:paraId="671C837F" w14:textId="41C63376" w:rsidR="00EF6071" w:rsidRPr="000B1E03" w:rsidRDefault="005C2C67" w:rsidP="00233A66">
            <w:pPr>
              <w:jc w:val="right"/>
              <w:rPr>
                <w:rFonts w:cs="Arial"/>
                <w:szCs w:val="24"/>
              </w:rPr>
            </w:pPr>
            <w:r>
              <w:rPr>
                <w:rFonts w:cs="Arial"/>
                <w:szCs w:val="24"/>
              </w:rPr>
              <w:t>191,806</w:t>
            </w:r>
          </w:p>
        </w:tc>
      </w:tr>
      <w:tr w:rsidR="00A00B2E" w:rsidRPr="00D948C1" w14:paraId="238109B6" w14:textId="77777777" w:rsidTr="00233A66">
        <w:tc>
          <w:tcPr>
            <w:tcW w:w="1930" w:type="pct"/>
          </w:tcPr>
          <w:p w14:paraId="6D8C813B" w14:textId="3A38B8A2" w:rsidR="009A592B" w:rsidRPr="000B1E03" w:rsidRDefault="003A5F15" w:rsidP="003A5F15">
            <w:pPr>
              <w:tabs>
                <w:tab w:val="left" w:pos="720"/>
                <w:tab w:val="right" w:pos="7920"/>
              </w:tabs>
              <w:rPr>
                <w:szCs w:val="24"/>
              </w:rPr>
            </w:pPr>
            <w:r w:rsidRPr="000B1E03">
              <w:rPr>
                <w:szCs w:val="24"/>
              </w:rPr>
              <w:t xml:space="preserve">Director of Strategy &amp; Planning – Steve </w:t>
            </w:r>
            <w:r w:rsidR="009A592B" w:rsidRPr="000B1E03">
              <w:rPr>
                <w:szCs w:val="24"/>
              </w:rPr>
              <w:t>Healey</w:t>
            </w:r>
          </w:p>
        </w:tc>
        <w:tc>
          <w:tcPr>
            <w:tcW w:w="368" w:type="pct"/>
            <w:vAlign w:val="center"/>
          </w:tcPr>
          <w:p w14:paraId="4246B430" w14:textId="246CD6B8" w:rsidR="003A5F15" w:rsidRPr="000B1E03" w:rsidRDefault="00816E46" w:rsidP="00233A66">
            <w:pPr>
              <w:tabs>
                <w:tab w:val="left" w:pos="1168"/>
                <w:tab w:val="right" w:pos="7920"/>
              </w:tabs>
              <w:jc w:val="right"/>
              <w:rPr>
                <w:szCs w:val="24"/>
              </w:rPr>
            </w:pPr>
            <w:r>
              <w:rPr>
                <w:szCs w:val="24"/>
              </w:rPr>
              <w:t>170,571</w:t>
            </w:r>
          </w:p>
        </w:tc>
        <w:tc>
          <w:tcPr>
            <w:tcW w:w="464" w:type="pct"/>
            <w:vAlign w:val="center"/>
          </w:tcPr>
          <w:p w14:paraId="2D7B63BD" w14:textId="75695F5D" w:rsidR="003A5F15" w:rsidRPr="000B1E03" w:rsidRDefault="00416E46" w:rsidP="00233A66">
            <w:pPr>
              <w:tabs>
                <w:tab w:val="left" w:pos="720"/>
                <w:tab w:val="right" w:pos="7920"/>
              </w:tabs>
              <w:jc w:val="right"/>
              <w:rPr>
                <w:szCs w:val="24"/>
              </w:rPr>
            </w:pPr>
            <w:r>
              <w:rPr>
                <w:szCs w:val="24"/>
              </w:rPr>
              <w:t>-</w:t>
            </w:r>
          </w:p>
        </w:tc>
        <w:tc>
          <w:tcPr>
            <w:tcW w:w="732" w:type="pct"/>
            <w:vAlign w:val="center"/>
          </w:tcPr>
          <w:p w14:paraId="71AE1C61" w14:textId="2BC07F95" w:rsidR="003A5F15" w:rsidRPr="000B1E03" w:rsidRDefault="00416E46" w:rsidP="00233A66">
            <w:pPr>
              <w:tabs>
                <w:tab w:val="left" w:pos="720"/>
                <w:tab w:val="right" w:pos="7920"/>
              </w:tabs>
              <w:jc w:val="right"/>
              <w:rPr>
                <w:szCs w:val="24"/>
              </w:rPr>
            </w:pPr>
            <w:r>
              <w:rPr>
                <w:szCs w:val="24"/>
              </w:rPr>
              <w:t>170,571</w:t>
            </w:r>
          </w:p>
        </w:tc>
        <w:tc>
          <w:tcPr>
            <w:tcW w:w="872" w:type="pct"/>
            <w:vAlign w:val="center"/>
          </w:tcPr>
          <w:p w14:paraId="3F83A375" w14:textId="75EF1403" w:rsidR="003A5F15" w:rsidRPr="000B1E03" w:rsidRDefault="005C2C67" w:rsidP="00233A66">
            <w:pPr>
              <w:jc w:val="right"/>
              <w:rPr>
                <w:rFonts w:cs="Arial"/>
                <w:szCs w:val="24"/>
              </w:rPr>
            </w:pPr>
            <w:r>
              <w:rPr>
                <w:rFonts w:cs="Arial"/>
                <w:szCs w:val="24"/>
              </w:rPr>
              <w:t>64,135</w:t>
            </w:r>
          </w:p>
        </w:tc>
        <w:tc>
          <w:tcPr>
            <w:tcW w:w="634" w:type="pct"/>
            <w:vAlign w:val="center"/>
          </w:tcPr>
          <w:p w14:paraId="3822A0D6" w14:textId="259332F5" w:rsidR="00B244AB" w:rsidRPr="000B1E03" w:rsidRDefault="005C2C67" w:rsidP="00B244AB">
            <w:pPr>
              <w:jc w:val="right"/>
              <w:rPr>
                <w:rFonts w:cs="Arial"/>
                <w:szCs w:val="24"/>
              </w:rPr>
            </w:pPr>
            <w:r>
              <w:rPr>
                <w:rFonts w:cs="Arial"/>
                <w:szCs w:val="24"/>
              </w:rPr>
              <w:t>234,706</w:t>
            </w:r>
          </w:p>
        </w:tc>
      </w:tr>
      <w:tr w:rsidR="00D106CC" w:rsidRPr="00D948C1" w14:paraId="6280D374" w14:textId="77777777" w:rsidTr="00233A66">
        <w:tc>
          <w:tcPr>
            <w:tcW w:w="1930" w:type="pct"/>
          </w:tcPr>
          <w:p w14:paraId="0582EE9A" w14:textId="74B5AD01" w:rsidR="00D106CC" w:rsidRPr="000B1E03" w:rsidRDefault="00D106CC" w:rsidP="003A5F15">
            <w:pPr>
              <w:tabs>
                <w:tab w:val="left" w:pos="720"/>
                <w:tab w:val="right" w:pos="7920"/>
              </w:tabs>
              <w:rPr>
                <w:szCs w:val="24"/>
              </w:rPr>
            </w:pPr>
            <w:r w:rsidRPr="000B1E03">
              <w:rPr>
                <w:szCs w:val="24"/>
              </w:rPr>
              <w:t>Director of People &amp; Development – Elizabeth Sandiford</w:t>
            </w:r>
          </w:p>
        </w:tc>
        <w:tc>
          <w:tcPr>
            <w:tcW w:w="368" w:type="pct"/>
            <w:vAlign w:val="center"/>
          </w:tcPr>
          <w:p w14:paraId="0B083D0D" w14:textId="729370BE" w:rsidR="00D106CC" w:rsidRPr="000B1E03" w:rsidRDefault="00416E46" w:rsidP="00233A66">
            <w:pPr>
              <w:tabs>
                <w:tab w:val="left" w:pos="1168"/>
                <w:tab w:val="right" w:pos="7920"/>
              </w:tabs>
              <w:jc w:val="right"/>
              <w:rPr>
                <w:szCs w:val="24"/>
              </w:rPr>
            </w:pPr>
            <w:r>
              <w:rPr>
                <w:szCs w:val="24"/>
              </w:rPr>
              <w:t>102,400</w:t>
            </w:r>
          </w:p>
        </w:tc>
        <w:tc>
          <w:tcPr>
            <w:tcW w:w="464" w:type="pct"/>
            <w:vAlign w:val="center"/>
          </w:tcPr>
          <w:p w14:paraId="561ACA8D" w14:textId="667C711D" w:rsidR="00D106CC" w:rsidRPr="000B1E03" w:rsidRDefault="00416E46" w:rsidP="00233A66">
            <w:pPr>
              <w:tabs>
                <w:tab w:val="left" w:pos="720"/>
                <w:tab w:val="right" w:pos="7920"/>
              </w:tabs>
              <w:jc w:val="right"/>
              <w:rPr>
                <w:szCs w:val="24"/>
              </w:rPr>
            </w:pPr>
            <w:r>
              <w:rPr>
                <w:szCs w:val="24"/>
              </w:rPr>
              <w:t>-</w:t>
            </w:r>
          </w:p>
        </w:tc>
        <w:tc>
          <w:tcPr>
            <w:tcW w:w="732" w:type="pct"/>
            <w:vAlign w:val="center"/>
          </w:tcPr>
          <w:p w14:paraId="5CD97137" w14:textId="66935056" w:rsidR="00D106CC" w:rsidRPr="000B1E03" w:rsidRDefault="00416E46" w:rsidP="00233A66">
            <w:pPr>
              <w:tabs>
                <w:tab w:val="left" w:pos="720"/>
                <w:tab w:val="right" w:pos="7920"/>
              </w:tabs>
              <w:jc w:val="right"/>
              <w:rPr>
                <w:szCs w:val="24"/>
              </w:rPr>
            </w:pPr>
            <w:r>
              <w:rPr>
                <w:szCs w:val="24"/>
              </w:rPr>
              <w:t>102,400</w:t>
            </w:r>
          </w:p>
        </w:tc>
        <w:tc>
          <w:tcPr>
            <w:tcW w:w="872" w:type="pct"/>
            <w:vAlign w:val="center"/>
          </w:tcPr>
          <w:p w14:paraId="1CD93DB3" w14:textId="5C203D75" w:rsidR="00D106CC" w:rsidRPr="000B1E03" w:rsidRDefault="005C2C67" w:rsidP="00233A66">
            <w:pPr>
              <w:jc w:val="right"/>
              <w:rPr>
                <w:rFonts w:cs="Arial"/>
                <w:szCs w:val="24"/>
              </w:rPr>
            </w:pPr>
            <w:r>
              <w:rPr>
                <w:rFonts w:cs="Arial"/>
                <w:szCs w:val="24"/>
              </w:rPr>
              <w:t>2,970</w:t>
            </w:r>
          </w:p>
        </w:tc>
        <w:tc>
          <w:tcPr>
            <w:tcW w:w="634" w:type="pct"/>
            <w:vAlign w:val="center"/>
          </w:tcPr>
          <w:p w14:paraId="5520B306" w14:textId="09D486E1" w:rsidR="00D106CC" w:rsidRPr="000B1E03" w:rsidRDefault="005C2C67" w:rsidP="00233A66">
            <w:pPr>
              <w:jc w:val="right"/>
              <w:rPr>
                <w:rFonts w:cs="Arial"/>
                <w:szCs w:val="24"/>
              </w:rPr>
            </w:pPr>
            <w:r>
              <w:rPr>
                <w:rFonts w:cs="Arial"/>
                <w:szCs w:val="24"/>
              </w:rPr>
              <w:t>105,370</w:t>
            </w:r>
          </w:p>
        </w:tc>
      </w:tr>
      <w:tr w:rsidR="001A7208" w:rsidRPr="00D948C1" w14:paraId="74CB00B7" w14:textId="77777777" w:rsidTr="00233A66">
        <w:tc>
          <w:tcPr>
            <w:tcW w:w="1930" w:type="pct"/>
          </w:tcPr>
          <w:p w14:paraId="03E7039A" w14:textId="7A2AC08F" w:rsidR="001A7208" w:rsidRPr="000B1E03" w:rsidRDefault="001A7208" w:rsidP="001A7208">
            <w:pPr>
              <w:tabs>
                <w:tab w:val="left" w:pos="720"/>
                <w:tab w:val="right" w:pos="7920"/>
              </w:tabs>
              <w:rPr>
                <w:szCs w:val="24"/>
              </w:rPr>
            </w:pPr>
            <w:r w:rsidRPr="000B1E03">
              <w:rPr>
                <w:szCs w:val="24"/>
              </w:rPr>
              <w:t>Director of Corporate Services – Steven Brown</w:t>
            </w:r>
          </w:p>
        </w:tc>
        <w:tc>
          <w:tcPr>
            <w:tcW w:w="368" w:type="pct"/>
            <w:vAlign w:val="center"/>
          </w:tcPr>
          <w:p w14:paraId="5081D6A1" w14:textId="22AD9296" w:rsidR="001A7208" w:rsidRPr="000B1E03" w:rsidRDefault="00416E46" w:rsidP="001A7208">
            <w:pPr>
              <w:tabs>
                <w:tab w:val="left" w:pos="1168"/>
                <w:tab w:val="right" w:pos="7920"/>
              </w:tabs>
              <w:jc w:val="right"/>
              <w:rPr>
                <w:szCs w:val="24"/>
              </w:rPr>
            </w:pPr>
            <w:r>
              <w:rPr>
                <w:szCs w:val="24"/>
              </w:rPr>
              <w:t>107,520</w:t>
            </w:r>
          </w:p>
        </w:tc>
        <w:tc>
          <w:tcPr>
            <w:tcW w:w="464" w:type="pct"/>
            <w:vAlign w:val="center"/>
          </w:tcPr>
          <w:p w14:paraId="2013B45C" w14:textId="4F0C48F7" w:rsidR="001A7208" w:rsidRPr="000B1E03" w:rsidRDefault="00416E46" w:rsidP="001A7208">
            <w:pPr>
              <w:tabs>
                <w:tab w:val="left" w:pos="720"/>
                <w:tab w:val="right" w:pos="7920"/>
              </w:tabs>
              <w:jc w:val="right"/>
              <w:rPr>
                <w:szCs w:val="24"/>
              </w:rPr>
            </w:pPr>
            <w:r>
              <w:rPr>
                <w:szCs w:val="24"/>
              </w:rPr>
              <w:t>-</w:t>
            </w:r>
          </w:p>
        </w:tc>
        <w:tc>
          <w:tcPr>
            <w:tcW w:w="732" w:type="pct"/>
            <w:vAlign w:val="center"/>
          </w:tcPr>
          <w:p w14:paraId="2EFAE70B" w14:textId="41A24329" w:rsidR="001A7208" w:rsidRPr="000B1E03" w:rsidRDefault="00416E46" w:rsidP="001A7208">
            <w:pPr>
              <w:tabs>
                <w:tab w:val="left" w:pos="1168"/>
                <w:tab w:val="right" w:pos="7920"/>
              </w:tabs>
              <w:jc w:val="right"/>
              <w:rPr>
                <w:szCs w:val="24"/>
              </w:rPr>
            </w:pPr>
            <w:r>
              <w:rPr>
                <w:szCs w:val="24"/>
              </w:rPr>
              <w:t>107,520</w:t>
            </w:r>
          </w:p>
        </w:tc>
        <w:tc>
          <w:tcPr>
            <w:tcW w:w="872" w:type="pct"/>
            <w:vAlign w:val="center"/>
          </w:tcPr>
          <w:p w14:paraId="6A7E5E9F" w14:textId="73875661" w:rsidR="001A7208" w:rsidRPr="000B1E03" w:rsidRDefault="005C2C67" w:rsidP="001A7208">
            <w:pPr>
              <w:jc w:val="right"/>
              <w:rPr>
                <w:rFonts w:cs="Arial"/>
                <w:szCs w:val="24"/>
              </w:rPr>
            </w:pPr>
            <w:r>
              <w:rPr>
                <w:rFonts w:cs="Arial"/>
                <w:szCs w:val="24"/>
              </w:rPr>
              <w:t>3,118</w:t>
            </w:r>
          </w:p>
        </w:tc>
        <w:tc>
          <w:tcPr>
            <w:tcW w:w="634" w:type="pct"/>
            <w:vAlign w:val="center"/>
          </w:tcPr>
          <w:p w14:paraId="0D00DA7F" w14:textId="0F89F0C4" w:rsidR="001A7208" w:rsidRPr="000B1E03" w:rsidRDefault="001B431B" w:rsidP="001A7208">
            <w:pPr>
              <w:jc w:val="right"/>
              <w:rPr>
                <w:rFonts w:cs="Arial"/>
                <w:szCs w:val="24"/>
              </w:rPr>
            </w:pPr>
            <w:r>
              <w:rPr>
                <w:rFonts w:cs="Arial"/>
                <w:szCs w:val="24"/>
              </w:rPr>
              <w:t>110,638</w:t>
            </w:r>
          </w:p>
        </w:tc>
      </w:tr>
      <w:tr w:rsidR="001A7208" w:rsidRPr="00D948C1" w14:paraId="0E6CA097" w14:textId="77777777" w:rsidTr="00233A66">
        <w:tc>
          <w:tcPr>
            <w:tcW w:w="1930" w:type="pct"/>
          </w:tcPr>
          <w:p w14:paraId="2AE770BB" w14:textId="0ABCF940" w:rsidR="001A7208" w:rsidRPr="000B1E03" w:rsidRDefault="001A7208" w:rsidP="001A7208">
            <w:pPr>
              <w:tabs>
                <w:tab w:val="left" w:pos="720"/>
                <w:tab w:val="right" w:pos="7920"/>
              </w:tabs>
              <w:rPr>
                <w:szCs w:val="24"/>
              </w:rPr>
            </w:pPr>
            <w:r w:rsidRPr="000B1E03">
              <w:rPr>
                <w:szCs w:val="24"/>
              </w:rPr>
              <w:t>Total</w:t>
            </w:r>
          </w:p>
        </w:tc>
        <w:tc>
          <w:tcPr>
            <w:tcW w:w="368" w:type="pct"/>
            <w:vAlign w:val="center"/>
          </w:tcPr>
          <w:p w14:paraId="0BDC8057" w14:textId="41EDA41B" w:rsidR="001A7208" w:rsidRPr="000B1E03" w:rsidRDefault="00416E46" w:rsidP="001A7208">
            <w:pPr>
              <w:tabs>
                <w:tab w:val="left" w:pos="1168"/>
                <w:tab w:val="right" w:pos="7920"/>
              </w:tabs>
              <w:jc w:val="right"/>
              <w:rPr>
                <w:szCs w:val="24"/>
              </w:rPr>
            </w:pPr>
            <w:r>
              <w:rPr>
                <w:szCs w:val="24"/>
              </w:rPr>
              <w:t>697,537</w:t>
            </w:r>
          </w:p>
        </w:tc>
        <w:tc>
          <w:tcPr>
            <w:tcW w:w="464" w:type="pct"/>
            <w:vAlign w:val="center"/>
          </w:tcPr>
          <w:p w14:paraId="25344B3F" w14:textId="255806FF" w:rsidR="001A7208" w:rsidRPr="000B1E03" w:rsidRDefault="00416E46" w:rsidP="001A7208">
            <w:pPr>
              <w:tabs>
                <w:tab w:val="left" w:pos="720"/>
                <w:tab w:val="right" w:pos="7920"/>
              </w:tabs>
              <w:jc w:val="right"/>
              <w:rPr>
                <w:szCs w:val="24"/>
              </w:rPr>
            </w:pPr>
            <w:r>
              <w:rPr>
                <w:szCs w:val="24"/>
              </w:rPr>
              <w:t>-</w:t>
            </w:r>
          </w:p>
        </w:tc>
        <w:tc>
          <w:tcPr>
            <w:tcW w:w="732" w:type="pct"/>
            <w:vAlign w:val="center"/>
          </w:tcPr>
          <w:p w14:paraId="623767DB" w14:textId="17050FF4" w:rsidR="001A7208" w:rsidRPr="000B1E03" w:rsidRDefault="00416E46" w:rsidP="001A7208">
            <w:pPr>
              <w:tabs>
                <w:tab w:val="left" w:pos="1168"/>
                <w:tab w:val="right" w:pos="7920"/>
              </w:tabs>
              <w:jc w:val="right"/>
              <w:rPr>
                <w:szCs w:val="24"/>
              </w:rPr>
            </w:pPr>
            <w:r>
              <w:rPr>
                <w:szCs w:val="24"/>
              </w:rPr>
              <w:t>697,537</w:t>
            </w:r>
          </w:p>
        </w:tc>
        <w:tc>
          <w:tcPr>
            <w:tcW w:w="872" w:type="pct"/>
            <w:vAlign w:val="center"/>
          </w:tcPr>
          <w:p w14:paraId="029830B4" w14:textId="6F7700F5" w:rsidR="001A7208" w:rsidRPr="000B1E03" w:rsidRDefault="005C2C67" w:rsidP="001A7208">
            <w:pPr>
              <w:jc w:val="right"/>
              <w:rPr>
                <w:rFonts w:cs="Arial"/>
                <w:szCs w:val="24"/>
              </w:rPr>
            </w:pPr>
            <w:r>
              <w:rPr>
                <w:rFonts w:cs="Arial"/>
                <w:szCs w:val="24"/>
              </w:rPr>
              <w:t>189,432</w:t>
            </w:r>
          </w:p>
        </w:tc>
        <w:tc>
          <w:tcPr>
            <w:tcW w:w="634" w:type="pct"/>
            <w:vAlign w:val="center"/>
          </w:tcPr>
          <w:p w14:paraId="23910B56" w14:textId="3B05331E" w:rsidR="001A7208" w:rsidRPr="000B1E03" w:rsidRDefault="001B431B" w:rsidP="001A7208">
            <w:pPr>
              <w:jc w:val="right"/>
              <w:rPr>
                <w:rFonts w:cs="Arial"/>
                <w:szCs w:val="24"/>
              </w:rPr>
            </w:pPr>
            <w:r>
              <w:rPr>
                <w:rFonts w:cs="Arial"/>
                <w:szCs w:val="24"/>
              </w:rPr>
              <w:t>886,968</w:t>
            </w:r>
          </w:p>
        </w:tc>
      </w:tr>
      <w:bookmarkEnd w:id="27"/>
    </w:tbl>
    <w:p w14:paraId="727A9881" w14:textId="77777777" w:rsidR="00C95AC2" w:rsidRDefault="00C95AC2" w:rsidP="00525E85">
      <w:pPr>
        <w:rPr>
          <w:szCs w:val="24"/>
        </w:rPr>
      </w:pPr>
      <w:r>
        <w:rPr>
          <w:szCs w:val="24"/>
        </w:rPr>
        <w:br w:type="page"/>
      </w:r>
    </w:p>
    <w:tbl>
      <w:tblPr>
        <w:tblW w:w="154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7"/>
        <w:gridCol w:w="1134"/>
        <w:gridCol w:w="1434"/>
        <w:gridCol w:w="2256"/>
        <w:gridCol w:w="2687"/>
        <w:gridCol w:w="1956"/>
      </w:tblGrid>
      <w:tr w:rsidR="00326640" w:rsidRPr="00D948C1" w14:paraId="0F723510" w14:textId="77777777" w:rsidTr="00611673">
        <w:trPr>
          <w:tblHeader/>
        </w:trPr>
        <w:tc>
          <w:tcPr>
            <w:tcW w:w="5987" w:type="dxa"/>
            <w:shd w:val="clear" w:color="auto" w:fill="BD2716"/>
            <w:vAlign w:val="center"/>
          </w:tcPr>
          <w:p w14:paraId="44545B46" w14:textId="1330B563" w:rsidR="00326640" w:rsidRPr="00D948C1" w:rsidRDefault="001A42DD" w:rsidP="00326640">
            <w:pPr>
              <w:tabs>
                <w:tab w:val="left" w:pos="720"/>
                <w:tab w:val="right" w:pos="7920"/>
              </w:tabs>
              <w:rPr>
                <w:bCs/>
                <w:color w:val="FFFFFF" w:themeColor="background1"/>
                <w:szCs w:val="24"/>
              </w:rPr>
            </w:pPr>
            <w:r>
              <w:rPr>
                <w:bCs/>
                <w:color w:val="FFFFFF" w:themeColor="background1"/>
                <w:szCs w:val="24"/>
              </w:rPr>
              <w:lastRenderedPageBreak/>
              <w:t>2024-25</w:t>
            </w:r>
          </w:p>
          <w:p w14:paraId="3F9DEB68" w14:textId="733E5269" w:rsidR="00326640" w:rsidRPr="00D948C1" w:rsidRDefault="00326640" w:rsidP="00326640">
            <w:pPr>
              <w:tabs>
                <w:tab w:val="left" w:pos="720"/>
                <w:tab w:val="right" w:pos="7920"/>
              </w:tabs>
              <w:rPr>
                <w:b/>
                <w:color w:val="FFFFFF" w:themeColor="background1"/>
                <w:szCs w:val="24"/>
              </w:rPr>
            </w:pPr>
            <w:r w:rsidRPr="00D948C1">
              <w:rPr>
                <w:bCs/>
                <w:color w:val="FFFFFF" w:themeColor="background1"/>
                <w:szCs w:val="24"/>
              </w:rPr>
              <w:t>Post holder information (post title and name)</w:t>
            </w:r>
          </w:p>
        </w:tc>
        <w:tc>
          <w:tcPr>
            <w:tcW w:w="1134" w:type="dxa"/>
            <w:shd w:val="clear" w:color="auto" w:fill="BD2716"/>
            <w:vAlign w:val="center"/>
          </w:tcPr>
          <w:p w14:paraId="62EB2D19" w14:textId="77777777"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Salary</w:t>
            </w:r>
          </w:p>
          <w:p w14:paraId="1BDAFD90" w14:textId="732DFD15"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w:t>
            </w:r>
          </w:p>
        </w:tc>
        <w:tc>
          <w:tcPr>
            <w:tcW w:w="1434" w:type="dxa"/>
            <w:shd w:val="clear" w:color="auto" w:fill="BD2716"/>
            <w:vAlign w:val="center"/>
          </w:tcPr>
          <w:p w14:paraId="7A925CF4" w14:textId="77777777"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Allowances</w:t>
            </w:r>
          </w:p>
          <w:p w14:paraId="4F6BA186" w14:textId="5C04E34A"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w:t>
            </w:r>
          </w:p>
        </w:tc>
        <w:tc>
          <w:tcPr>
            <w:tcW w:w="2256" w:type="dxa"/>
            <w:shd w:val="clear" w:color="auto" w:fill="BD2716"/>
            <w:vAlign w:val="center"/>
          </w:tcPr>
          <w:p w14:paraId="3DCD3D7E" w14:textId="77777777"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Total Remuneration excluding pension contributions</w:t>
            </w:r>
          </w:p>
          <w:p w14:paraId="116940A7" w14:textId="05BCEA76"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w:t>
            </w:r>
          </w:p>
        </w:tc>
        <w:tc>
          <w:tcPr>
            <w:tcW w:w="2687" w:type="dxa"/>
            <w:shd w:val="clear" w:color="auto" w:fill="BD2716"/>
            <w:vAlign w:val="center"/>
          </w:tcPr>
          <w:p w14:paraId="0783389E" w14:textId="77777777" w:rsidR="00326640" w:rsidRPr="00D948C1" w:rsidRDefault="00326640" w:rsidP="00326640">
            <w:pPr>
              <w:tabs>
                <w:tab w:val="left" w:pos="720"/>
                <w:tab w:val="right" w:pos="7920"/>
              </w:tabs>
              <w:ind w:left="19"/>
              <w:jc w:val="right"/>
              <w:rPr>
                <w:color w:val="FFFFFF" w:themeColor="background1"/>
                <w:szCs w:val="24"/>
              </w:rPr>
            </w:pPr>
            <w:r w:rsidRPr="00D948C1">
              <w:rPr>
                <w:color w:val="FFFFFF" w:themeColor="background1"/>
                <w:szCs w:val="24"/>
              </w:rPr>
              <w:t>Pension contributions accrued at the standard employer rate for all senior officers</w:t>
            </w:r>
          </w:p>
          <w:p w14:paraId="0DE1F9C6" w14:textId="501FCA7B" w:rsidR="00326640" w:rsidRPr="00D948C1" w:rsidRDefault="00326640" w:rsidP="00326640">
            <w:pPr>
              <w:tabs>
                <w:tab w:val="left" w:pos="720"/>
                <w:tab w:val="right" w:pos="7920"/>
              </w:tabs>
              <w:ind w:left="19"/>
              <w:jc w:val="right"/>
              <w:rPr>
                <w:color w:val="FFFFFF" w:themeColor="background1"/>
                <w:szCs w:val="24"/>
              </w:rPr>
            </w:pPr>
            <w:r w:rsidRPr="00D948C1">
              <w:rPr>
                <w:color w:val="FFFFFF" w:themeColor="background1"/>
                <w:szCs w:val="24"/>
              </w:rPr>
              <w:t>£</w:t>
            </w:r>
          </w:p>
        </w:tc>
        <w:tc>
          <w:tcPr>
            <w:tcW w:w="1956" w:type="dxa"/>
            <w:shd w:val="clear" w:color="auto" w:fill="BD2716"/>
            <w:vAlign w:val="center"/>
          </w:tcPr>
          <w:p w14:paraId="33FD490E" w14:textId="77777777"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Total Remuneration including pension contributions</w:t>
            </w:r>
          </w:p>
          <w:p w14:paraId="7F05754E" w14:textId="16E877A1" w:rsidR="00326640" w:rsidRPr="00D948C1" w:rsidRDefault="00326640" w:rsidP="00326640">
            <w:pPr>
              <w:tabs>
                <w:tab w:val="left" w:pos="720"/>
                <w:tab w:val="right" w:pos="7920"/>
              </w:tabs>
              <w:jc w:val="right"/>
              <w:rPr>
                <w:color w:val="FFFFFF" w:themeColor="background1"/>
                <w:szCs w:val="24"/>
              </w:rPr>
            </w:pPr>
            <w:r w:rsidRPr="00D948C1">
              <w:rPr>
                <w:color w:val="FFFFFF" w:themeColor="background1"/>
                <w:szCs w:val="24"/>
              </w:rPr>
              <w:t>£</w:t>
            </w:r>
          </w:p>
        </w:tc>
      </w:tr>
      <w:tr w:rsidR="00326640" w:rsidRPr="00D948C1" w14:paraId="24656DDB" w14:textId="77777777" w:rsidTr="00326640">
        <w:tc>
          <w:tcPr>
            <w:tcW w:w="5987" w:type="dxa"/>
          </w:tcPr>
          <w:p w14:paraId="7CCFE68E" w14:textId="549E0764" w:rsidR="00326640" w:rsidRPr="00D948C1" w:rsidRDefault="00326640" w:rsidP="00326640">
            <w:pPr>
              <w:tabs>
                <w:tab w:val="left" w:pos="720"/>
                <w:tab w:val="right" w:pos="7920"/>
              </w:tabs>
              <w:rPr>
                <w:szCs w:val="24"/>
              </w:rPr>
            </w:pPr>
            <w:r w:rsidRPr="000B1E03">
              <w:rPr>
                <w:szCs w:val="24"/>
              </w:rPr>
              <w:t>Chief Fire Officer – Justin Johnston (to 4 January)</w:t>
            </w:r>
          </w:p>
        </w:tc>
        <w:tc>
          <w:tcPr>
            <w:tcW w:w="1134" w:type="dxa"/>
            <w:vAlign w:val="center"/>
          </w:tcPr>
          <w:p w14:paraId="4ECCCAFF" w14:textId="6DFE1494" w:rsidR="00326640" w:rsidRPr="000B1E03" w:rsidRDefault="00326640" w:rsidP="00326640">
            <w:pPr>
              <w:tabs>
                <w:tab w:val="left" w:pos="1168"/>
                <w:tab w:val="right" w:pos="7920"/>
              </w:tabs>
              <w:jc w:val="right"/>
              <w:rPr>
                <w:szCs w:val="24"/>
              </w:rPr>
            </w:pPr>
            <w:r w:rsidRPr="000B1E03">
              <w:rPr>
                <w:szCs w:val="24"/>
              </w:rPr>
              <w:t>134,388</w:t>
            </w:r>
          </w:p>
        </w:tc>
        <w:tc>
          <w:tcPr>
            <w:tcW w:w="1434" w:type="dxa"/>
            <w:vAlign w:val="center"/>
          </w:tcPr>
          <w:p w14:paraId="21948AC1" w14:textId="0B119E0E" w:rsidR="00326640" w:rsidRPr="000B1E03" w:rsidRDefault="00326640" w:rsidP="00326640">
            <w:pPr>
              <w:tabs>
                <w:tab w:val="left" w:pos="720"/>
                <w:tab w:val="right" w:pos="7920"/>
              </w:tabs>
              <w:jc w:val="right"/>
              <w:rPr>
                <w:szCs w:val="24"/>
              </w:rPr>
            </w:pPr>
            <w:r w:rsidRPr="000B1E03">
              <w:rPr>
                <w:szCs w:val="24"/>
              </w:rPr>
              <w:t>-</w:t>
            </w:r>
          </w:p>
        </w:tc>
        <w:tc>
          <w:tcPr>
            <w:tcW w:w="2256" w:type="dxa"/>
            <w:vAlign w:val="center"/>
          </w:tcPr>
          <w:p w14:paraId="5A9BDA17" w14:textId="350C3E15" w:rsidR="00326640" w:rsidRPr="000B1E03" w:rsidRDefault="00326640" w:rsidP="00326640">
            <w:pPr>
              <w:tabs>
                <w:tab w:val="left" w:pos="720"/>
                <w:tab w:val="right" w:pos="7920"/>
              </w:tabs>
              <w:jc w:val="right"/>
              <w:rPr>
                <w:szCs w:val="24"/>
              </w:rPr>
            </w:pPr>
            <w:r w:rsidRPr="000B1E03">
              <w:rPr>
                <w:szCs w:val="24"/>
              </w:rPr>
              <w:t>134,388</w:t>
            </w:r>
          </w:p>
        </w:tc>
        <w:tc>
          <w:tcPr>
            <w:tcW w:w="2687" w:type="dxa"/>
            <w:vAlign w:val="center"/>
          </w:tcPr>
          <w:p w14:paraId="280A853D" w14:textId="406D9250" w:rsidR="00326640" w:rsidRPr="000B1E03" w:rsidRDefault="00326640" w:rsidP="00326640">
            <w:pPr>
              <w:jc w:val="right"/>
              <w:rPr>
                <w:rFonts w:cs="Arial"/>
                <w:szCs w:val="24"/>
              </w:rPr>
            </w:pPr>
            <w:r w:rsidRPr="000B1E03">
              <w:rPr>
                <w:rFonts w:cs="Arial"/>
                <w:szCs w:val="24"/>
              </w:rPr>
              <w:t>50,530</w:t>
            </w:r>
          </w:p>
        </w:tc>
        <w:tc>
          <w:tcPr>
            <w:tcW w:w="1956" w:type="dxa"/>
            <w:vAlign w:val="center"/>
          </w:tcPr>
          <w:p w14:paraId="36A649AE" w14:textId="09B70785" w:rsidR="00326640" w:rsidRPr="000B1E03" w:rsidRDefault="00326640" w:rsidP="00326640">
            <w:pPr>
              <w:jc w:val="right"/>
              <w:rPr>
                <w:rFonts w:cs="Arial"/>
                <w:szCs w:val="24"/>
              </w:rPr>
            </w:pPr>
            <w:r w:rsidRPr="000B1E03">
              <w:rPr>
                <w:rFonts w:cs="Arial"/>
                <w:szCs w:val="24"/>
              </w:rPr>
              <w:t>184,917</w:t>
            </w:r>
          </w:p>
        </w:tc>
      </w:tr>
      <w:tr w:rsidR="00326640" w:rsidRPr="00D948C1" w14:paraId="4F4531EC" w14:textId="77777777" w:rsidTr="00326640">
        <w:tc>
          <w:tcPr>
            <w:tcW w:w="5987" w:type="dxa"/>
          </w:tcPr>
          <w:p w14:paraId="07FA8835" w14:textId="46FF229A" w:rsidR="00326640" w:rsidRPr="00D948C1" w:rsidRDefault="00326640" w:rsidP="00326640">
            <w:pPr>
              <w:tabs>
                <w:tab w:val="left" w:pos="720"/>
                <w:tab w:val="right" w:pos="7920"/>
              </w:tabs>
              <w:rPr>
                <w:szCs w:val="24"/>
              </w:rPr>
            </w:pPr>
            <w:r w:rsidRPr="000B1E03">
              <w:rPr>
                <w:szCs w:val="24"/>
              </w:rPr>
              <w:t>Chief Fire Officer – Jon Charters (from 5 January)</w:t>
            </w:r>
          </w:p>
        </w:tc>
        <w:tc>
          <w:tcPr>
            <w:tcW w:w="1134" w:type="dxa"/>
            <w:vAlign w:val="center"/>
          </w:tcPr>
          <w:p w14:paraId="31481280" w14:textId="429B752B" w:rsidR="00326640" w:rsidRPr="000B1E03" w:rsidRDefault="00326640" w:rsidP="00326640">
            <w:pPr>
              <w:tabs>
                <w:tab w:val="left" w:pos="1168"/>
                <w:tab w:val="right" w:pos="7920"/>
              </w:tabs>
              <w:jc w:val="right"/>
              <w:rPr>
                <w:szCs w:val="24"/>
              </w:rPr>
            </w:pPr>
            <w:r w:rsidRPr="000B1E03">
              <w:rPr>
                <w:szCs w:val="24"/>
              </w:rPr>
              <w:t>41,028</w:t>
            </w:r>
          </w:p>
        </w:tc>
        <w:tc>
          <w:tcPr>
            <w:tcW w:w="1434" w:type="dxa"/>
            <w:vAlign w:val="center"/>
          </w:tcPr>
          <w:p w14:paraId="34FA89A6" w14:textId="2B8FF295" w:rsidR="00326640" w:rsidRPr="000B1E03" w:rsidRDefault="00326640" w:rsidP="00326640">
            <w:pPr>
              <w:tabs>
                <w:tab w:val="left" w:pos="720"/>
                <w:tab w:val="right" w:pos="7920"/>
              </w:tabs>
              <w:jc w:val="right"/>
              <w:rPr>
                <w:szCs w:val="24"/>
              </w:rPr>
            </w:pPr>
            <w:r w:rsidRPr="000B1E03">
              <w:rPr>
                <w:szCs w:val="24"/>
              </w:rPr>
              <w:t>-</w:t>
            </w:r>
          </w:p>
        </w:tc>
        <w:tc>
          <w:tcPr>
            <w:tcW w:w="2256" w:type="dxa"/>
            <w:vAlign w:val="center"/>
          </w:tcPr>
          <w:p w14:paraId="0A7F7448" w14:textId="35B58985" w:rsidR="00326640" w:rsidRPr="000B1E03" w:rsidRDefault="00326640" w:rsidP="00326640">
            <w:pPr>
              <w:tabs>
                <w:tab w:val="left" w:pos="720"/>
                <w:tab w:val="right" w:pos="7920"/>
              </w:tabs>
              <w:jc w:val="right"/>
              <w:rPr>
                <w:szCs w:val="24"/>
              </w:rPr>
            </w:pPr>
            <w:r w:rsidRPr="000B1E03">
              <w:rPr>
                <w:szCs w:val="24"/>
              </w:rPr>
              <w:t>41,028</w:t>
            </w:r>
          </w:p>
        </w:tc>
        <w:tc>
          <w:tcPr>
            <w:tcW w:w="2687" w:type="dxa"/>
            <w:vAlign w:val="center"/>
          </w:tcPr>
          <w:p w14:paraId="569CB2DD" w14:textId="39D8060B" w:rsidR="00326640" w:rsidRPr="000B1E03" w:rsidRDefault="00326640" w:rsidP="00326640">
            <w:pPr>
              <w:jc w:val="right"/>
              <w:rPr>
                <w:rFonts w:cs="Arial"/>
                <w:szCs w:val="24"/>
              </w:rPr>
            </w:pPr>
            <w:r w:rsidRPr="000B1E03">
              <w:rPr>
                <w:rFonts w:cs="Arial"/>
                <w:szCs w:val="24"/>
              </w:rPr>
              <w:t>15,427</w:t>
            </w:r>
          </w:p>
        </w:tc>
        <w:tc>
          <w:tcPr>
            <w:tcW w:w="1956" w:type="dxa"/>
            <w:vAlign w:val="center"/>
          </w:tcPr>
          <w:p w14:paraId="5486B7C7" w14:textId="77026029" w:rsidR="00326640" w:rsidRPr="000B1E03" w:rsidRDefault="00326640" w:rsidP="00326640">
            <w:pPr>
              <w:jc w:val="right"/>
              <w:rPr>
                <w:rFonts w:cs="Arial"/>
                <w:szCs w:val="24"/>
              </w:rPr>
            </w:pPr>
            <w:r w:rsidRPr="000B1E03">
              <w:rPr>
                <w:rFonts w:cs="Arial"/>
                <w:szCs w:val="24"/>
              </w:rPr>
              <w:t>56,455</w:t>
            </w:r>
          </w:p>
        </w:tc>
      </w:tr>
      <w:tr w:rsidR="00326640" w:rsidRPr="00D948C1" w14:paraId="6D812632" w14:textId="77777777" w:rsidTr="00326640">
        <w:tc>
          <w:tcPr>
            <w:tcW w:w="5987" w:type="dxa"/>
          </w:tcPr>
          <w:p w14:paraId="2C990267" w14:textId="1AD8BAE7" w:rsidR="00326640" w:rsidRPr="00D948C1" w:rsidRDefault="00326640" w:rsidP="00326640">
            <w:pPr>
              <w:tabs>
                <w:tab w:val="left" w:pos="720"/>
                <w:tab w:val="right" w:pos="7920"/>
              </w:tabs>
              <w:rPr>
                <w:szCs w:val="24"/>
              </w:rPr>
            </w:pPr>
            <w:r w:rsidRPr="000B1E03">
              <w:rPr>
                <w:szCs w:val="24"/>
              </w:rPr>
              <w:t>Director of Service Delivery – John Charters (to 4 January)</w:t>
            </w:r>
          </w:p>
        </w:tc>
        <w:tc>
          <w:tcPr>
            <w:tcW w:w="1134" w:type="dxa"/>
            <w:vAlign w:val="center"/>
          </w:tcPr>
          <w:p w14:paraId="04FDF0D4" w14:textId="5E8077D5" w:rsidR="00326640" w:rsidRPr="000B1E03" w:rsidRDefault="00326640" w:rsidP="00326640">
            <w:pPr>
              <w:tabs>
                <w:tab w:val="left" w:pos="1168"/>
                <w:tab w:val="right" w:pos="7920"/>
              </w:tabs>
              <w:jc w:val="right"/>
              <w:rPr>
                <w:szCs w:val="24"/>
              </w:rPr>
            </w:pPr>
            <w:r w:rsidRPr="000B1E03">
              <w:rPr>
                <w:szCs w:val="24"/>
              </w:rPr>
              <w:t>105,958</w:t>
            </w:r>
          </w:p>
        </w:tc>
        <w:tc>
          <w:tcPr>
            <w:tcW w:w="1434" w:type="dxa"/>
            <w:vAlign w:val="center"/>
          </w:tcPr>
          <w:p w14:paraId="1D0CAC77" w14:textId="77B8E330" w:rsidR="00326640" w:rsidRPr="000B1E03" w:rsidRDefault="00326640" w:rsidP="00326640">
            <w:pPr>
              <w:tabs>
                <w:tab w:val="left" w:pos="720"/>
                <w:tab w:val="right" w:pos="7920"/>
              </w:tabs>
              <w:jc w:val="right"/>
              <w:rPr>
                <w:szCs w:val="24"/>
              </w:rPr>
            </w:pPr>
            <w:r w:rsidRPr="000B1E03">
              <w:rPr>
                <w:szCs w:val="24"/>
              </w:rPr>
              <w:t>-</w:t>
            </w:r>
          </w:p>
        </w:tc>
        <w:tc>
          <w:tcPr>
            <w:tcW w:w="2256" w:type="dxa"/>
            <w:vAlign w:val="center"/>
          </w:tcPr>
          <w:p w14:paraId="0A411498" w14:textId="4C3227EB" w:rsidR="00326640" w:rsidRPr="000B1E03" w:rsidRDefault="00326640" w:rsidP="00326640">
            <w:pPr>
              <w:tabs>
                <w:tab w:val="left" w:pos="720"/>
                <w:tab w:val="right" w:pos="7920"/>
              </w:tabs>
              <w:jc w:val="right"/>
              <w:rPr>
                <w:szCs w:val="24"/>
              </w:rPr>
            </w:pPr>
            <w:r w:rsidRPr="000B1E03">
              <w:rPr>
                <w:szCs w:val="24"/>
              </w:rPr>
              <w:t>105,958</w:t>
            </w:r>
          </w:p>
        </w:tc>
        <w:tc>
          <w:tcPr>
            <w:tcW w:w="2687" w:type="dxa"/>
            <w:vAlign w:val="center"/>
          </w:tcPr>
          <w:p w14:paraId="7DBFCA01" w14:textId="1447B23F" w:rsidR="00326640" w:rsidRPr="000B1E03" w:rsidRDefault="00326640" w:rsidP="00326640">
            <w:pPr>
              <w:jc w:val="right"/>
              <w:rPr>
                <w:rFonts w:cs="Arial"/>
                <w:szCs w:val="24"/>
              </w:rPr>
            </w:pPr>
            <w:r w:rsidRPr="000B1E03">
              <w:rPr>
                <w:rFonts w:cs="Arial"/>
                <w:szCs w:val="24"/>
              </w:rPr>
              <w:t>39,840</w:t>
            </w:r>
          </w:p>
        </w:tc>
        <w:tc>
          <w:tcPr>
            <w:tcW w:w="1956" w:type="dxa"/>
            <w:vAlign w:val="center"/>
          </w:tcPr>
          <w:p w14:paraId="41B590CF" w14:textId="637D7F9A" w:rsidR="00326640" w:rsidRPr="000B1E03" w:rsidRDefault="00326640" w:rsidP="00326640">
            <w:pPr>
              <w:jc w:val="right"/>
              <w:rPr>
                <w:rFonts w:cs="Arial"/>
                <w:szCs w:val="24"/>
              </w:rPr>
            </w:pPr>
            <w:r w:rsidRPr="000B1E03">
              <w:rPr>
                <w:rFonts w:cs="Arial"/>
                <w:szCs w:val="24"/>
              </w:rPr>
              <w:t>145,798</w:t>
            </w:r>
          </w:p>
        </w:tc>
      </w:tr>
      <w:tr w:rsidR="00326640" w:rsidRPr="00D948C1" w14:paraId="38D36A4D" w14:textId="77777777" w:rsidTr="00326640">
        <w:tc>
          <w:tcPr>
            <w:tcW w:w="5987" w:type="dxa"/>
          </w:tcPr>
          <w:p w14:paraId="0EA33392" w14:textId="560A2EA4" w:rsidR="00326640" w:rsidRPr="00D948C1" w:rsidRDefault="00326640" w:rsidP="00326640">
            <w:pPr>
              <w:tabs>
                <w:tab w:val="left" w:pos="720"/>
                <w:tab w:val="right" w:pos="7920"/>
              </w:tabs>
              <w:rPr>
                <w:szCs w:val="24"/>
              </w:rPr>
            </w:pPr>
            <w:r w:rsidRPr="000B1E03">
              <w:rPr>
                <w:szCs w:val="24"/>
              </w:rPr>
              <w:t>Director of Service Delivery – Samantha Pink (from 3 February)</w:t>
            </w:r>
          </w:p>
        </w:tc>
        <w:tc>
          <w:tcPr>
            <w:tcW w:w="1134" w:type="dxa"/>
            <w:vAlign w:val="center"/>
          </w:tcPr>
          <w:p w14:paraId="25FE0EA1" w14:textId="6C3BD5FF" w:rsidR="00326640" w:rsidRPr="001578FE" w:rsidRDefault="00326640" w:rsidP="00326640">
            <w:pPr>
              <w:tabs>
                <w:tab w:val="left" w:pos="1168"/>
                <w:tab w:val="right" w:pos="7920"/>
              </w:tabs>
              <w:jc w:val="right"/>
              <w:rPr>
                <w:szCs w:val="24"/>
              </w:rPr>
            </w:pPr>
            <w:r w:rsidRPr="000B1E03">
              <w:rPr>
                <w:szCs w:val="24"/>
              </w:rPr>
              <w:t>21,813</w:t>
            </w:r>
          </w:p>
        </w:tc>
        <w:tc>
          <w:tcPr>
            <w:tcW w:w="1434" w:type="dxa"/>
            <w:vAlign w:val="center"/>
          </w:tcPr>
          <w:p w14:paraId="1E83FEDF" w14:textId="23E54008"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48D57652" w14:textId="3117D1EB" w:rsidR="00326640" w:rsidRPr="001578FE" w:rsidRDefault="00326640" w:rsidP="00326640">
            <w:pPr>
              <w:tabs>
                <w:tab w:val="left" w:pos="1168"/>
                <w:tab w:val="right" w:pos="7920"/>
              </w:tabs>
              <w:jc w:val="right"/>
              <w:rPr>
                <w:szCs w:val="24"/>
              </w:rPr>
            </w:pPr>
            <w:r w:rsidRPr="000B1E03">
              <w:rPr>
                <w:szCs w:val="24"/>
              </w:rPr>
              <w:t>21,813</w:t>
            </w:r>
          </w:p>
        </w:tc>
        <w:tc>
          <w:tcPr>
            <w:tcW w:w="2687" w:type="dxa"/>
            <w:vAlign w:val="center"/>
          </w:tcPr>
          <w:p w14:paraId="4029024E" w14:textId="2BC9A98B" w:rsidR="00326640" w:rsidRPr="00326640" w:rsidRDefault="00326640" w:rsidP="00326640">
            <w:pPr>
              <w:jc w:val="right"/>
              <w:rPr>
                <w:szCs w:val="24"/>
              </w:rPr>
            </w:pPr>
            <w:r w:rsidRPr="00326640">
              <w:rPr>
                <w:szCs w:val="24"/>
              </w:rPr>
              <w:t>8,202</w:t>
            </w:r>
          </w:p>
        </w:tc>
        <w:tc>
          <w:tcPr>
            <w:tcW w:w="1956" w:type="dxa"/>
            <w:vAlign w:val="center"/>
          </w:tcPr>
          <w:p w14:paraId="004A2E00" w14:textId="4F19A95D" w:rsidR="00326640" w:rsidRPr="00326640" w:rsidRDefault="00326640" w:rsidP="00326640">
            <w:pPr>
              <w:jc w:val="right"/>
              <w:rPr>
                <w:szCs w:val="24"/>
              </w:rPr>
            </w:pPr>
            <w:r w:rsidRPr="00326640">
              <w:rPr>
                <w:szCs w:val="24"/>
              </w:rPr>
              <w:t>30,015</w:t>
            </w:r>
          </w:p>
        </w:tc>
      </w:tr>
      <w:tr w:rsidR="00326640" w:rsidRPr="00D948C1" w14:paraId="696F6AE6" w14:textId="77777777" w:rsidTr="00326640">
        <w:tc>
          <w:tcPr>
            <w:tcW w:w="5987" w:type="dxa"/>
          </w:tcPr>
          <w:p w14:paraId="47405158" w14:textId="1291F6F0" w:rsidR="00326640" w:rsidRPr="00D948C1" w:rsidRDefault="00326640" w:rsidP="00326640">
            <w:pPr>
              <w:tabs>
                <w:tab w:val="left" w:pos="720"/>
                <w:tab w:val="right" w:pos="7920"/>
              </w:tabs>
              <w:rPr>
                <w:szCs w:val="24"/>
              </w:rPr>
            </w:pPr>
            <w:r w:rsidRPr="000B1E03">
              <w:rPr>
                <w:szCs w:val="24"/>
              </w:rPr>
              <w:t>Director of Strategy &amp; Planning – Steve Healey</w:t>
            </w:r>
          </w:p>
        </w:tc>
        <w:tc>
          <w:tcPr>
            <w:tcW w:w="1134" w:type="dxa"/>
            <w:vAlign w:val="center"/>
          </w:tcPr>
          <w:p w14:paraId="097D79CF" w14:textId="161475C3" w:rsidR="00326640" w:rsidRPr="001578FE" w:rsidRDefault="00326640" w:rsidP="00326640">
            <w:pPr>
              <w:tabs>
                <w:tab w:val="left" w:pos="720"/>
                <w:tab w:val="right" w:pos="7920"/>
              </w:tabs>
              <w:jc w:val="right"/>
              <w:rPr>
                <w:szCs w:val="24"/>
              </w:rPr>
            </w:pPr>
            <w:r w:rsidRPr="000B1E03">
              <w:rPr>
                <w:szCs w:val="24"/>
              </w:rPr>
              <w:t>164,972</w:t>
            </w:r>
          </w:p>
        </w:tc>
        <w:tc>
          <w:tcPr>
            <w:tcW w:w="1434" w:type="dxa"/>
            <w:vAlign w:val="center"/>
          </w:tcPr>
          <w:p w14:paraId="2DB6AFB3" w14:textId="6D599345"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547F3407" w14:textId="0F3B1E26" w:rsidR="00326640" w:rsidRPr="001578FE" w:rsidRDefault="00326640" w:rsidP="00326640">
            <w:pPr>
              <w:tabs>
                <w:tab w:val="left" w:pos="720"/>
                <w:tab w:val="right" w:pos="7920"/>
              </w:tabs>
              <w:jc w:val="right"/>
              <w:rPr>
                <w:szCs w:val="24"/>
              </w:rPr>
            </w:pPr>
            <w:r w:rsidRPr="000B1E03">
              <w:rPr>
                <w:szCs w:val="24"/>
              </w:rPr>
              <w:t>164,972</w:t>
            </w:r>
          </w:p>
        </w:tc>
        <w:tc>
          <w:tcPr>
            <w:tcW w:w="2687" w:type="dxa"/>
            <w:vAlign w:val="center"/>
          </w:tcPr>
          <w:p w14:paraId="2EFBCDC1" w14:textId="2B209AA1" w:rsidR="00326640" w:rsidRPr="00326640" w:rsidRDefault="00326640" w:rsidP="00326640">
            <w:pPr>
              <w:tabs>
                <w:tab w:val="left" w:pos="720"/>
                <w:tab w:val="right" w:pos="7920"/>
              </w:tabs>
              <w:jc w:val="right"/>
              <w:rPr>
                <w:szCs w:val="24"/>
              </w:rPr>
            </w:pPr>
            <w:r w:rsidRPr="00326640">
              <w:rPr>
                <w:szCs w:val="24"/>
              </w:rPr>
              <w:t>62,030</w:t>
            </w:r>
          </w:p>
        </w:tc>
        <w:tc>
          <w:tcPr>
            <w:tcW w:w="1956" w:type="dxa"/>
            <w:vAlign w:val="center"/>
          </w:tcPr>
          <w:p w14:paraId="0D113D75" w14:textId="4490F67F" w:rsidR="00326640" w:rsidRPr="00326640" w:rsidRDefault="00326640" w:rsidP="00326640">
            <w:pPr>
              <w:tabs>
                <w:tab w:val="left" w:pos="720"/>
                <w:tab w:val="right" w:pos="7920"/>
              </w:tabs>
              <w:jc w:val="right"/>
              <w:rPr>
                <w:szCs w:val="24"/>
              </w:rPr>
            </w:pPr>
            <w:r w:rsidRPr="00326640">
              <w:rPr>
                <w:szCs w:val="24"/>
              </w:rPr>
              <w:t>227,002</w:t>
            </w:r>
          </w:p>
        </w:tc>
      </w:tr>
      <w:tr w:rsidR="00326640" w:rsidRPr="00D948C1" w14:paraId="259D2F1B" w14:textId="77777777" w:rsidTr="00326640">
        <w:tc>
          <w:tcPr>
            <w:tcW w:w="5987" w:type="dxa"/>
          </w:tcPr>
          <w:p w14:paraId="41A5B49B" w14:textId="084D375D" w:rsidR="00326640" w:rsidRPr="00D948C1" w:rsidRDefault="00326640" w:rsidP="00326640">
            <w:pPr>
              <w:tabs>
                <w:tab w:val="left" w:pos="720"/>
                <w:tab w:val="right" w:pos="7920"/>
              </w:tabs>
              <w:rPr>
                <w:szCs w:val="24"/>
              </w:rPr>
            </w:pPr>
            <w:r w:rsidRPr="000B1E03">
              <w:rPr>
                <w:szCs w:val="24"/>
              </w:rPr>
              <w:t>Director of People &amp; Development – Robert Warren (to 31 July)</w:t>
            </w:r>
          </w:p>
        </w:tc>
        <w:tc>
          <w:tcPr>
            <w:tcW w:w="1134" w:type="dxa"/>
            <w:vAlign w:val="center"/>
          </w:tcPr>
          <w:p w14:paraId="0D0E71A2" w14:textId="15519A5E" w:rsidR="00326640" w:rsidRPr="001578FE" w:rsidRDefault="00326640" w:rsidP="00326640">
            <w:pPr>
              <w:tabs>
                <w:tab w:val="left" w:pos="720"/>
                <w:tab w:val="right" w:pos="7920"/>
              </w:tabs>
              <w:jc w:val="right"/>
              <w:rPr>
                <w:szCs w:val="24"/>
              </w:rPr>
            </w:pPr>
            <w:r w:rsidRPr="000B1E03">
              <w:rPr>
                <w:szCs w:val="24"/>
              </w:rPr>
              <w:t>36,191</w:t>
            </w:r>
          </w:p>
        </w:tc>
        <w:tc>
          <w:tcPr>
            <w:tcW w:w="1434" w:type="dxa"/>
            <w:vAlign w:val="center"/>
          </w:tcPr>
          <w:p w14:paraId="7E2A06B9" w14:textId="769BC8BC"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2D50F439" w14:textId="5170C42A" w:rsidR="00326640" w:rsidRPr="001578FE" w:rsidRDefault="00326640" w:rsidP="00326640">
            <w:pPr>
              <w:tabs>
                <w:tab w:val="left" w:pos="720"/>
                <w:tab w:val="right" w:pos="7920"/>
              </w:tabs>
              <w:jc w:val="right"/>
              <w:rPr>
                <w:szCs w:val="24"/>
              </w:rPr>
            </w:pPr>
            <w:r w:rsidRPr="000B1E03">
              <w:rPr>
                <w:szCs w:val="24"/>
              </w:rPr>
              <w:t>36,191</w:t>
            </w:r>
          </w:p>
        </w:tc>
        <w:tc>
          <w:tcPr>
            <w:tcW w:w="2687" w:type="dxa"/>
            <w:vAlign w:val="center"/>
          </w:tcPr>
          <w:p w14:paraId="15B602DB" w14:textId="6E226070" w:rsidR="00326640" w:rsidRPr="001578FE" w:rsidRDefault="00326640" w:rsidP="00326640">
            <w:pPr>
              <w:tabs>
                <w:tab w:val="left" w:pos="720"/>
                <w:tab w:val="right" w:pos="7920"/>
              </w:tabs>
              <w:jc w:val="right"/>
              <w:rPr>
                <w:szCs w:val="24"/>
              </w:rPr>
            </w:pPr>
            <w:r w:rsidRPr="00326640">
              <w:rPr>
                <w:szCs w:val="24"/>
              </w:rPr>
              <w:t>1,050</w:t>
            </w:r>
          </w:p>
        </w:tc>
        <w:tc>
          <w:tcPr>
            <w:tcW w:w="1956" w:type="dxa"/>
            <w:vAlign w:val="center"/>
          </w:tcPr>
          <w:p w14:paraId="02983E5D" w14:textId="37DA9915" w:rsidR="00326640" w:rsidRPr="00326640" w:rsidRDefault="00326640" w:rsidP="00326640">
            <w:pPr>
              <w:tabs>
                <w:tab w:val="left" w:pos="720"/>
                <w:tab w:val="right" w:pos="7920"/>
              </w:tabs>
              <w:jc w:val="right"/>
              <w:rPr>
                <w:szCs w:val="24"/>
              </w:rPr>
            </w:pPr>
            <w:r w:rsidRPr="00326640">
              <w:rPr>
                <w:szCs w:val="24"/>
              </w:rPr>
              <w:t>37,241</w:t>
            </w:r>
          </w:p>
        </w:tc>
      </w:tr>
      <w:tr w:rsidR="00326640" w:rsidRPr="00D948C1" w14:paraId="7D79292E" w14:textId="77777777" w:rsidTr="00326640">
        <w:tc>
          <w:tcPr>
            <w:tcW w:w="5987" w:type="dxa"/>
          </w:tcPr>
          <w:p w14:paraId="1A24F6EE" w14:textId="582F7FC9" w:rsidR="00326640" w:rsidRPr="00D948C1" w:rsidRDefault="00326640" w:rsidP="00326640">
            <w:pPr>
              <w:tabs>
                <w:tab w:val="left" w:pos="720"/>
                <w:tab w:val="right" w:pos="7920"/>
              </w:tabs>
              <w:rPr>
                <w:szCs w:val="24"/>
              </w:rPr>
            </w:pPr>
            <w:r w:rsidRPr="000B1E03">
              <w:rPr>
                <w:szCs w:val="24"/>
              </w:rPr>
              <w:t>Director of People &amp; Development – Elizabeth Sandiford (from 1 August)</w:t>
            </w:r>
          </w:p>
        </w:tc>
        <w:tc>
          <w:tcPr>
            <w:tcW w:w="1134" w:type="dxa"/>
            <w:vAlign w:val="center"/>
          </w:tcPr>
          <w:p w14:paraId="1721C3F5" w14:textId="314634F6" w:rsidR="00326640" w:rsidRPr="001578FE" w:rsidRDefault="00326640" w:rsidP="00326640">
            <w:pPr>
              <w:tabs>
                <w:tab w:val="left" w:pos="720"/>
                <w:tab w:val="right" w:pos="7920"/>
              </w:tabs>
              <w:jc w:val="right"/>
              <w:rPr>
                <w:szCs w:val="24"/>
              </w:rPr>
            </w:pPr>
            <w:r w:rsidRPr="000B1E03">
              <w:rPr>
                <w:szCs w:val="24"/>
              </w:rPr>
              <w:t>63,981</w:t>
            </w:r>
          </w:p>
        </w:tc>
        <w:tc>
          <w:tcPr>
            <w:tcW w:w="1434" w:type="dxa"/>
            <w:vAlign w:val="center"/>
          </w:tcPr>
          <w:p w14:paraId="05674A06" w14:textId="6D6A8D44"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668F8E9C" w14:textId="2BBA69FB" w:rsidR="00326640" w:rsidRPr="001578FE" w:rsidRDefault="00326640" w:rsidP="00326640">
            <w:pPr>
              <w:tabs>
                <w:tab w:val="left" w:pos="720"/>
                <w:tab w:val="right" w:pos="7920"/>
              </w:tabs>
              <w:jc w:val="right"/>
              <w:rPr>
                <w:szCs w:val="24"/>
              </w:rPr>
            </w:pPr>
            <w:r w:rsidRPr="000B1E03">
              <w:rPr>
                <w:szCs w:val="24"/>
              </w:rPr>
              <w:t>63,981</w:t>
            </w:r>
          </w:p>
        </w:tc>
        <w:tc>
          <w:tcPr>
            <w:tcW w:w="2687" w:type="dxa"/>
            <w:vAlign w:val="center"/>
          </w:tcPr>
          <w:p w14:paraId="2C5EECFC" w14:textId="29809AD3" w:rsidR="00326640" w:rsidRPr="001578FE" w:rsidRDefault="00326640" w:rsidP="00326640">
            <w:pPr>
              <w:tabs>
                <w:tab w:val="left" w:pos="720"/>
                <w:tab w:val="right" w:pos="7920"/>
              </w:tabs>
              <w:jc w:val="right"/>
              <w:rPr>
                <w:szCs w:val="24"/>
              </w:rPr>
            </w:pPr>
            <w:r w:rsidRPr="00326640">
              <w:rPr>
                <w:szCs w:val="24"/>
              </w:rPr>
              <w:t>1,855</w:t>
            </w:r>
          </w:p>
        </w:tc>
        <w:tc>
          <w:tcPr>
            <w:tcW w:w="1956" w:type="dxa"/>
            <w:vAlign w:val="center"/>
          </w:tcPr>
          <w:p w14:paraId="50B6521E" w14:textId="45C065EC" w:rsidR="00326640" w:rsidRPr="00326640" w:rsidRDefault="00326640" w:rsidP="00326640">
            <w:pPr>
              <w:tabs>
                <w:tab w:val="left" w:pos="720"/>
                <w:tab w:val="right" w:pos="7920"/>
              </w:tabs>
              <w:jc w:val="right"/>
              <w:rPr>
                <w:szCs w:val="24"/>
              </w:rPr>
            </w:pPr>
            <w:r w:rsidRPr="00326640">
              <w:rPr>
                <w:szCs w:val="24"/>
              </w:rPr>
              <w:t>65,836</w:t>
            </w:r>
          </w:p>
        </w:tc>
      </w:tr>
      <w:tr w:rsidR="00326640" w:rsidRPr="00D948C1" w14:paraId="67FAD171" w14:textId="77777777" w:rsidTr="00326640">
        <w:tc>
          <w:tcPr>
            <w:tcW w:w="5987" w:type="dxa"/>
          </w:tcPr>
          <w:p w14:paraId="2C2DB336" w14:textId="0112DD57" w:rsidR="00326640" w:rsidRPr="00D948C1" w:rsidRDefault="00326640" w:rsidP="00326640">
            <w:pPr>
              <w:tabs>
                <w:tab w:val="left" w:pos="720"/>
                <w:tab w:val="right" w:pos="7920"/>
              </w:tabs>
              <w:rPr>
                <w:szCs w:val="24"/>
              </w:rPr>
            </w:pPr>
            <w:r w:rsidRPr="000B1E03">
              <w:rPr>
                <w:szCs w:val="24"/>
              </w:rPr>
              <w:t>Director of Corporate Services – Steven Brown</w:t>
            </w:r>
          </w:p>
        </w:tc>
        <w:tc>
          <w:tcPr>
            <w:tcW w:w="1134" w:type="dxa"/>
            <w:vAlign w:val="center"/>
          </w:tcPr>
          <w:p w14:paraId="7040EEDD" w14:textId="4BC1F479" w:rsidR="00326640" w:rsidRPr="001578FE" w:rsidRDefault="00326640" w:rsidP="00326640">
            <w:pPr>
              <w:tabs>
                <w:tab w:val="left" w:pos="720"/>
                <w:tab w:val="right" w:pos="7920"/>
              </w:tabs>
              <w:jc w:val="right"/>
              <w:rPr>
                <w:szCs w:val="24"/>
              </w:rPr>
            </w:pPr>
            <w:r w:rsidRPr="000B1E03">
              <w:rPr>
                <w:szCs w:val="24"/>
              </w:rPr>
              <w:t>99,342</w:t>
            </w:r>
          </w:p>
        </w:tc>
        <w:tc>
          <w:tcPr>
            <w:tcW w:w="1434" w:type="dxa"/>
            <w:vAlign w:val="center"/>
          </w:tcPr>
          <w:p w14:paraId="061882BC" w14:textId="6ACCA3B1"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755C0FE1" w14:textId="47B0AB85" w:rsidR="00326640" w:rsidRPr="001578FE" w:rsidRDefault="00326640" w:rsidP="00326640">
            <w:pPr>
              <w:tabs>
                <w:tab w:val="left" w:pos="720"/>
                <w:tab w:val="right" w:pos="7920"/>
              </w:tabs>
              <w:jc w:val="right"/>
              <w:rPr>
                <w:szCs w:val="24"/>
              </w:rPr>
            </w:pPr>
            <w:r w:rsidRPr="000B1E03">
              <w:rPr>
                <w:szCs w:val="24"/>
              </w:rPr>
              <w:t>99,342</w:t>
            </w:r>
          </w:p>
        </w:tc>
        <w:tc>
          <w:tcPr>
            <w:tcW w:w="2687" w:type="dxa"/>
            <w:vAlign w:val="center"/>
          </w:tcPr>
          <w:p w14:paraId="67DA23AC" w14:textId="5FB0EEA6" w:rsidR="00326640" w:rsidRPr="001578FE" w:rsidRDefault="00326640" w:rsidP="00326640">
            <w:pPr>
              <w:tabs>
                <w:tab w:val="left" w:pos="720"/>
                <w:tab w:val="right" w:pos="7920"/>
              </w:tabs>
              <w:jc w:val="right"/>
              <w:rPr>
                <w:szCs w:val="24"/>
              </w:rPr>
            </w:pPr>
            <w:r w:rsidRPr="00326640">
              <w:rPr>
                <w:szCs w:val="24"/>
              </w:rPr>
              <w:t>2,881</w:t>
            </w:r>
          </w:p>
        </w:tc>
        <w:tc>
          <w:tcPr>
            <w:tcW w:w="1956" w:type="dxa"/>
            <w:vAlign w:val="center"/>
          </w:tcPr>
          <w:p w14:paraId="36975DEB" w14:textId="21C02E46" w:rsidR="00326640" w:rsidRPr="00326640" w:rsidRDefault="00326640" w:rsidP="00326640">
            <w:pPr>
              <w:tabs>
                <w:tab w:val="left" w:pos="720"/>
                <w:tab w:val="right" w:pos="7920"/>
              </w:tabs>
              <w:jc w:val="right"/>
              <w:rPr>
                <w:szCs w:val="24"/>
              </w:rPr>
            </w:pPr>
            <w:r w:rsidRPr="00326640">
              <w:rPr>
                <w:szCs w:val="24"/>
              </w:rPr>
              <w:t>102,223</w:t>
            </w:r>
          </w:p>
        </w:tc>
      </w:tr>
      <w:tr w:rsidR="00326640" w:rsidRPr="00D948C1" w14:paraId="6A827045" w14:textId="77777777" w:rsidTr="00326640">
        <w:tc>
          <w:tcPr>
            <w:tcW w:w="5987" w:type="dxa"/>
          </w:tcPr>
          <w:p w14:paraId="176F3147" w14:textId="190053A9" w:rsidR="00326640" w:rsidRPr="00D948C1" w:rsidRDefault="00326640" w:rsidP="00326640">
            <w:pPr>
              <w:tabs>
                <w:tab w:val="left" w:pos="720"/>
                <w:tab w:val="right" w:pos="7920"/>
              </w:tabs>
              <w:rPr>
                <w:szCs w:val="24"/>
              </w:rPr>
            </w:pPr>
            <w:r w:rsidRPr="000B1E03">
              <w:rPr>
                <w:szCs w:val="24"/>
              </w:rPr>
              <w:t>Total</w:t>
            </w:r>
          </w:p>
        </w:tc>
        <w:tc>
          <w:tcPr>
            <w:tcW w:w="1134" w:type="dxa"/>
            <w:vAlign w:val="center"/>
          </w:tcPr>
          <w:p w14:paraId="1FC22312" w14:textId="6B0577AD" w:rsidR="00326640" w:rsidRPr="001578FE" w:rsidRDefault="00326640" w:rsidP="00326640">
            <w:pPr>
              <w:tabs>
                <w:tab w:val="left" w:pos="720"/>
                <w:tab w:val="right" w:pos="7920"/>
              </w:tabs>
              <w:jc w:val="right"/>
              <w:rPr>
                <w:szCs w:val="24"/>
              </w:rPr>
            </w:pPr>
            <w:r w:rsidRPr="000B1E03">
              <w:rPr>
                <w:szCs w:val="24"/>
              </w:rPr>
              <w:t>667,673</w:t>
            </w:r>
          </w:p>
        </w:tc>
        <w:tc>
          <w:tcPr>
            <w:tcW w:w="1434" w:type="dxa"/>
            <w:vAlign w:val="center"/>
          </w:tcPr>
          <w:p w14:paraId="75C83ECE" w14:textId="18E80813" w:rsidR="00326640" w:rsidRPr="001578FE" w:rsidRDefault="00326640" w:rsidP="00326640">
            <w:pPr>
              <w:tabs>
                <w:tab w:val="left" w:pos="720"/>
                <w:tab w:val="right" w:pos="7920"/>
              </w:tabs>
              <w:jc w:val="right"/>
              <w:rPr>
                <w:szCs w:val="24"/>
              </w:rPr>
            </w:pPr>
            <w:r w:rsidRPr="000B1E03">
              <w:rPr>
                <w:szCs w:val="24"/>
              </w:rPr>
              <w:t>-</w:t>
            </w:r>
          </w:p>
        </w:tc>
        <w:tc>
          <w:tcPr>
            <w:tcW w:w="2256" w:type="dxa"/>
            <w:vAlign w:val="center"/>
          </w:tcPr>
          <w:p w14:paraId="1E1E59CD" w14:textId="15993CA4" w:rsidR="00326640" w:rsidRPr="001578FE" w:rsidRDefault="00326640" w:rsidP="00326640">
            <w:pPr>
              <w:tabs>
                <w:tab w:val="left" w:pos="720"/>
                <w:tab w:val="right" w:pos="7920"/>
              </w:tabs>
              <w:jc w:val="right"/>
              <w:rPr>
                <w:szCs w:val="24"/>
              </w:rPr>
            </w:pPr>
            <w:r w:rsidRPr="000B1E03">
              <w:rPr>
                <w:szCs w:val="24"/>
              </w:rPr>
              <w:t>66</w:t>
            </w:r>
            <w:r>
              <w:rPr>
                <w:szCs w:val="24"/>
              </w:rPr>
              <w:t>7,</w:t>
            </w:r>
            <w:r w:rsidRPr="000B1E03">
              <w:rPr>
                <w:szCs w:val="24"/>
              </w:rPr>
              <w:t>673</w:t>
            </w:r>
          </w:p>
        </w:tc>
        <w:tc>
          <w:tcPr>
            <w:tcW w:w="2687" w:type="dxa"/>
            <w:vAlign w:val="center"/>
          </w:tcPr>
          <w:p w14:paraId="0D67D5C8" w14:textId="5DBF4F3A" w:rsidR="00326640" w:rsidRPr="001578FE" w:rsidRDefault="00326640" w:rsidP="00326640">
            <w:pPr>
              <w:tabs>
                <w:tab w:val="left" w:pos="720"/>
                <w:tab w:val="right" w:pos="7920"/>
              </w:tabs>
              <w:jc w:val="right"/>
              <w:rPr>
                <w:szCs w:val="24"/>
              </w:rPr>
            </w:pPr>
            <w:r w:rsidRPr="00326640">
              <w:rPr>
                <w:szCs w:val="24"/>
              </w:rPr>
              <w:t>181,814</w:t>
            </w:r>
          </w:p>
        </w:tc>
        <w:tc>
          <w:tcPr>
            <w:tcW w:w="1956" w:type="dxa"/>
            <w:vAlign w:val="center"/>
          </w:tcPr>
          <w:p w14:paraId="638117FF" w14:textId="6FCA3102" w:rsidR="00326640" w:rsidRPr="001578FE" w:rsidRDefault="00326640" w:rsidP="00326640">
            <w:pPr>
              <w:tabs>
                <w:tab w:val="left" w:pos="720"/>
                <w:tab w:val="right" w:pos="7920"/>
              </w:tabs>
              <w:jc w:val="right"/>
              <w:rPr>
                <w:szCs w:val="24"/>
              </w:rPr>
            </w:pPr>
            <w:r w:rsidRPr="00326640">
              <w:rPr>
                <w:szCs w:val="24"/>
              </w:rPr>
              <w:t>849,487</w:t>
            </w:r>
          </w:p>
        </w:tc>
      </w:tr>
    </w:tbl>
    <w:p w14:paraId="449DC5C7" w14:textId="77777777" w:rsidR="00BE3C0F" w:rsidRPr="00D948C1" w:rsidRDefault="00BE3C0F" w:rsidP="00FA71D8">
      <w:pPr>
        <w:pStyle w:val="Heading3"/>
        <w:ind w:firstLine="720"/>
        <w:rPr>
          <w:sz w:val="23"/>
          <w:szCs w:val="23"/>
        </w:rPr>
        <w:sectPr w:rsidR="00BE3C0F" w:rsidRPr="00D948C1" w:rsidSect="0050229D">
          <w:pgSz w:w="16840" w:h="11907" w:orient="landscape" w:code="9"/>
          <w:pgMar w:top="567" w:right="454" w:bottom="567" w:left="397" w:header="720" w:footer="720" w:gutter="0"/>
          <w:cols w:space="720"/>
          <w:docGrid w:linePitch="326"/>
        </w:sectPr>
      </w:pPr>
    </w:p>
    <w:p w14:paraId="02E40330" w14:textId="77777777" w:rsidR="002035C7" w:rsidRPr="00D948C1" w:rsidRDefault="002035C7" w:rsidP="003278CF">
      <w:pPr>
        <w:ind w:firstLine="720"/>
        <w:rPr>
          <w:b/>
          <w:bCs/>
        </w:rPr>
      </w:pPr>
      <w:r w:rsidRPr="00D948C1">
        <w:rPr>
          <w:b/>
          <w:bCs/>
        </w:rPr>
        <w:lastRenderedPageBreak/>
        <w:t>Exit Packages</w:t>
      </w:r>
    </w:p>
    <w:p w14:paraId="005B0BCD" w14:textId="77777777" w:rsidR="002035C7" w:rsidRPr="00D948C1" w:rsidRDefault="002035C7" w:rsidP="00FA71D8">
      <w:pPr>
        <w:ind w:left="720"/>
        <w:rPr>
          <w:sz w:val="22"/>
        </w:rPr>
      </w:pPr>
    </w:p>
    <w:p w14:paraId="2125E16C" w14:textId="0B50F8C4" w:rsidR="001937A3" w:rsidRPr="00BD2C0D" w:rsidRDefault="007B5A51" w:rsidP="77119DA7">
      <w:pPr>
        <w:ind w:left="720"/>
      </w:pPr>
      <w:r>
        <w:t xml:space="preserve">In </w:t>
      </w:r>
      <w:r w:rsidR="001A42DD">
        <w:t>2025-26</w:t>
      </w:r>
      <w:r>
        <w:t xml:space="preserve"> t</w:t>
      </w:r>
      <w:r w:rsidR="00794E08">
        <w:t>here w</w:t>
      </w:r>
      <w:r w:rsidR="006024FD">
        <w:t>ere</w:t>
      </w:r>
      <w:r w:rsidR="00C956D9">
        <w:t xml:space="preserve"> </w:t>
      </w:r>
      <w:r w:rsidR="00C8141B">
        <w:t>no</w:t>
      </w:r>
      <w:r w:rsidR="00C956D9">
        <w:t xml:space="preserve"> </w:t>
      </w:r>
      <w:r>
        <w:t>redundanc</w:t>
      </w:r>
      <w:r w:rsidR="00C8141B">
        <w:t>ies</w:t>
      </w:r>
      <w:r w:rsidR="1F772757">
        <w:t xml:space="preserve">. </w:t>
      </w:r>
      <w:r w:rsidR="00B75FA2">
        <w:t xml:space="preserve">In </w:t>
      </w:r>
      <w:r w:rsidR="001A42DD">
        <w:t>2024-25</w:t>
      </w:r>
      <w:r w:rsidR="00B75FA2">
        <w:t xml:space="preserve"> there was one compulsory redundancy in the banding of £20</w:t>
      </w:r>
      <w:r w:rsidR="007C50C9">
        <w:t xml:space="preserve"> thousand to </w:t>
      </w:r>
      <w:r w:rsidR="00B75FA2">
        <w:t>£40</w:t>
      </w:r>
      <w:r w:rsidR="007C50C9">
        <w:t xml:space="preserve"> thousand</w:t>
      </w:r>
      <w:r w:rsidR="00B75FA2">
        <w:t>.</w:t>
      </w:r>
    </w:p>
    <w:p w14:paraId="00C01FD0" w14:textId="77777777" w:rsidR="00C7098F" w:rsidRPr="00D948C1" w:rsidRDefault="00C7098F" w:rsidP="00C7098F">
      <w:pPr>
        <w:ind w:left="720"/>
        <w:rPr>
          <w:b/>
          <w:sz w:val="22"/>
        </w:rPr>
      </w:pPr>
    </w:p>
    <w:p w14:paraId="4545A3D5" w14:textId="77777777" w:rsidR="00D90216" w:rsidRPr="00D948C1" w:rsidRDefault="00C72C44" w:rsidP="00FA71D8">
      <w:pPr>
        <w:pStyle w:val="Heading2"/>
        <w:jc w:val="left"/>
        <w:rPr>
          <w:sz w:val="24"/>
          <w:szCs w:val="24"/>
        </w:rPr>
      </w:pPr>
      <w:bookmarkStart w:id="28" w:name="_Toc233717523"/>
      <w:r w:rsidRPr="00D948C1">
        <w:rPr>
          <w:sz w:val="24"/>
          <w:szCs w:val="24"/>
        </w:rPr>
        <w:t>4</w:t>
      </w:r>
      <w:r w:rsidR="00D90216" w:rsidRPr="00D948C1">
        <w:rPr>
          <w:sz w:val="24"/>
          <w:szCs w:val="24"/>
        </w:rPr>
        <w:tab/>
        <w:t>External Auditors Fees</w:t>
      </w:r>
      <w:bookmarkEnd w:id="28"/>
    </w:p>
    <w:p w14:paraId="1BAAF3AE" w14:textId="77777777" w:rsidR="00D90216" w:rsidRPr="00D948C1" w:rsidRDefault="00D90216" w:rsidP="00FA71D8">
      <w:pPr>
        <w:rPr>
          <w:b/>
          <w:sz w:val="22"/>
        </w:rPr>
      </w:pPr>
    </w:p>
    <w:p w14:paraId="75B6C54E" w14:textId="67C0BE29" w:rsidR="00D90216" w:rsidRPr="00D948C1" w:rsidRDefault="00D90216" w:rsidP="77119DA7">
      <w:pPr>
        <w:pStyle w:val="BodyTextIndent"/>
        <w:rPr>
          <w:lang w:val="en-GB"/>
        </w:rPr>
      </w:pPr>
      <w:r w:rsidRPr="009A76EB">
        <w:rPr>
          <w:lang w:val="en-GB"/>
        </w:rPr>
        <w:t xml:space="preserve">In </w:t>
      </w:r>
      <w:r w:rsidR="001A42DD">
        <w:rPr>
          <w:caps/>
          <w:lang w:val="en-GB"/>
        </w:rPr>
        <w:t>2025-26</w:t>
      </w:r>
      <w:r w:rsidRPr="009A76EB">
        <w:rPr>
          <w:lang w:val="en-GB"/>
        </w:rPr>
        <w:t>, the Fire Authority paid a total of £0.</w:t>
      </w:r>
      <w:r w:rsidR="00A34243" w:rsidRPr="009A76EB">
        <w:rPr>
          <w:lang w:val="en-GB"/>
        </w:rPr>
        <w:t>10</w:t>
      </w:r>
      <w:r w:rsidR="000E7C3B" w:rsidRPr="009A76EB">
        <w:rPr>
          <w:lang w:val="en-GB"/>
        </w:rPr>
        <w:t>6</w:t>
      </w:r>
      <w:r w:rsidR="00920CF8">
        <w:rPr>
          <w:lang w:val="en-GB"/>
        </w:rPr>
        <w:t xml:space="preserve"> </w:t>
      </w:r>
      <w:r w:rsidR="00C91FE8" w:rsidRPr="009A76EB">
        <w:rPr>
          <w:lang w:val="en-GB"/>
        </w:rPr>
        <w:t>m</w:t>
      </w:r>
      <w:r w:rsidR="00920CF8">
        <w:rPr>
          <w:lang w:val="en-GB"/>
        </w:rPr>
        <w:t>illion</w:t>
      </w:r>
      <w:r w:rsidR="00C91FE8" w:rsidRPr="009A76EB">
        <w:rPr>
          <w:lang w:val="en-GB"/>
        </w:rPr>
        <w:t xml:space="preserve"> </w:t>
      </w:r>
      <w:r w:rsidRPr="009A76EB">
        <w:rPr>
          <w:lang w:val="en-GB"/>
        </w:rPr>
        <w:t xml:space="preserve">to its external auditors, </w:t>
      </w:r>
      <w:r w:rsidR="00B20B8E" w:rsidRPr="009A76EB">
        <w:rPr>
          <w:lang w:val="en-GB"/>
        </w:rPr>
        <w:t>Grant Thornton (</w:t>
      </w:r>
      <w:r w:rsidR="001A42DD">
        <w:rPr>
          <w:lang w:val="en-GB"/>
        </w:rPr>
        <w:t>2024-25</w:t>
      </w:r>
      <w:r w:rsidR="00A01C10" w:rsidRPr="009A76EB">
        <w:rPr>
          <w:lang w:val="en-GB"/>
        </w:rPr>
        <w:t>: £0.</w:t>
      </w:r>
      <w:r w:rsidR="6A8E6017" w:rsidRPr="009A76EB">
        <w:rPr>
          <w:lang w:val="en-GB"/>
        </w:rPr>
        <w:t>10</w:t>
      </w:r>
      <w:r w:rsidR="00B75FA2" w:rsidRPr="009A76EB">
        <w:rPr>
          <w:lang w:val="en-GB"/>
        </w:rPr>
        <w:t>3</w:t>
      </w:r>
      <w:r w:rsidR="00920CF8">
        <w:rPr>
          <w:lang w:val="en-GB"/>
        </w:rPr>
        <w:t xml:space="preserve"> </w:t>
      </w:r>
      <w:r w:rsidR="00C91FE8" w:rsidRPr="009A76EB">
        <w:rPr>
          <w:lang w:val="en-GB"/>
        </w:rPr>
        <w:t>m</w:t>
      </w:r>
      <w:r w:rsidR="00920CF8">
        <w:rPr>
          <w:lang w:val="en-GB"/>
        </w:rPr>
        <w:t>illion</w:t>
      </w:r>
      <w:r w:rsidR="00B20B8E" w:rsidRPr="009A76EB">
        <w:rPr>
          <w:lang w:val="en-GB"/>
        </w:rPr>
        <w:t>)</w:t>
      </w:r>
      <w:r w:rsidRPr="009A76EB">
        <w:rPr>
          <w:lang w:val="en-GB"/>
        </w:rPr>
        <w:t>, as follows:</w:t>
      </w:r>
    </w:p>
    <w:p w14:paraId="29DE5C10" w14:textId="77777777" w:rsidR="00212DBF" w:rsidRPr="00D948C1" w:rsidRDefault="00212DBF" w:rsidP="002D6690">
      <w:pPr>
        <w:pStyle w:val="BodyTextIndent"/>
        <w:rPr>
          <w:szCs w:val="24"/>
          <w:lang w:val="en-GB"/>
        </w:rPr>
      </w:pPr>
    </w:p>
    <w:tbl>
      <w:tblPr>
        <w:tblW w:w="85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90"/>
        <w:gridCol w:w="1890"/>
      </w:tblGrid>
      <w:tr w:rsidR="00212DBF" w:rsidRPr="00D948C1" w14:paraId="6F38F5C8" w14:textId="77777777" w:rsidTr="00F7299E">
        <w:trPr>
          <w:trHeight w:hRule="exact" w:val="578"/>
          <w:tblHeader/>
        </w:trPr>
        <w:tc>
          <w:tcPr>
            <w:tcW w:w="4770" w:type="dxa"/>
            <w:shd w:val="clear" w:color="auto" w:fill="BD2716"/>
          </w:tcPr>
          <w:p w14:paraId="09C0897E" w14:textId="77777777" w:rsidR="00212DBF" w:rsidRPr="00D948C1" w:rsidRDefault="00212DBF" w:rsidP="00F7299E">
            <w:pPr>
              <w:pStyle w:val="Footer"/>
              <w:tabs>
                <w:tab w:val="clear" w:pos="4153"/>
                <w:tab w:val="clear" w:pos="8306"/>
              </w:tabs>
              <w:spacing w:line="360" w:lineRule="auto"/>
              <w:rPr>
                <w:color w:val="FFFFFF" w:themeColor="background1"/>
                <w:szCs w:val="24"/>
              </w:rPr>
            </w:pPr>
          </w:p>
        </w:tc>
        <w:tc>
          <w:tcPr>
            <w:tcW w:w="1890" w:type="dxa"/>
            <w:shd w:val="clear" w:color="auto" w:fill="BD2716"/>
            <w:vAlign w:val="center"/>
          </w:tcPr>
          <w:p w14:paraId="3A675933" w14:textId="493B9C80" w:rsidR="00212DBF" w:rsidRPr="00D948C1" w:rsidRDefault="001A42DD" w:rsidP="00F7299E">
            <w:pPr>
              <w:jc w:val="right"/>
              <w:rPr>
                <w:color w:val="FFFFFF" w:themeColor="background1"/>
                <w:szCs w:val="24"/>
              </w:rPr>
            </w:pPr>
            <w:r>
              <w:rPr>
                <w:color w:val="FFFFFF" w:themeColor="background1"/>
                <w:szCs w:val="24"/>
              </w:rPr>
              <w:t>2025-26</w:t>
            </w:r>
          </w:p>
          <w:p w14:paraId="29D5DCBC" w14:textId="77777777" w:rsidR="00212DBF" w:rsidRPr="00D948C1" w:rsidRDefault="00212DBF" w:rsidP="00F7299E">
            <w:pPr>
              <w:jc w:val="right"/>
              <w:rPr>
                <w:rFonts w:cs="Arial"/>
                <w:color w:val="FFFFFF" w:themeColor="background1"/>
                <w:szCs w:val="24"/>
              </w:rPr>
            </w:pPr>
            <w:r w:rsidRPr="00D948C1">
              <w:rPr>
                <w:color w:val="FFFFFF" w:themeColor="background1"/>
                <w:szCs w:val="24"/>
              </w:rPr>
              <w:t>£000</w:t>
            </w:r>
          </w:p>
        </w:tc>
        <w:tc>
          <w:tcPr>
            <w:tcW w:w="1890" w:type="dxa"/>
            <w:shd w:val="clear" w:color="auto" w:fill="BD2716"/>
            <w:vAlign w:val="center"/>
          </w:tcPr>
          <w:p w14:paraId="29D44E27" w14:textId="5FF995A1" w:rsidR="00B75FA2" w:rsidRPr="00D948C1" w:rsidRDefault="001A42DD" w:rsidP="00B75FA2">
            <w:pPr>
              <w:jc w:val="right"/>
              <w:rPr>
                <w:color w:val="FFFFFF" w:themeColor="background1"/>
                <w:szCs w:val="24"/>
              </w:rPr>
            </w:pPr>
            <w:r>
              <w:rPr>
                <w:color w:val="FFFFFF" w:themeColor="background1"/>
                <w:szCs w:val="24"/>
              </w:rPr>
              <w:t>2024-25</w:t>
            </w:r>
          </w:p>
          <w:p w14:paraId="6D479C02" w14:textId="50C6FEF1" w:rsidR="00212DBF" w:rsidRPr="00D948C1" w:rsidRDefault="00B75FA2" w:rsidP="00B75FA2">
            <w:pPr>
              <w:jc w:val="right"/>
              <w:rPr>
                <w:rFonts w:cs="Arial"/>
                <w:color w:val="FFFFFF" w:themeColor="background1"/>
                <w:szCs w:val="24"/>
              </w:rPr>
            </w:pPr>
            <w:r w:rsidRPr="00D948C1">
              <w:rPr>
                <w:color w:val="FFFFFF" w:themeColor="background1"/>
                <w:szCs w:val="24"/>
              </w:rPr>
              <w:t>£000</w:t>
            </w:r>
          </w:p>
        </w:tc>
      </w:tr>
      <w:tr w:rsidR="00212DBF" w:rsidRPr="00D948C1" w14:paraId="19F18F79" w14:textId="77777777" w:rsidTr="00F7299E">
        <w:trPr>
          <w:trHeight w:hRule="exact" w:val="300"/>
        </w:trPr>
        <w:tc>
          <w:tcPr>
            <w:tcW w:w="4770" w:type="dxa"/>
          </w:tcPr>
          <w:p w14:paraId="7739D9A3" w14:textId="77777777" w:rsidR="00212DBF" w:rsidRPr="00D948C1" w:rsidRDefault="00212DBF" w:rsidP="00F7299E">
            <w:pPr>
              <w:pStyle w:val="Footer"/>
              <w:tabs>
                <w:tab w:val="clear" w:pos="4153"/>
                <w:tab w:val="clear" w:pos="8306"/>
                <w:tab w:val="left" w:pos="702"/>
              </w:tabs>
              <w:rPr>
                <w:szCs w:val="24"/>
              </w:rPr>
            </w:pPr>
            <w:r w:rsidRPr="00D948C1">
              <w:rPr>
                <w:szCs w:val="24"/>
              </w:rPr>
              <w:t>Audit fees – Grant Thornton</w:t>
            </w:r>
          </w:p>
        </w:tc>
        <w:tc>
          <w:tcPr>
            <w:tcW w:w="1890" w:type="dxa"/>
            <w:vAlign w:val="center"/>
          </w:tcPr>
          <w:p w14:paraId="015F3648" w14:textId="086E5873" w:rsidR="00212DBF" w:rsidRPr="00D948C1" w:rsidRDefault="000E7C3B" w:rsidP="00F7299E">
            <w:pPr>
              <w:pStyle w:val="Footer"/>
              <w:tabs>
                <w:tab w:val="clear" w:pos="4153"/>
                <w:tab w:val="clear" w:pos="8306"/>
                <w:tab w:val="decimal" w:pos="1080"/>
              </w:tabs>
              <w:jc w:val="right"/>
              <w:rPr>
                <w:szCs w:val="24"/>
              </w:rPr>
            </w:pPr>
            <w:r>
              <w:rPr>
                <w:szCs w:val="24"/>
              </w:rPr>
              <w:t>106</w:t>
            </w:r>
          </w:p>
        </w:tc>
        <w:tc>
          <w:tcPr>
            <w:tcW w:w="1890" w:type="dxa"/>
            <w:vAlign w:val="center"/>
          </w:tcPr>
          <w:p w14:paraId="3CB22992" w14:textId="3E53B7E0" w:rsidR="00212DBF" w:rsidRPr="00D948C1" w:rsidRDefault="00CE270F" w:rsidP="00F7299E">
            <w:pPr>
              <w:pStyle w:val="Footer"/>
              <w:tabs>
                <w:tab w:val="clear" w:pos="4153"/>
                <w:tab w:val="clear" w:pos="8306"/>
                <w:tab w:val="decimal" w:pos="1080"/>
              </w:tabs>
              <w:jc w:val="right"/>
              <w:rPr>
                <w:szCs w:val="24"/>
              </w:rPr>
            </w:pPr>
            <w:r w:rsidRPr="00B84BB9">
              <w:rPr>
                <w:szCs w:val="24"/>
              </w:rPr>
              <w:t>10</w:t>
            </w:r>
            <w:r w:rsidR="00B75FA2">
              <w:rPr>
                <w:szCs w:val="24"/>
              </w:rPr>
              <w:t>3</w:t>
            </w:r>
          </w:p>
        </w:tc>
      </w:tr>
    </w:tbl>
    <w:p w14:paraId="35C4F60B" w14:textId="77777777" w:rsidR="00A34243" w:rsidRPr="00D948C1" w:rsidRDefault="00A34243"/>
    <w:p w14:paraId="086AD790" w14:textId="77777777" w:rsidR="00D90216" w:rsidRPr="00C87391" w:rsidRDefault="00C72C44" w:rsidP="095637AE">
      <w:pPr>
        <w:pStyle w:val="Heading2"/>
        <w:jc w:val="left"/>
        <w:rPr>
          <w:sz w:val="24"/>
          <w:szCs w:val="24"/>
        </w:rPr>
      </w:pPr>
      <w:bookmarkStart w:id="29" w:name="_Toc233717524"/>
      <w:r w:rsidRPr="095637AE">
        <w:rPr>
          <w:sz w:val="24"/>
          <w:szCs w:val="24"/>
        </w:rPr>
        <w:t>5</w:t>
      </w:r>
      <w:r>
        <w:tab/>
      </w:r>
      <w:r w:rsidR="00D90216" w:rsidRPr="1931174A">
        <w:rPr>
          <w:sz w:val="24"/>
          <w:szCs w:val="24"/>
        </w:rPr>
        <w:t>Related Parties Transactions</w:t>
      </w:r>
      <w:bookmarkEnd w:id="29"/>
    </w:p>
    <w:p w14:paraId="05DC5801" w14:textId="77777777" w:rsidR="00D90216" w:rsidRPr="00C87391" w:rsidRDefault="00D90216" w:rsidP="095637AE">
      <w:pPr>
        <w:rPr>
          <w:b/>
          <w:u w:val="single"/>
        </w:rPr>
      </w:pPr>
    </w:p>
    <w:p w14:paraId="7128C3AD" w14:textId="0064C938" w:rsidR="00D90216" w:rsidRPr="00C87391" w:rsidRDefault="00D90216" w:rsidP="095637AE">
      <w:pPr>
        <w:pStyle w:val="BodyTextIndent"/>
        <w:rPr>
          <w:lang w:val="en-GB"/>
        </w:rPr>
      </w:pPr>
      <w:r w:rsidRPr="1931174A">
        <w:rPr>
          <w:lang w:val="en-GB"/>
        </w:rPr>
        <w:t>The Authority is required to disclose material transactions with related parties – bodies or individuals that have the potential to control or influence the authority or to be controlled or influenced by the Authority. Disclosure of these transactions allows readers to assess the extent to which the Authority might have been constrained in its ability to operate independently or might have secured the ability to limit another party’s ability to bargain freely with the authority.</w:t>
      </w:r>
      <w:r w:rsidR="00000C47" w:rsidRPr="1931174A">
        <w:rPr>
          <w:lang w:val="en-GB"/>
        </w:rPr>
        <w:t xml:space="preserve"> Consideration must be given to materiality from both the viewpoint of the Authority and the related party.</w:t>
      </w:r>
    </w:p>
    <w:p w14:paraId="43E7AF38" w14:textId="77777777" w:rsidR="00D90216" w:rsidRPr="00C87391" w:rsidRDefault="00D90216" w:rsidP="095637AE">
      <w:pPr>
        <w:pStyle w:val="BodyTextIndent"/>
        <w:ind w:left="0"/>
        <w:rPr>
          <w:lang w:val="en-GB"/>
        </w:rPr>
      </w:pPr>
    </w:p>
    <w:p w14:paraId="2A39DC6C" w14:textId="77777777" w:rsidR="00D90216" w:rsidRPr="00C87391" w:rsidRDefault="00D90216" w:rsidP="095637AE">
      <w:pPr>
        <w:ind w:firstLine="720"/>
        <w:rPr>
          <w:b/>
        </w:rPr>
      </w:pPr>
      <w:r w:rsidRPr="1931174A">
        <w:rPr>
          <w:b/>
        </w:rPr>
        <w:t>Central Government</w:t>
      </w:r>
    </w:p>
    <w:p w14:paraId="08C9F65A" w14:textId="77777777" w:rsidR="00D90216" w:rsidRPr="00C87391" w:rsidRDefault="00D90216" w:rsidP="095637AE">
      <w:pPr>
        <w:pStyle w:val="BodyTextIndent"/>
        <w:rPr>
          <w:lang w:val="en-GB"/>
        </w:rPr>
      </w:pPr>
    </w:p>
    <w:p w14:paraId="46FC8960" w14:textId="71565033" w:rsidR="00D90216" w:rsidRPr="00B84BB9" w:rsidRDefault="00D90216" w:rsidP="095637AE">
      <w:pPr>
        <w:pStyle w:val="BodyTextIndent"/>
        <w:rPr>
          <w:lang w:val="en-GB"/>
        </w:rPr>
      </w:pPr>
      <w:r w:rsidRPr="1931174A">
        <w:rPr>
          <w:lang w:val="en-GB"/>
        </w:rPr>
        <w:t xml:space="preserve">Central government has effective control over the general operations of the Authority – it is responsible for providing the statutory framework within which the Authority operates, provides </w:t>
      </w:r>
      <w:r w:rsidR="00D21F6D" w:rsidRPr="1931174A">
        <w:rPr>
          <w:lang w:val="en-GB"/>
        </w:rPr>
        <w:t>most of</w:t>
      </w:r>
      <w:r w:rsidRPr="1931174A">
        <w:rPr>
          <w:lang w:val="en-GB"/>
        </w:rPr>
        <w:t xml:space="preserve"> its funding in the form of grants and prescribes the terms of many of the transactions that the Authority has with other parties (</w:t>
      </w:r>
      <w:r w:rsidR="00AA3FF8" w:rsidRPr="1931174A">
        <w:rPr>
          <w:lang w:val="en-GB"/>
        </w:rPr>
        <w:t>for example</w:t>
      </w:r>
      <w:r w:rsidRPr="1931174A">
        <w:rPr>
          <w:lang w:val="en-GB"/>
        </w:rPr>
        <w:t xml:space="preserve"> council tax bills).</w:t>
      </w:r>
    </w:p>
    <w:p w14:paraId="612F07EE" w14:textId="77777777" w:rsidR="00D90216" w:rsidRPr="00B84BB9" w:rsidRDefault="00D90216" w:rsidP="095637AE">
      <w:pPr>
        <w:pStyle w:val="BodyTextIndent"/>
        <w:ind w:left="0"/>
        <w:rPr>
          <w:lang w:val="en-GB"/>
        </w:rPr>
      </w:pPr>
    </w:p>
    <w:p w14:paraId="6450306B" w14:textId="77777777" w:rsidR="00D90216" w:rsidRPr="00E93FC1" w:rsidRDefault="00D90216" w:rsidP="095637AE">
      <w:pPr>
        <w:ind w:firstLine="720"/>
        <w:rPr>
          <w:b/>
        </w:rPr>
      </w:pPr>
      <w:r w:rsidRPr="738C7B73">
        <w:rPr>
          <w:b/>
        </w:rPr>
        <w:t>Members</w:t>
      </w:r>
    </w:p>
    <w:p w14:paraId="735E557B" w14:textId="77777777" w:rsidR="00D90216" w:rsidRPr="00E93FC1" w:rsidRDefault="00D90216" w:rsidP="095637AE">
      <w:pPr>
        <w:pStyle w:val="BodyTextIndent"/>
        <w:rPr>
          <w:lang w:val="en-GB"/>
        </w:rPr>
      </w:pPr>
    </w:p>
    <w:p w14:paraId="05023D02" w14:textId="1DCC34EF" w:rsidR="00D90216" w:rsidRPr="00E93FC1" w:rsidRDefault="00D90216" w:rsidP="095637AE">
      <w:pPr>
        <w:pStyle w:val="BodyTextIndent"/>
        <w:rPr>
          <w:lang w:val="en-GB"/>
        </w:rPr>
      </w:pPr>
      <w:r w:rsidRPr="738C7B73">
        <w:rPr>
          <w:lang w:val="en-GB"/>
        </w:rPr>
        <w:t xml:space="preserve">Members of the Authority have direct control over the Authority’s financial and operating policies. The total of members’ allowances paid in </w:t>
      </w:r>
      <w:r w:rsidR="001A42DD">
        <w:rPr>
          <w:lang w:val="en-GB"/>
        </w:rPr>
        <w:t>2025-26</w:t>
      </w:r>
      <w:r w:rsidRPr="738C7B73">
        <w:rPr>
          <w:lang w:val="en-GB"/>
        </w:rPr>
        <w:t xml:space="preserve"> is shown in </w:t>
      </w:r>
      <w:hyperlink w:anchor="N2" w:history="1">
        <w:r w:rsidR="00C72C44" w:rsidRPr="738C7B73">
          <w:rPr>
            <w:rStyle w:val="Hyperlink"/>
            <w:lang w:val="en-GB"/>
          </w:rPr>
          <w:t>N</w:t>
        </w:r>
        <w:r w:rsidRPr="738C7B73">
          <w:rPr>
            <w:rStyle w:val="Hyperlink"/>
            <w:lang w:val="en-GB"/>
          </w:rPr>
          <w:t xml:space="preserve">ote </w:t>
        </w:r>
        <w:r w:rsidR="001B72DF" w:rsidRPr="738C7B73">
          <w:rPr>
            <w:rStyle w:val="Hyperlink"/>
            <w:lang w:val="en-GB"/>
          </w:rPr>
          <w:t>2</w:t>
        </w:r>
      </w:hyperlink>
      <w:r w:rsidRPr="738C7B73">
        <w:rPr>
          <w:lang w:val="en-GB"/>
        </w:rPr>
        <w:t xml:space="preserve">. As required under Section 81 of the Local Government Act 2000, </w:t>
      </w:r>
      <w:proofErr w:type="gramStart"/>
      <w:r w:rsidRPr="738C7B73">
        <w:rPr>
          <w:lang w:val="en-GB"/>
        </w:rPr>
        <w:t>members’</w:t>
      </w:r>
      <w:proofErr w:type="gramEnd"/>
      <w:r w:rsidRPr="738C7B73">
        <w:rPr>
          <w:lang w:val="en-GB"/>
        </w:rPr>
        <w:t xml:space="preserve"> outside interests are recorded in a formal register and the Code of Conduct operated by the Authority requires members to declare any related interests they have, and to take no part in meetings or decisions on issues concerning those related interests. </w:t>
      </w:r>
    </w:p>
    <w:p w14:paraId="41EB29CD" w14:textId="77777777" w:rsidR="00D90216" w:rsidRPr="00E93FC1" w:rsidRDefault="00D90216" w:rsidP="095637AE">
      <w:pPr>
        <w:pStyle w:val="BodyTextIndent"/>
        <w:rPr>
          <w:highlight w:val="green"/>
          <w:lang w:val="en-GB"/>
        </w:rPr>
      </w:pPr>
    </w:p>
    <w:p w14:paraId="75AF8086" w14:textId="77777777" w:rsidR="00D90216" w:rsidRPr="00E93FC1" w:rsidRDefault="00D90216" w:rsidP="095637AE">
      <w:pPr>
        <w:pStyle w:val="BodyTextIndent"/>
        <w:rPr>
          <w:lang w:val="en-GB"/>
        </w:rPr>
      </w:pPr>
      <w:r w:rsidRPr="49F72A8B">
        <w:rPr>
          <w:lang w:val="en-GB"/>
        </w:rPr>
        <w:t>In addition, a survey of the related party interests of members and their immediate family members was carried out in preparing the Statement of Accounts. This survey showed that members have outside interests in bodies that have transactions with the Authority, such as:</w:t>
      </w:r>
    </w:p>
    <w:p w14:paraId="68E299D3" w14:textId="77777777" w:rsidR="00D90216" w:rsidRPr="00E93FC1" w:rsidRDefault="00D90216" w:rsidP="095637AE">
      <w:pPr>
        <w:pStyle w:val="BodyTextIndent"/>
        <w:rPr>
          <w:lang w:val="en-GB"/>
        </w:rPr>
      </w:pPr>
    </w:p>
    <w:p w14:paraId="58342B50" w14:textId="77777777" w:rsidR="00D90216" w:rsidRPr="00E93FC1" w:rsidRDefault="00D90216" w:rsidP="095637AE">
      <w:pPr>
        <w:pStyle w:val="BodyTextIndent"/>
        <w:rPr>
          <w:lang w:val="en-GB"/>
        </w:rPr>
      </w:pPr>
      <w:r w:rsidRPr="49F72A8B">
        <w:rPr>
          <w:lang w:val="en-GB"/>
        </w:rPr>
        <w:t>- roles as members of Lancashire County Council, the district and unitary authorities;</w:t>
      </w:r>
    </w:p>
    <w:p w14:paraId="646E78F9" w14:textId="77777777" w:rsidR="00D90216" w:rsidRPr="00B84BB9" w:rsidRDefault="00D90216" w:rsidP="095637AE">
      <w:pPr>
        <w:pStyle w:val="BodyTextIndent"/>
        <w:rPr>
          <w:lang w:val="en-GB"/>
        </w:rPr>
      </w:pPr>
      <w:r w:rsidRPr="49F72A8B">
        <w:rPr>
          <w:lang w:val="en-GB"/>
        </w:rPr>
        <w:t>- roles with voluntary organisations;</w:t>
      </w:r>
    </w:p>
    <w:p w14:paraId="7D23CB49" w14:textId="77777777" w:rsidR="00D90216" w:rsidRPr="00D948C1" w:rsidRDefault="00D90216" w:rsidP="00FA71D8">
      <w:pPr>
        <w:pStyle w:val="BodyTextIndent"/>
        <w:rPr>
          <w:szCs w:val="24"/>
          <w:lang w:val="en-GB"/>
        </w:rPr>
      </w:pPr>
    </w:p>
    <w:p w14:paraId="313AFB53" w14:textId="144E2289" w:rsidR="00F641AC" w:rsidRPr="00D948C1" w:rsidRDefault="00A40290" w:rsidP="095637AE">
      <w:pPr>
        <w:pStyle w:val="BodyTextIndent"/>
        <w:rPr>
          <w:lang w:val="en-GB"/>
        </w:rPr>
      </w:pPr>
      <w:r w:rsidRPr="004A4CC1">
        <w:rPr>
          <w:lang w:val="en-GB"/>
        </w:rPr>
        <w:t>There is no evidence in these cases of control of one party by the other, however material transactions of £</w:t>
      </w:r>
      <w:r w:rsidR="008430AC" w:rsidRPr="004A4CC1">
        <w:rPr>
          <w:lang w:val="en-GB"/>
        </w:rPr>
        <w:t>0.742</w:t>
      </w:r>
      <w:r w:rsidR="00920CF8">
        <w:rPr>
          <w:lang w:val="en-GB"/>
        </w:rPr>
        <w:t xml:space="preserve"> </w:t>
      </w:r>
      <w:r w:rsidRPr="004A4CC1">
        <w:rPr>
          <w:lang w:val="en-GB"/>
        </w:rPr>
        <w:t>m</w:t>
      </w:r>
      <w:r w:rsidR="00920CF8">
        <w:rPr>
          <w:lang w:val="en-GB"/>
        </w:rPr>
        <w:t>illion</w:t>
      </w:r>
      <w:r w:rsidRPr="004A4CC1">
        <w:rPr>
          <w:lang w:val="en-GB"/>
        </w:rPr>
        <w:t xml:space="preserve"> spend with Lancashire County Council requires disclosure in this note. Most of this sum relates to maintenance of the Authority’s vehicle fleet, in addition to services provided under Service Level Agreements.</w:t>
      </w:r>
    </w:p>
    <w:p w14:paraId="2356C24B" w14:textId="2BC5B259" w:rsidR="003278CF" w:rsidRPr="00D948C1" w:rsidRDefault="003278CF" w:rsidP="095637AE">
      <w:pPr>
        <w:rPr>
          <w:b/>
          <w:bCs/>
          <w:highlight w:val="green"/>
        </w:rPr>
      </w:pPr>
    </w:p>
    <w:p w14:paraId="781ABF28" w14:textId="08FB14B9" w:rsidR="00D90216" w:rsidRPr="00B84BB9" w:rsidRDefault="00D90216" w:rsidP="095637AE">
      <w:pPr>
        <w:ind w:firstLine="720"/>
        <w:rPr>
          <w:b/>
          <w:bCs/>
        </w:rPr>
      </w:pPr>
      <w:r w:rsidRPr="00B84BB9">
        <w:rPr>
          <w:b/>
          <w:bCs/>
        </w:rPr>
        <w:lastRenderedPageBreak/>
        <w:t>Officers</w:t>
      </w:r>
    </w:p>
    <w:p w14:paraId="35244ACE" w14:textId="77777777" w:rsidR="00D90216" w:rsidRPr="00B84BB9" w:rsidRDefault="00D90216" w:rsidP="095637AE">
      <w:pPr>
        <w:pStyle w:val="BodyTextIndent"/>
        <w:rPr>
          <w:lang w:val="en-GB"/>
        </w:rPr>
      </w:pPr>
    </w:p>
    <w:p w14:paraId="69F9E87F" w14:textId="254DC986" w:rsidR="00A40290" w:rsidRPr="00B84BB9" w:rsidRDefault="00797087" w:rsidP="095637AE">
      <w:pPr>
        <w:pStyle w:val="BodyTextIndent"/>
        <w:rPr>
          <w:lang w:val="en-GB"/>
        </w:rPr>
      </w:pPr>
      <w:r>
        <w:t xml:space="preserve">Officers of the Authority are required to declare </w:t>
      </w:r>
      <w:proofErr w:type="gramStart"/>
      <w:r>
        <w:t>interests</w:t>
      </w:r>
      <w:proofErr w:type="gramEnd"/>
      <w:r>
        <w:t xml:space="preserve"> in related parties on an annual basis in respect of the financial statements. There were no reported material related party transactions regarding </w:t>
      </w:r>
      <w:r w:rsidR="001A42DD">
        <w:t>2025-26</w:t>
      </w:r>
      <w:r>
        <w:t xml:space="preserve">. </w:t>
      </w:r>
      <w:r w:rsidR="70725731">
        <w:t xml:space="preserve">This is consistent with </w:t>
      </w:r>
      <w:r w:rsidR="001A42DD">
        <w:t>2024-25</w:t>
      </w:r>
      <w:r w:rsidR="00A40290" w:rsidRPr="70F9064E">
        <w:rPr>
          <w:lang w:val="en-GB"/>
        </w:rPr>
        <w:t>.</w:t>
      </w:r>
    </w:p>
    <w:p w14:paraId="32A962D0" w14:textId="77777777" w:rsidR="00FB42CA" w:rsidRPr="00D948C1" w:rsidRDefault="00FB42CA" w:rsidP="00FA71D8">
      <w:pPr>
        <w:pStyle w:val="BodyTextIndent"/>
        <w:rPr>
          <w:lang w:val="en-GB"/>
        </w:rPr>
      </w:pPr>
    </w:p>
    <w:p w14:paraId="2C0DE753" w14:textId="77777777" w:rsidR="00D90216" w:rsidRPr="002A3297" w:rsidRDefault="00C72C44" w:rsidP="00FA71D8">
      <w:pPr>
        <w:pStyle w:val="Heading2"/>
        <w:jc w:val="left"/>
        <w:rPr>
          <w:sz w:val="24"/>
          <w:szCs w:val="24"/>
        </w:rPr>
      </w:pPr>
      <w:bookmarkStart w:id="30" w:name="_6_Property,_Plant"/>
      <w:bookmarkStart w:id="31" w:name="_Toc233717525"/>
      <w:bookmarkEnd w:id="30"/>
      <w:r w:rsidRPr="00D948C1">
        <w:rPr>
          <w:sz w:val="24"/>
          <w:szCs w:val="24"/>
        </w:rPr>
        <w:t>6</w:t>
      </w:r>
      <w:r w:rsidR="00D90216">
        <w:tab/>
      </w:r>
      <w:r w:rsidR="00D90216" w:rsidRPr="438FBC27">
        <w:rPr>
          <w:sz w:val="24"/>
          <w:szCs w:val="24"/>
        </w:rPr>
        <w:t>Property, Plant &amp; Equipment</w:t>
      </w:r>
      <w:bookmarkEnd w:id="31"/>
    </w:p>
    <w:p w14:paraId="2C702376" w14:textId="77777777" w:rsidR="00D90216" w:rsidRPr="002A3297" w:rsidRDefault="00D90216" w:rsidP="00FA71D8">
      <w:pPr>
        <w:ind w:left="720"/>
      </w:pPr>
    </w:p>
    <w:p w14:paraId="650D2435" w14:textId="62B736CD" w:rsidR="00D90216" w:rsidRPr="002A3297" w:rsidRDefault="00D90216" w:rsidP="095637AE">
      <w:pPr>
        <w:ind w:left="720"/>
      </w:pPr>
      <w:r>
        <w:t xml:space="preserve">Details on policies can be seen in </w:t>
      </w:r>
      <w:hyperlink w:anchor="_30_Accounting_Policies" w:history="1">
        <w:r w:rsidR="00C06D8B" w:rsidRPr="438FBC27">
          <w:rPr>
            <w:rStyle w:val="Hyperlink"/>
          </w:rPr>
          <w:t>Note 30</w:t>
        </w:r>
      </w:hyperlink>
      <w:r w:rsidR="00B16EF7">
        <w:t>,</w:t>
      </w:r>
      <w:r>
        <w:t xml:space="preserve"> Accounting Policies.</w:t>
      </w:r>
    </w:p>
    <w:p w14:paraId="4432E3E3" w14:textId="77777777" w:rsidR="00D90216" w:rsidRPr="002A3297" w:rsidRDefault="00D90216" w:rsidP="00FA71D8">
      <w:pPr>
        <w:ind w:left="720"/>
      </w:pPr>
    </w:p>
    <w:p w14:paraId="6F5D651C" w14:textId="4CAABC5E" w:rsidR="00D90216" w:rsidRPr="002A3297" w:rsidRDefault="00D90216" w:rsidP="003278CF">
      <w:pPr>
        <w:ind w:firstLine="720"/>
        <w:rPr>
          <w:b/>
        </w:rPr>
      </w:pPr>
      <w:r w:rsidRPr="438FBC27">
        <w:rPr>
          <w:b/>
        </w:rPr>
        <w:t>Movements during the Year</w:t>
      </w:r>
    </w:p>
    <w:p w14:paraId="6CFCE7B8" w14:textId="77777777" w:rsidR="00D90216" w:rsidRPr="002A3297" w:rsidRDefault="00D90216" w:rsidP="00FA71D8">
      <w:pPr>
        <w:ind w:left="720"/>
      </w:pPr>
    </w:p>
    <w:p w14:paraId="79C712CF" w14:textId="29E79B37" w:rsidR="00F74E7D" w:rsidRPr="004C63B6" w:rsidRDefault="00D90216" w:rsidP="004C63B6">
      <w:pPr>
        <w:pStyle w:val="BodyTextIndent"/>
        <w:ind w:left="709" w:right="425"/>
        <w:rPr>
          <w:lang w:val="en-GB"/>
        </w:rPr>
      </w:pPr>
      <w:r w:rsidRPr="438FBC27">
        <w:rPr>
          <w:lang w:val="en-GB"/>
        </w:rPr>
        <w:t xml:space="preserve">The table below summarises the movements in Property, Plant and Equipment during the year. Land and buildings, vehicles, plant, </w:t>
      </w:r>
      <w:r w:rsidR="000F28B4" w:rsidRPr="438FBC27">
        <w:rPr>
          <w:lang w:val="en-GB"/>
        </w:rPr>
        <w:t>furniture,</w:t>
      </w:r>
      <w:r w:rsidRPr="438FBC27">
        <w:rPr>
          <w:lang w:val="en-GB"/>
        </w:rPr>
        <w:t xml:space="preserve"> and equipment are all disclosed at their net current value. All additions (new expenditure) are shown at cost.</w:t>
      </w:r>
      <w:r w:rsidR="004C63B6" w:rsidRPr="438FBC27">
        <w:rPr>
          <w:lang w:val="en-GB"/>
        </w:rPr>
        <w:t xml:space="preserve"> Assets under construction </w:t>
      </w:r>
      <w:r w:rsidR="00EC7C79" w:rsidRPr="438FBC27">
        <w:rPr>
          <w:lang w:val="en-GB"/>
        </w:rPr>
        <w:t xml:space="preserve">(AUC) </w:t>
      </w:r>
      <w:r w:rsidR="004C63B6" w:rsidRPr="438FBC27">
        <w:rPr>
          <w:lang w:val="en-GB"/>
        </w:rPr>
        <w:t>are held at cost and not depreciated until they come into service.</w:t>
      </w:r>
    </w:p>
    <w:p w14:paraId="7622E5AC" w14:textId="59A7EC1F" w:rsidR="00F74E7D" w:rsidRPr="00D948C1" w:rsidRDefault="00F74E7D" w:rsidP="008B00BF">
      <w:pPr>
        <w:jc w:val="both"/>
      </w:pPr>
    </w:p>
    <w:p w14:paraId="7A9C42A4" w14:textId="77777777" w:rsidR="004C63B6" w:rsidRDefault="004C63B6" w:rsidP="00210760">
      <w:pPr>
        <w:ind w:left="709"/>
        <w:rPr>
          <w:szCs w:val="24"/>
        </w:rPr>
        <w:sectPr w:rsidR="004C63B6" w:rsidSect="0050229D">
          <w:pgSz w:w="11907" w:h="16840" w:code="9"/>
          <w:pgMar w:top="454" w:right="567" w:bottom="397" w:left="567" w:header="720" w:footer="720" w:gutter="0"/>
          <w:cols w:space="720"/>
          <w:docGrid w:linePitch="326"/>
        </w:sectPr>
      </w:pPr>
    </w:p>
    <w:p w14:paraId="68491591" w14:textId="03CCB611" w:rsidR="002C5D98" w:rsidRDefault="00D90216" w:rsidP="00210760">
      <w:pPr>
        <w:ind w:left="709"/>
      </w:pPr>
      <w:r>
        <w:lastRenderedPageBreak/>
        <w:t>Movements in Property, Plant and Equipment analysed into their different categories</w:t>
      </w:r>
      <w:r w:rsidR="00B16EF7">
        <w:t xml:space="preserve"> for </w:t>
      </w:r>
      <w:r w:rsidR="001A42DD">
        <w:t>2025-26</w:t>
      </w:r>
      <w:r>
        <w:t xml:space="preserve"> are:</w:t>
      </w:r>
    </w:p>
    <w:p w14:paraId="1CE5A02B" w14:textId="77777777" w:rsidR="001305B2" w:rsidRPr="00D948C1" w:rsidRDefault="001305B2" w:rsidP="00210760">
      <w:pPr>
        <w:ind w:left="709"/>
        <w:rPr>
          <w:szCs w:val="24"/>
        </w:rPr>
      </w:pPr>
    </w:p>
    <w:tbl>
      <w:tblPr>
        <w:tblW w:w="134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7"/>
        <w:gridCol w:w="1565"/>
        <w:gridCol w:w="1563"/>
        <w:gridCol w:w="1564"/>
        <w:gridCol w:w="1562"/>
        <w:gridCol w:w="1565"/>
      </w:tblGrid>
      <w:tr w:rsidR="00C44B33" w:rsidRPr="00D948C1" w14:paraId="5B0B89D7" w14:textId="77777777" w:rsidTr="00580079">
        <w:trPr>
          <w:trHeight w:val="425"/>
          <w:tblHeader/>
        </w:trPr>
        <w:tc>
          <w:tcPr>
            <w:tcW w:w="5667" w:type="dxa"/>
            <w:shd w:val="clear" w:color="auto" w:fill="BD2716"/>
            <w:noWrap/>
            <w:vAlign w:val="center"/>
          </w:tcPr>
          <w:p w14:paraId="56CD4506" w14:textId="68199C39" w:rsidR="00C44B33" w:rsidRPr="00D948C1" w:rsidRDefault="00C44B33" w:rsidP="00600E41">
            <w:pPr>
              <w:ind w:left="175"/>
              <w:jc w:val="right"/>
              <w:rPr>
                <w:rFonts w:cs="Arial"/>
                <w:color w:val="FFFFFF" w:themeColor="background1"/>
                <w:szCs w:val="24"/>
                <w:lang w:eastAsia="en-GB"/>
              </w:rPr>
            </w:pPr>
          </w:p>
        </w:tc>
        <w:tc>
          <w:tcPr>
            <w:tcW w:w="1565" w:type="dxa"/>
            <w:shd w:val="clear" w:color="auto" w:fill="BD2716"/>
            <w:vAlign w:val="center"/>
          </w:tcPr>
          <w:p w14:paraId="4E9CCAC0"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1BDDDFDB" w14:textId="4B2D8F4F"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3" w:type="dxa"/>
            <w:shd w:val="clear" w:color="auto" w:fill="BD2716"/>
            <w:vAlign w:val="center"/>
          </w:tcPr>
          <w:p w14:paraId="7929E470"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29E1A4E2" w14:textId="5A4B3A5E"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4" w:type="dxa"/>
            <w:shd w:val="clear" w:color="auto" w:fill="BD2716"/>
            <w:vAlign w:val="center"/>
          </w:tcPr>
          <w:p w14:paraId="68CFD4D0" w14:textId="139163D5" w:rsidR="00C44B33" w:rsidRPr="00D948C1" w:rsidRDefault="00600E41" w:rsidP="00600E4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2" w:type="dxa"/>
            <w:shd w:val="clear" w:color="auto" w:fill="BD2716"/>
            <w:vAlign w:val="center"/>
          </w:tcPr>
          <w:p w14:paraId="2912F02D" w14:textId="4A20D673"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507F4126" w14:textId="0CEF9526"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shd w:val="clear" w:color="auto" w:fill="BD2716"/>
            <w:noWrap/>
            <w:vAlign w:val="center"/>
          </w:tcPr>
          <w:p w14:paraId="61EF5229" w14:textId="77777777" w:rsidR="00C44B33" w:rsidRPr="00D948C1" w:rsidRDefault="00C44B33" w:rsidP="00600E4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3CF340D9" w14:textId="2543F98B" w:rsidR="00C44B33" w:rsidRPr="00D948C1" w:rsidRDefault="00C44B33" w:rsidP="00600E41">
            <w:pPr>
              <w:jc w:val="right"/>
              <w:rPr>
                <w:color w:val="FFFFFF" w:themeColor="background1"/>
                <w:lang w:eastAsia="en-GB"/>
              </w:rPr>
            </w:pPr>
            <w:r w:rsidRPr="00D948C1">
              <w:rPr>
                <w:rFonts w:cs="Arial"/>
                <w:color w:val="FFFFFF" w:themeColor="background1"/>
                <w:szCs w:val="24"/>
                <w:lang w:eastAsia="en-GB"/>
              </w:rPr>
              <w:t>£000</w:t>
            </w:r>
          </w:p>
        </w:tc>
      </w:tr>
      <w:tr w:rsidR="00E439FD" w:rsidRPr="00D948C1" w14:paraId="6146FB86" w14:textId="77777777" w:rsidTr="007E05E3">
        <w:trPr>
          <w:trHeight w:val="212"/>
        </w:trPr>
        <w:tc>
          <w:tcPr>
            <w:tcW w:w="13486" w:type="dxa"/>
            <w:gridSpan w:val="6"/>
            <w:shd w:val="clear" w:color="auto" w:fill="D9D9D9" w:themeFill="background1" w:themeFillShade="D9"/>
            <w:noWrap/>
            <w:vAlign w:val="bottom"/>
          </w:tcPr>
          <w:p w14:paraId="4915B82A" w14:textId="661BF35C" w:rsidR="00E439FD" w:rsidRPr="00D948C1" w:rsidRDefault="00E439FD" w:rsidP="00BC6C4F">
            <w:pPr>
              <w:rPr>
                <w:rFonts w:cs="Arial"/>
                <w:szCs w:val="24"/>
                <w:lang w:eastAsia="en-GB"/>
              </w:rPr>
            </w:pPr>
            <w:r w:rsidRPr="00D948C1">
              <w:rPr>
                <w:rFonts w:cs="Arial"/>
                <w:b/>
                <w:bCs/>
                <w:szCs w:val="24"/>
                <w:lang w:eastAsia="en-GB"/>
              </w:rPr>
              <w:t>Cost or valuation</w:t>
            </w:r>
          </w:p>
        </w:tc>
      </w:tr>
      <w:tr w:rsidR="00BF0806" w:rsidRPr="00D948C1" w14:paraId="2AAF4C72" w14:textId="77777777" w:rsidTr="00580079">
        <w:trPr>
          <w:trHeight w:val="272"/>
        </w:trPr>
        <w:tc>
          <w:tcPr>
            <w:tcW w:w="5667" w:type="dxa"/>
            <w:noWrap/>
            <w:vAlign w:val="bottom"/>
          </w:tcPr>
          <w:p w14:paraId="7B2C1C77" w14:textId="75F1618C" w:rsidR="00BF0806" w:rsidRPr="00D948C1" w:rsidRDefault="00BF0806" w:rsidP="00BF0806">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5</w:t>
            </w:r>
          </w:p>
        </w:tc>
        <w:tc>
          <w:tcPr>
            <w:tcW w:w="1565" w:type="dxa"/>
            <w:noWrap/>
            <w:vAlign w:val="center"/>
          </w:tcPr>
          <w:p w14:paraId="664D0ACC" w14:textId="714B7C36" w:rsidR="00BF0806" w:rsidRPr="00BD2C0D" w:rsidRDefault="00BF0806" w:rsidP="00BF0806">
            <w:pPr>
              <w:jc w:val="right"/>
              <w:rPr>
                <w:rFonts w:cs="Arial"/>
                <w:szCs w:val="24"/>
                <w:lang w:eastAsia="en-GB"/>
              </w:rPr>
            </w:pPr>
            <w:r w:rsidRPr="00BD2C0D">
              <w:rPr>
                <w:rFonts w:cs="Arial"/>
                <w:szCs w:val="24"/>
                <w:lang w:eastAsia="en-GB"/>
              </w:rPr>
              <w:t>80,6</w:t>
            </w:r>
            <w:r>
              <w:rPr>
                <w:rFonts w:cs="Arial"/>
                <w:szCs w:val="24"/>
                <w:lang w:eastAsia="en-GB"/>
              </w:rPr>
              <w:t>66</w:t>
            </w:r>
          </w:p>
        </w:tc>
        <w:tc>
          <w:tcPr>
            <w:tcW w:w="1563" w:type="dxa"/>
            <w:vAlign w:val="center"/>
          </w:tcPr>
          <w:p w14:paraId="34A420D5" w14:textId="4227AE0B" w:rsidR="00BF0806" w:rsidRPr="00BD2C0D" w:rsidRDefault="00BF0806" w:rsidP="00BF0806">
            <w:pPr>
              <w:jc w:val="right"/>
              <w:rPr>
                <w:rFonts w:cs="Arial"/>
                <w:szCs w:val="24"/>
                <w:lang w:eastAsia="en-GB"/>
              </w:rPr>
            </w:pPr>
            <w:r w:rsidRPr="00BD2C0D">
              <w:rPr>
                <w:rFonts w:cs="Arial"/>
                <w:szCs w:val="24"/>
                <w:lang w:eastAsia="en-GB"/>
              </w:rPr>
              <w:t>35,732</w:t>
            </w:r>
          </w:p>
        </w:tc>
        <w:tc>
          <w:tcPr>
            <w:tcW w:w="1564" w:type="dxa"/>
            <w:vAlign w:val="center"/>
          </w:tcPr>
          <w:p w14:paraId="6D0B676D" w14:textId="225941E7" w:rsidR="00BF0806" w:rsidRPr="00C10CC1" w:rsidRDefault="00BF0806" w:rsidP="00BF0806">
            <w:pPr>
              <w:jc w:val="right"/>
              <w:rPr>
                <w:rFonts w:cs="Arial"/>
                <w:szCs w:val="24"/>
                <w:lang w:eastAsia="en-GB"/>
              </w:rPr>
            </w:pPr>
            <w:r>
              <w:rPr>
                <w:rFonts w:cs="Arial"/>
                <w:szCs w:val="24"/>
                <w:lang w:eastAsia="en-GB"/>
              </w:rPr>
              <w:t>2,136</w:t>
            </w:r>
          </w:p>
        </w:tc>
        <w:tc>
          <w:tcPr>
            <w:tcW w:w="1562" w:type="dxa"/>
            <w:vAlign w:val="center"/>
          </w:tcPr>
          <w:p w14:paraId="178C545D" w14:textId="60268A8C" w:rsidR="00BF0806" w:rsidRPr="00BD2C0D" w:rsidRDefault="00BF0806" w:rsidP="00BF0806">
            <w:pPr>
              <w:jc w:val="right"/>
              <w:rPr>
                <w:rFonts w:cs="Arial"/>
                <w:szCs w:val="24"/>
                <w:lang w:eastAsia="en-GB"/>
              </w:rPr>
            </w:pPr>
            <w:r>
              <w:rPr>
                <w:rFonts w:cs="Arial"/>
                <w:szCs w:val="24"/>
                <w:lang w:eastAsia="en-GB"/>
              </w:rPr>
              <w:t>29</w:t>
            </w:r>
            <w:r w:rsidRPr="00BD2C0D">
              <w:rPr>
                <w:rFonts w:cs="Arial"/>
                <w:szCs w:val="24"/>
                <w:lang w:eastAsia="en-GB"/>
              </w:rPr>
              <w:t>,</w:t>
            </w:r>
            <w:r>
              <w:rPr>
                <w:rFonts w:cs="Arial"/>
                <w:szCs w:val="24"/>
                <w:lang w:eastAsia="en-GB"/>
              </w:rPr>
              <w:t>067</w:t>
            </w:r>
          </w:p>
        </w:tc>
        <w:tc>
          <w:tcPr>
            <w:tcW w:w="1565" w:type="dxa"/>
            <w:noWrap/>
            <w:vAlign w:val="center"/>
          </w:tcPr>
          <w:p w14:paraId="7D8D241C" w14:textId="6749DD74" w:rsidR="00BF0806" w:rsidRPr="00BD2C0D" w:rsidRDefault="00BF0806" w:rsidP="00BF0806">
            <w:pPr>
              <w:jc w:val="right"/>
              <w:rPr>
                <w:rFonts w:cs="Arial"/>
                <w:szCs w:val="24"/>
                <w:lang w:eastAsia="en-GB"/>
              </w:rPr>
            </w:pPr>
            <w:r w:rsidRPr="00BD2C0D">
              <w:rPr>
                <w:rFonts w:cs="Arial"/>
                <w:szCs w:val="24"/>
                <w:lang w:eastAsia="en-GB"/>
              </w:rPr>
              <w:t>147,601</w:t>
            </w:r>
          </w:p>
        </w:tc>
      </w:tr>
      <w:tr w:rsidR="00C44B33" w:rsidRPr="00D948C1" w14:paraId="2E2D0131" w14:textId="77777777" w:rsidTr="00580079">
        <w:trPr>
          <w:trHeight w:val="212"/>
        </w:trPr>
        <w:tc>
          <w:tcPr>
            <w:tcW w:w="5667" w:type="dxa"/>
            <w:noWrap/>
            <w:vAlign w:val="bottom"/>
          </w:tcPr>
          <w:p w14:paraId="38892235" w14:textId="2FADC9D1" w:rsidR="00C44B33" w:rsidRPr="00D948C1" w:rsidRDefault="00C44B33" w:rsidP="009A6091">
            <w:pPr>
              <w:ind w:left="175"/>
              <w:rPr>
                <w:rFonts w:cs="Arial"/>
                <w:szCs w:val="24"/>
                <w:lang w:eastAsia="en-GB"/>
              </w:rPr>
            </w:pPr>
            <w:r>
              <w:rPr>
                <w:rFonts w:cs="Arial"/>
                <w:szCs w:val="24"/>
                <w:lang w:eastAsia="en-GB"/>
              </w:rPr>
              <w:t>IFRS 16 PFI Indexation</w:t>
            </w:r>
          </w:p>
        </w:tc>
        <w:tc>
          <w:tcPr>
            <w:tcW w:w="1565" w:type="dxa"/>
            <w:noWrap/>
            <w:vAlign w:val="center"/>
          </w:tcPr>
          <w:p w14:paraId="7FF20A7D" w14:textId="1F0D659A" w:rsidR="00C44B33" w:rsidRPr="00BD2C0D" w:rsidRDefault="0020324D" w:rsidP="009A6091">
            <w:pPr>
              <w:jc w:val="right"/>
              <w:rPr>
                <w:szCs w:val="24"/>
              </w:rPr>
            </w:pPr>
            <w:r>
              <w:rPr>
                <w:szCs w:val="24"/>
              </w:rPr>
              <w:t>-</w:t>
            </w:r>
          </w:p>
        </w:tc>
        <w:tc>
          <w:tcPr>
            <w:tcW w:w="1563" w:type="dxa"/>
            <w:vAlign w:val="center"/>
          </w:tcPr>
          <w:p w14:paraId="0389694E" w14:textId="41BCD89A" w:rsidR="00C44B33" w:rsidRPr="00BD2C0D" w:rsidRDefault="00E2571A" w:rsidP="009A6091">
            <w:pPr>
              <w:jc w:val="right"/>
              <w:rPr>
                <w:szCs w:val="24"/>
              </w:rPr>
            </w:pPr>
            <w:r>
              <w:rPr>
                <w:szCs w:val="24"/>
              </w:rPr>
              <w:t>6</w:t>
            </w:r>
            <w:r w:rsidR="00C77053">
              <w:rPr>
                <w:szCs w:val="24"/>
              </w:rPr>
              <w:t>2</w:t>
            </w:r>
          </w:p>
        </w:tc>
        <w:tc>
          <w:tcPr>
            <w:tcW w:w="1564" w:type="dxa"/>
            <w:vAlign w:val="center"/>
          </w:tcPr>
          <w:p w14:paraId="2A5794AB" w14:textId="5FFF884E" w:rsidR="00C44B33" w:rsidRPr="00C10CC1" w:rsidRDefault="0020324D" w:rsidP="00E3108A">
            <w:pPr>
              <w:jc w:val="right"/>
              <w:rPr>
                <w:rFonts w:cs="Arial"/>
                <w:szCs w:val="24"/>
                <w:lang w:eastAsia="en-GB"/>
              </w:rPr>
            </w:pPr>
            <w:r>
              <w:rPr>
                <w:rFonts w:cs="Arial"/>
                <w:szCs w:val="24"/>
                <w:lang w:eastAsia="en-GB"/>
              </w:rPr>
              <w:t>-</w:t>
            </w:r>
          </w:p>
        </w:tc>
        <w:tc>
          <w:tcPr>
            <w:tcW w:w="1562" w:type="dxa"/>
            <w:vAlign w:val="center"/>
          </w:tcPr>
          <w:p w14:paraId="49998D9B" w14:textId="691CFD7D" w:rsidR="00C44B33" w:rsidRPr="00BD2C0D" w:rsidRDefault="0020324D" w:rsidP="009A6091">
            <w:pPr>
              <w:jc w:val="right"/>
              <w:rPr>
                <w:szCs w:val="24"/>
              </w:rPr>
            </w:pPr>
            <w:r>
              <w:rPr>
                <w:szCs w:val="24"/>
              </w:rPr>
              <w:t>-</w:t>
            </w:r>
          </w:p>
        </w:tc>
        <w:tc>
          <w:tcPr>
            <w:tcW w:w="1565" w:type="dxa"/>
            <w:noWrap/>
            <w:vAlign w:val="center"/>
          </w:tcPr>
          <w:p w14:paraId="22DA5CF6" w14:textId="7D6E5E53" w:rsidR="00C44B33" w:rsidRPr="00BD2C0D" w:rsidRDefault="00C77053" w:rsidP="009A6091">
            <w:pPr>
              <w:jc w:val="right"/>
              <w:rPr>
                <w:szCs w:val="24"/>
              </w:rPr>
            </w:pPr>
            <w:r>
              <w:rPr>
                <w:szCs w:val="24"/>
              </w:rPr>
              <w:t>62</w:t>
            </w:r>
          </w:p>
        </w:tc>
      </w:tr>
      <w:tr w:rsidR="00C44B33" w:rsidRPr="00D948C1" w14:paraId="418FB422" w14:textId="77777777" w:rsidTr="00580079">
        <w:trPr>
          <w:trHeight w:val="272"/>
        </w:trPr>
        <w:tc>
          <w:tcPr>
            <w:tcW w:w="5667" w:type="dxa"/>
            <w:noWrap/>
            <w:vAlign w:val="bottom"/>
          </w:tcPr>
          <w:p w14:paraId="22147813" w14:textId="16BE21B2" w:rsidR="00C44B33" w:rsidRPr="00D948C1" w:rsidRDefault="00C44B33" w:rsidP="009A6091">
            <w:pPr>
              <w:ind w:left="175"/>
              <w:rPr>
                <w:rFonts w:cs="Arial"/>
                <w:szCs w:val="24"/>
                <w:lang w:eastAsia="en-GB"/>
              </w:rPr>
            </w:pPr>
            <w:r w:rsidRPr="00D948C1">
              <w:rPr>
                <w:rFonts w:cs="Arial"/>
                <w:szCs w:val="24"/>
                <w:lang w:eastAsia="en-GB"/>
              </w:rPr>
              <w:t>Additions</w:t>
            </w:r>
          </w:p>
        </w:tc>
        <w:tc>
          <w:tcPr>
            <w:tcW w:w="1565" w:type="dxa"/>
            <w:noWrap/>
            <w:vAlign w:val="center"/>
          </w:tcPr>
          <w:p w14:paraId="064F2F65" w14:textId="67831D17" w:rsidR="00C44B33" w:rsidRPr="00BD2C0D" w:rsidRDefault="00C77053" w:rsidP="009A6091">
            <w:pPr>
              <w:jc w:val="right"/>
              <w:rPr>
                <w:rFonts w:cs="Arial"/>
                <w:szCs w:val="24"/>
                <w:lang w:eastAsia="en-GB"/>
              </w:rPr>
            </w:pPr>
            <w:r>
              <w:rPr>
                <w:rFonts w:cs="Arial"/>
                <w:szCs w:val="24"/>
                <w:lang w:eastAsia="en-GB"/>
              </w:rPr>
              <w:t>2,557</w:t>
            </w:r>
          </w:p>
        </w:tc>
        <w:tc>
          <w:tcPr>
            <w:tcW w:w="1563" w:type="dxa"/>
            <w:vAlign w:val="center"/>
          </w:tcPr>
          <w:p w14:paraId="26D9FBE7" w14:textId="2BFFF544" w:rsidR="00C44B33" w:rsidRPr="00BD2C0D" w:rsidRDefault="00C77053" w:rsidP="009A6091">
            <w:pPr>
              <w:jc w:val="right"/>
              <w:rPr>
                <w:rFonts w:cs="Arial"/>
                <w:szCs w:val="24"/>
                <w:lang w:eastAsia="en-GB"/>
              </w:rPr>
            </w:pPr>
            <w:r>
              <w:rPr>
                <w:rFonts w:cs="Arial"/>
                <w:szCs w:val="24"/>
                <w:lang w:eastAsia="en-GB"/>
              </w:rPr>
              <w:t>-</w:t>
            </w:r>
          </w:p>
        </w:tc>
        <w:tc>
          <w:tcPr>
            <w:tcW w:w="1564" w:type="dxa"/>
            <w:vAlign w:val="center"/>
          </w:tcPr>
          <w:p w14:paraId="37A5119E" w14:textId="17C6BB30" w:rsidR="00C44B33" w:rsidRPr="00C10CC1" w:rsidRDefault="0020324D" w:rsidP="00E3108A">
            <w:pPr>
              <w:jc w:val="right"/>
              <w:rPr>
                <w:rFonts w:cs="Arial"/>
                <w:szCs w:val="24"/>
                <w:lang w:eastAsia="en-GB"/>
              </w:rPr>
            </w:pPr>
            <w:r>
              <w:rPr>
                <w:rFonts w:cs="Arial"/>
                <w:szCs w:val="24"/>
                <w:lang w:eastAsia="en-GB"/>
              </w:rPr>
              <w:t>2,020</w:t>
            </w:r>
          </w:p>
        </w:tc>
        <w:tc>
          <w:tcPr>
            <w:tcW w:w="1562" w:type="dxa"/>
            <w:vAlign w:val="center"/>
          </w:tcPr>
          <w:p w14:paraId="13A187F7" w14:textId="1C07ED62" w:rsidR="00C44B33" w:rsidRPr="00BD2C0D" w:rsidRDefault="0020324D" w:rsidP="009A6091">
            <w:pPr>
              <w:jc w:val="right"/>
              <w:rPr>
                <w:rFonts w:cs="Arial"/>
                <w:szCs w:val="24"/>
                <w:lang w:eastAsia="en-GB"/>
              </w:rPr>
            </w:pPr>
            <w:r>
              <w:rPr>
                <w:rFonts w:cs="Arial"/>
                <w:szCs w:val="24"/>
                <w:lang w:eastAsia="en-GB"/>
              </w:rPr>
              <w:t>1,463</w:t>
            </w:r>
          </w:p>
        </w:tc>
        <w:tc>
          <w:tcPr>
            <w:tcW w:w="1565" w:type="dxa"/>
            <w:noWrap/>
            <w:vAlign w:val="center"/>
          </w:tcPr>
          <w:p w14:paraId="36E9C74D" w14:textId="20455653" w:rsidR="00C44B33" w:rsidRPr="00BD2C0D" w:rsidRDefault="0020324D" w:rsidP="009A6091">
            <w:pPr>
              <w:jc w:val="right"/>
              <w:rPr>
                <w:rFonts w:cs="Arial"/>
                <w:szCs w:val="24"/>
                <w:lang w:eastAsia="en-GB"/>
              </w:rPr>
            </w:pPr>
            <w:r>
              <w:rPr>
                <w:rFonts w:cs="Arial"/>
                <w:szCs w:val="24"/>
                <w:lang w:eastAsia="en-GB"/>
              </w:rPr>
              <w:t>6,040</w:t>
            </w:r>
          </w:p>
        </w:tc>
      </w:tr>
      <w:tr w:rsidR="00C44B33" w:rsidRPr="00D948C1" w14:paraId="73FBCF6A" w14:textId="77777777" w:rsidTr="00580079">
        <w:trPr>
          <w:trHeight w:val="272"/>
        </w:trPr>
        <w:tc>
          <w:tcPr>
            <w:tcW w:w="5667" w:type="dxa"/>
            <w:noWrap/>
            <w:vAlign w:val="bottom"/>
          </w:tcPr>
          <w:p w14:paraId="40FE4A0D" w14:textId="15CD2994" w:rsidR="00C44B33" w:rsidRPr="00D948C1" w:rsidRDefault="00C44B33" w:rsidP="009A6091">
            <w:pPr>
              <w:ind w:left="175"/>
              <w:rPr>
                <w:rFonts w:cs="Arial"/>
                <w:szCs w:val="24"/>
                <w:lang w:eastAsia="en-GB"/>
              </w:rPr>
            </w:pPr>
            <w:r w:rsidRPr="00D948C1">
              <w:rPr>
                <w:rFonts w:cs="Arial"/>
                <w:szCs w:val="24"/>
                <w:lang w:eastAsia="en-GB"/>
              </w:rPr>
              <w:t>Disposals</w:t>
            </w:r>
            <w:r w:rsidR="007E0E1E">
              <w:rPr>
                <w:rFonts w:cs="Arial"/>
                <w:szCs w:val="24"/>
                <w:lang w:eastAsia="en-GB"/>
              </w:rPr>
              <w:t xml:space="preserve"> and d</w:t>
            </w:r>
            <w:r>
              <w:rPr>
                <w:rFonts w:cs="Arial"/>
                <w:szCs w:val="24"/>
                <w:lang w:eastAsia="en-GB"/>
              </w:rPr>
              <w:t>e-recognitions</w:t>
            </w:r>
          </w:p>
        </w:tc>
        <w:tc>
          <w:tcPr>
            <w:tcW w:w="1565" w:type="dxa"/>
            <w:noWrap/>
            <w:vAlign w:val="center"/>
          </w:tcPr>
          <w:p w14:paraId="766BBC6C" w14:textId="3B0995F7" w:rsidR="00C44B33" w:rsidRPr="00BD2C0D" w:rsidRDefault="0020324D" w:rsidP="009A6091">
            <w:pPr>
              <w:jc w:val="right"/>
              <w:rPr>
                <w:rFonts w:cs="Arial"/>
                <w:szCs w:val="24"/>
                <w:lang w:eastAsia="en-GB"/>
              </w:rPr>
            </w:pPr>
            <w:r>
              <w:rPr>
                <w:rFonts w:cs="Arial"/>
                <w:szCs w:val="24"/>
                <w:lang w:eastAsia="en-GB"/>
              </w:rPr>
              <w:t>-</w:t>
            </w:r>
          </w:p>
        </w:tc>
        <w:tc>
          <w:tcPr>
            <w:tcW w:w="1563" w:type="dxa"/>
            <w:vAlign w:val="center"/>
          </w:tcPr>
          <w:p w14:paraId="1E286410" w14:textId="79CAED7C" w:rsidR="00C44B33" w:rsidRPr="00BD2C0D" w:rsidRDefault="0020324D" w:rsidP="009A6091">
            <w:pPr>
              <w:jc w:val="right"/>
              <w:rPr>
                <w:rFonts w:cs="Arial"/>
                <w:szCs w:val="24"/>
                <w:lang w:eastAsia="en-GB"/>
              </w:rPr>
            </w:pPr>
            <w:r>
              <w:rPr>
                <w:rFonts w:cs="Arial"/>
                <w:szCs w:val="24"/>
                <w:lang w:eastAsia="en-GB"/>
              </w:rPr>
              <w:t>-</w:t>
            </w:r>
          </w:p>
        </w:tc>
        <w:tc>
          <w:tcPr>
            <w:tcW w:w="1564" w:type="dxa"/>
            <w:vAlign w:val="center"/>
          </w:tcPr>
          <w:p w14:paraId="622FACC5" w14:textId="79059632" w:rsidR="00C44B33" w:rsidRPr="00C10CC1" w:rsidRDefault="0020324D" w:rsidP="00E3108A">
            <w:pPr>
              <w:jc w:val="right"/>
              <w:rPr>
                <w:rFonts w:cs="Arial"/>
                <w:szCs w:val="24"/>
                <w:lang w:eastAsia="en-GB"/>
              </w:rPr>
            </w:pPr>
            <w:r>
              <w:rPr>
                <w:rFonts w:cs="Arial"/>
                <w:szCs w:val="24"/>
                <w:lang w:eastAsia="en-GB"/>
              </w:rPr>
              <w:t>-</w:t>
            </w:r>
          </w:p>
        </w:tc>
        <w:tc>
          <w:tcPr>
            <w:tcW w:w="1562" w:type="dxa"/>
            <w:vAlign w:val="center"/>
          </w:tcPr>
          <w:p w14:paraId="0E9371CA" w14:textId="4E7E2DCE" w:rsidR="00C44B33" w:rsidRPr="00BD2C0D" w:rsidRDefault="004A2AA5" w:rsidP="009A6091">
            <w:pPr>
              <w:jc w:val="right"/>
              <w:rPr>
                <w:rFonts w:cs="Arial"/>
                <w:szCs w:val="24"/>
                <w:lang w:eastAsia="en-GB"/>
              </w:rPr>
            </w:pPr>
            <w:r>
              <w:rPr>
                <w:rFonts w:cs="Arial"/>
                <w:szCs w:val="24"/>
                <w:lang w:eastAsia="en-GB"/>
              </w:rPr>
              <w:t>(</w:t>
            </w:r>
            <w:r w:rsidR="0020324D">
              <w:rPr>
                <w:rFonts w:cs="Arial"/>
                <w:szCs w:val="24"/>
                <w:lang w:eastAsia="en-GB"/>
              </w:rPr>
              <w:t>1,782</w:t>
            </w:r>
            <w:r>
              <w:rPr>
                <w:rFonts w:cs="Arial"/>
                <w:szCs w:val="24"/>
                <w:lang w:eastAsia="en-GB"/>
              </w:rPr>
              <w:t>)</w:t>
            </w:r>
          </w:p>
        </w:tc>
        <w:tc>
          <w:tcPr>
            <w:tcW w:w="1565" w:type="dxa"/>
            <w:noWrap/>
            <w:vAlign w:val="center"/>
          </w:tcPr>
          <w:p w14:paraId="4980F9CB" w14:textId="200CEAC1" w:rsidR="00C44B33" w:rsidRPr="00BD2C0D" w:rsidRDefault="007F5004" w:rsidP="009A6091">
            <w:pPr>
              <w:jc w:val="right"/>
              <w:rPr>
                <w:rFonts w:cs="Arial"/>
                <w:szCs w:val="24"/>
                <w:lang w:eastAsia="en-GB"/>
              </w:rPr>
            </w:pPr>
            <w:r w:rsidRPr="007F5004">
              <w:rPr>
                <w:rFonts w:cs="Arial"/>
                <w:szCs w:val="24"/>
                <w:lang w:eastAsia="en-GB"/>
              </w:rPr>
              <w:t>(1,782)</w:t>
            </w:r>
          </w:p>
        </w:tc>
      </w:tr>
      <w:tr w:rsidR="00CE486E" w:rsidRPr="00D948C1" w14:paraId="1F62E012" w14:textId="77777777" w:rsidTr="00580079">
        <w:trPr>
          <w:trHeight w:val="212"/>
        </w:trPr>
        <w:tc>
          <w:tcPr>
            <w:tcW w:w="5667" w:type="dxa"/>
            <w:noWrap/>
            <w:vAlign w:val="bottom"/>
          </w:tcPr>
          <w:p w14:paraId="06B3A107" w14:textId="06E4F523" w:rsidR="00CE486E" w:rsidRDefault="00CE486E" w:rsidP="009A6091">
            <w:pPr>
              <w:ind w:left="175"/>
              <w:rPr>
                <w:rFonts w:cs="Arial"/>
                <w:szCs w:val="24"/>
                <w:lang w:eastAsia="en-GB"/>
              </w:rPr>
            </w:pPr>
            <w:r>
              <w:rPr>
                <w:rFonts w:cs="Arial"/>
                <w:szCs w:val="24"/>
                <w:lang w:eastAsia="en-GB"/>
              </w:rPr>
              <w:t>Downward revaluation</w:t>
            </w:r>
            <w:r w:rsidRPr="00D948C1">
              <w:rPr>
                <w:rFonts w:cs="Arial"/>
                <w:szCs w:val="24"/>
                <w:lang w:eastAsia="en-GB"/>
              </w:rPr>
              <w:t xml:space="preserve"> recognised in the Revaluation Reserve</w:t>
            </w:r>
          </w:p>
        </w:tc>
        <w:tc>
          <w:tcPr>
            <w:tcW w:w="1565" w:type="dxa"/>
            <w:noWrap/>
            <w:vAlign w:val="center"/>
          </w:tcPr>
          <w:p w14:paraId="34353561" w14:textId="799E053F" w:rsidR="00CE486E" w:rsidRPr="00BD2C0D" w:rsidRDefault="00CE486E" w:rsidP="009A6091">
            <w:pPr>
              <w:jc w:val="right"/>
              <w:rPr>
                <w:szCs w:val="24"/>
              </w:rPr>
            </w:pPr>
            <w:r>
              <w:rPr>
                <w:szCs w:val="24"/>
              </w:rPr>
              <w:t>(</w:t>
            </w:r>
            <w:r w:rsidR="00A20F8B">
              <w:rPr>
                <w:szCs w:val="24"/>
              </w:rPr>
              <w:t>2,422</w:t>
            </w:r>
            <w:r>
              <w:rPr>
                <w:szCs w:val="24"/>
              </w:rPr>
              <w:t>)</w:t>
            </w:r>
          </w:p>
        </w:tc>
        <w:tc>
          <w:tcPr>
            <w:tcW w:w="1563" w:type="dxa"/>
            <w:vAlign w:val="center"/>
          </w:tcPr>
          <w:p w14:paraId="784D87AD" w14:textId="737390B9" w:rsidR="00CE486E" w:rsidRPr="00BD2C0D" w:rsidRDefault="00CE486E" w:rsidP="009A6091">
            <w:pPr>
              <w:jc w:val="right"/>
              <w:rPr>
                <w:rFonts w:cs="Arial"/>
                <w:szCs w:val="24"/>
                <w:lang w:eastAsia="en-GB"/>
              </w:rPr>
            </w:pPr>
            <w:r>
              <w:rPr>
                <w:rFonts w:cs="Arial"/>
                <w:szCs w:val="24"/>
                <w:lang w:eastAsia="en-GB"/>
              </w:rPr>
              <w:t>(</w:t>
            </w:r>
            <w:r w:rsidR="00A20F8B">
              <w:rPr>
                <w:rFonts w:cs="Arial"/>
                <w:szCs w:val="24"/>
                <w:lang w:eastAsia="en-GB"/>
              </w:rPr>
              <w:t>1,996</w:t>
            </w:r>
            <w:r>
              <w:rPr>
                <w:rFonts w:cs="Arial"/>
                <w:szCs w:val="24"/>
                <w:lang w:eastAsia="en-GB"/>
              </w:rPr>
              <w:t>)</w:t>
            </w:r>
          </w:p>
        </w:tc>
        <w:tc>
          <w:tcPr>
            <w:tcW w:w="1564" w:type="dxa"/>
            <w:vAlign w:val="center"/>
          </w:tcPr>
          <w:p w14:paraId="515AF5F4" w14:textId="6491C8E8" w:rsidR="00CE486E" w:rsidRPr="00C10CC1" w:rsidRDefault="00CE486E" w:rsidP="00E3108A">
            <w:pPr>
              <w:jc w:val="right"/>
              <w:rPr>
                <w:rFonts w:cs="Arial"/>
                <w:szCs w:val="24"/>
                <w:lang w:eastAsia="en-GB"/>
              </w:rPr>
            </w:pPr>
            <w:r>
              <w:rPr>
                <w:rFonts w:cs="Arial"/>
                <w:szCs w:val="24"/>
                <w:lang w:eastAsia="en-GB"/>
              </w:rPr>
              <w:t>-</w:t>
            </w:r>
          </w:p>
        </w:tc>
        <w:tc>
          <w:tcPr>
            <w:tcW w:w="1562" w:type="dxa"/>
            <w:vAlign w:val="center"/>
          </w:tcPr>
          <w:p w14:paraId="299A6018" w14:textId="5DBBD03D" w:rsidR="00CE486E" w:rsidRPr="00BD2C0D" w:rsidRDefault="00CE486E" w:rsidP="009A6091">
            <w:pPr>
              <w:jc w:val="right"/>
              <w:rPr>
                <w:rFonts w:cs="Arial"/>
                <w:szCs w:val="24"/>
                <w:lang w:eastAsia="en-GB"/>
              </w:rPr>
            </w:pPr>
            <w:r>
              <w:rPr>
                <w:rFonts w:cs="Arial"/>
                <w:szCs w:val="24"/>
                <w:lang w:eastAsia="en-GB"/>
              </w:rPr>
              <w:t>-</w:t>
            </w:r>
          </w:p>
        </w:tc>
        <w:tc>
          <w:tcPr>
            <w:tcW w:w="1565" w:type="dxa"/>
            <w:noWrap/>
            <w:vAlign w:val="center"/>
          </w:tcPr>
          <w:p w14:paraId="22653304" w14:textId="5C065922" w:rsidR="00CE486E" w:rsidRPr="00BD2C0D" w:rsidRDefault="00CE486E" w:rsidP="009A6091">
            <w:pPr>
              <w:jc w:val="right"/>
              <w:rPr>
                <w:rFonts w:cs="Arial"/>
                <w:szCs w:val="24"/>
                <w:lang w:eastAsia="en-GB"/>
              </w:rPr>
            </w:pPr>
            <w:r>
              <w:rPr>
                <w:rFonts w:cs="Arial"/>
                <w:szCs w:val="24"/>
                <w:lang w:eastAsia="en-GB"/>
              </w:rPr>
              <w:t>(</w:t>
            </w:r>
            <w:r w:rsidR="00A20F8B">
              <w:rPr>
                <w:rFonts w:cs="Arial"/>
                <w:szCs w:val="24"/>
                <w:lang w:eastAsia="en-GB"/>
              </w:rPr>
              <w:t>4,419</w:t>
            </w:r>
            <w:r>
              <w:rPr>
                <w:rFonts w:cs="Arial"/>
                <w:szCs w:val="24"/>
                <w:lang w:eastAsia="en-GB"/>
              </w:rPr>
              <w:t>)</w:t>
            </w:r>
          </w:p>
        </w:tc>
      </w:tr>
      <w:tr w:rsidR="00CE486E" w:rsidRPr="00D948C1" w14:paraId="2778CBD6" w14:textId="77777777" w:rsidTr="00580079">
        <w:trPr>
          <w:trHeight w:val="212"/>
        </w:trPr>
        <w:tc>
          <w:tcPr>
            <w:tcW w:w="5667" w:type="dxa"/>
            <w:noWrap/>
            <w:vAlign w:val="bottom"/>
          </w:tcPr>
          <w:p w14:paraId="1E50FA37" w14:textId="454874BC" w:rsidR="00CE486E" w:rsidRPr="00D948C1" w:rsidRDefault="00CE486E" w:rsidP="009A6091">
            <w:pPr>
              <w:ind w:left="175"/>
              <w:rPr>
                <w:rFonts w:cs="Arial"/>
                <w:szCs w:val="24"/>
                <w:lang w:eastAsia="en-GB"/>
              </w:rPr>
            </w:pPr>
            <w:r>
              <w:rPr>
                <w:rFonts w:cs="Arial"/>
                <w:szCs w:val="24"/>
                <w:lang w:eastAsia="en-GB"/>
              </w:rPr>
              <w:t>Downward revaluation</w:t>
            </w:r>
            <w:r w:rsidRPr="00D948C1">
              <w:rPr>
                <w:rFonts w:cs="Arial"/>
                <w:szCs w:val="24"/>
                <w:lang w:eastAsia="en-GB"/>
              </w:rPr>
              <w:t xml:space="preserve"> recognised in the CIES Provision of Services</w:t>
            </w:r>
            <w:r>
              <w:rPr>
                <w:rFonts w:cs="Arial"/>
                <w:szCs w:val="24"/>
                <w:lang w:eastAsia="en-GB"/>
              </w:rPr>
              <w:t xml:space="preserve"> from indexation</w:t>
            </w:r>
          </w:p>
        </w:tc>
        <w:tc>
          <w:tcPr>
            <w:tcW w:w="1565" w:type="dxa"/>
            <w:noWrap/>
            <w:vAlign w:val="center"/>
          </w:tcPr>
          <w:p w14:paraId="239BC841" w14:textId="7F645262" w:rsidR="00CE486E" w:rsidRPr="00BD2C0D" w:rsidRDefault="00CE486E" w:rsidP="009A6091">
            <w:pPr>
              <w:jc w:val="right"/>
              <w:rPr>
                <w:szCs w:val="24"/>
              </w:rPr>
            </w:pPr>
            <w:r>
              <w:rPr>
                <w:rFonts w:cs="Arial"/>
                <w:szCs w:val="24"/>
                <w:lang w:eastAsia="en-GB"/>
              </w:rPr>
              <w:t>(25)</w:t>
            </w:r>
          </w:p>
        </w:tc>
        <w:tc>
          <w:tcPr>
            <w:tcW w:w="1563" w:type="dxa"/>
            <w:vAlign w:val="center"/>
          </w:tcPr>
          <w:p w14:paraId="2A5E28E7" w14:textId="5471665C" w:rsidR="00CE486E" w:rsidRPr="00BD2C0D" w:rsidRDefault="00CE486E" w:rsidP="009A6091">
            <w:pPr>
              <w:jc w:val="right"/>
              <w:rPr>
                <w:rFonts w:cs="Arial"/>
                <w:szCs w:val="24"/>
                <w:lang w:eastAsia="en-GB"/>
              </w:rPr>
            </w:pPr>
            <w:r>
              <w:rPr>
                <w:rFonts w:cs="Arial"/>
                <w:szCs w:val="24"/>
                <w:lang w:eastAsia="en-GB"/>
              </w:rPr>
              <w:t>-</w:t>
            </w:r>
          </w:p>
        </w:tc>
        <w:tc>
          <w:tcPr>
            <w:tcW w:w="1564" w:type="dxa"/>
            <w:vAlign w:val="center"/>
          </w:tcPr>
          <w:p w14:paraId="2132D82C" w14:textId="063C154D" w:rsidR="00CE486E" w:rsidRPr="00C10CC1" w:rsidRDefault="00CE486E" w:rsidP="00E3108A">
            <w:pPr>
              <w:jc w:val="right"/>
              <w:rPr>
                <w:rFonts w:cs="Arial"/>
                <w:szCs w:val="24"/>
                <w:lang w:eastAsia="en-GB"/>
              </w:rPr>
            </w:pPr>
            <w:r>
              <w:rPr>
                <w:rFonts w:cs="Arial"/>
                <w:szCs w:val="24"/>
                <w:lang w:eastAsia="en-GB"/>
              </w:rPr>
              <w:t>-</w:t>
            </w:r>
          </w:p>
        </w:tc>
        <w:tc>
          <w:tcPr>
            <w:tcW w:w="1562" w:type="dxa"/>
            <w:vAlign w:val="center"/>
          </w:tcPr>
          <w:p w14:paraId="7953DDBD" w14:textId="78C446A5" w:rsidR="00CE486E" w:rsidRPr="00BD2C0D" w:rsidRDefault="00CE486E" w:rsidP="009A6091">
            <w:pPr>
              <w:jc w:val="right"/>
              <w:rPr>
                <w:rFonts w:cs="Arial"/>
                <w:szCs w:val="24"/>
                <w:lang w:eastAsia="en-GB"/>
              </w:rPr>
            </w:pPr>
            <w:r>
              <w:rPr>
                <w:rFonts w:cs="Arial"/>
                <w:szCs w:val="24"/>
                <w:lang w:eastAsia="en-GB"/>
              </w:rPr>
              <w:t>-</w:t>
            </w:r>
          </w:p>
        </w:tc>
        <w:tc>
          <w:tcPr>
            <w:tcW w:w="1565" w:type="dxa"/>
            <w:noWrap/>
            <w:vAlign w:val="center"/>
          </w:tcPr>
          <w:p w14:paraId="216E81DD" w14:textId="01746FED" w:rsidR="00CE486E" w:rsidRPr="00BD2C0D" w:rsidRDefault="00CE486E" w:rsidP="009A6091">
            <w:pPr>
              <w:jc w:val="right"/>
              <w:rPr>
                <w:rFonts w:cs="Arial"/>
                <w:szCs w:val="24"/>
                <w:lang w:eastAsia="en-GB"/>
              </w:rPr>
            </w:pPr>
            <w:r>
              <w:rPr>
                <w:rFonts w:cs="Arial"/>
                <w:szCs w:val="24"/>
                <w:lang w:eastAsia="en-GB"/>
              </w:rPr>
              <w:t>(25)</w:t>
            </w:r>
          </w:p>
        </w:tc>
      </w:tr>
      <w:tr w:rsidR="00CE486E" w:rsidRPr="00D948C1" w14:paraId="4F5CC55E" w14:textId="77777777" w:rsidTr="00580079">
        <w:trPr>
          <w:trHeight w:val="499"/>
        </w:trPr>
        <w:tc>
          <w:tcPr>
            <w:tcW w:w="5667" w:type="dxa"/>
            <w:noWrap/>
            <w:vAlign w:val="bottom"/>
          </w:tcPr>
          <w:p w14:paraId="60308E55" w14:textId="0C913936" w:rsidR="00CE486E" w:rsidRPr="00D948C1" w:rsidRDefault="00CE486E" w:rsidP="009A6091">
            <w:pPr>
              <w:ind w:left="175"/>
              <w:rPr>
                <w:rFonts w:cs="Arial"/>
                <w:szCs w:val="24"/>
                <w:lang w:eastAsia="en-GB"/>
              </w:rPr>
            </w:pPr>
            <w:r>
              <w:rPr>
                <w:rFonts w:cs="Arial"/>
                <w:szCs w:val="24"/>
                <w:lang w:eastAsia="en-GB"/>
              </w:rPr>
              <w:t>Movement from AUC</w:t>
            </w:r>
          </w:p>
        </w:tc>
        <w:tc>
          <w:tcPr>
            <w:tcW w:w="1565" w:type="dxa"/>
            <w:noWrap/>
            <w:vAlign w:val="center"/>
          </w:tcPr>
          <w:p w14:paraId="41D1388F" w14:textId="25B2552F" w:rsidR="00CE486E" w:rsidRPr="00BD2C0D" w:rsidRDefault="00CE486E" w:rsidP="009A6091">
            <w:pPr>
              <w:jc w:val="right"/>
              <w:rPr>
                <w:rFonts w:cs="Arial"/>
                <w:szCs w:val="24"/>
                <w:lang w:eastAsia="en-GB"/>
              </w:rPr>
            </w:pPr>
            <w:r>
              <w:rPr>
                <w:rFonts w:cs="Arial"/>
                <w:szCs w:val="24"/>
                <w:lang w:eastAsia="en-GB"/>
              </w:rPr>
              <w:t>-</w:t>
            </w:r>
          </w:p>
        </w:tc>
        <w:tc>
          <w:tcPr>
            <w:tcW w:w="1563" w:type="dxa"/>
            <w:vAlign w:val="center"/>
          </w:tcPr>
          <w:p w14:paraId="12738C16" w14:textId="0E69DD53" w:rsidR="00CE486E" w:rsidRPr="00BD2C0D" w:rsidRDefault="00CE486E" w:rsidP="009A6091">
            <w:pPr>
              <w:jc w:val="right"/>
              <w:rPr>
                <w:rFonts w:cs="Arial"/>
                <w:szCs w:val="24"/>
                <w:lang w:eastAsia="en-GB"/>
              </w:rPr>
            </w:pPr>
            <w:r>
              <w:rPr>
                <w:rFonts w:cs="Arial"/>
                <w:szCs w:val="24"/>
                <w:lang w:eastAsia="en-GB"/>
              </w:rPr>
              <w:t>-</w:t>
            </w:r>
          </w:p>
        </w:tc>
        <w:tc>
          <w:tcPr>
            <w:tcW w:w="1564" w:type="dxa"/>
            <w:vAlign w:val="center"/>
          </w:tcPr>
          <w:p w14:paraId="16309142" w14:textId="0E1307E2" w:rsidR="00CE486E" w:rsidRPr="00C10CC1" w:rsidRDefault="00CE486E" w:rsidP="00E3108A">
            <w:pPr>
              <w:jc w:val="right"/>
              <w:rPr>
                <w:rFonts w:cs="Arial"/>
                <w:szCs w:val="24"/>
                <w:lang w:eastAsia="en-GB"/>
              </w:rPr>
            </w:pPr>
            <w:r>
              <w:rPr>
                <w:rFonts w:cs="Arial"/>
                <w:szCs w:val="24"/>
                <w:lang w:eastAsia="en-GB"/>
              </w:rPr>
              <w:t>(189)</w:t>
            </w:r>
          </w:p>
        </w:tc>
        <w:tc>
          <w:tcPr>
            <w:tcW w:w="1562" w:type="dxa"/>
            <w:vAlign w:val="center"/>
          </w:tcPr>
          <w:p w14:paraId="75D1DC10" w14:textId="37C8DEC4" w:rsidR="00CE486E" w:rsidRPr="00BD2C0D" w:rsidRDefault="00CE486E" w:rsidP="009A6091">
            <w:pPr>
              <w:jc w:val="right"/>
              <w:rPr>
                <w:rFonts w:cs="Arial"/>
                <w:szCs w:val="24"/>
                <w:lang w:eastAsia="en-GB"/>
              </w:rPr>
            </w:pPr>
            <w:r>
              <w:rPr>
                <w:rFonts w:cs="Arial"/>
                <w:szCs w:val="24"/>
                <w:lang w:eastAsia="en-GB"/>
              </w:rPr>
              <w:t>189</w:t>
            </w:r>
          </w:p>
        </w:tc>
        <w:tc>
          <w:tcPr>
            <w:tcW w:w="1565" w:type="dxa"/>
            <w:noWrap/>
            <w:vAlign w:val="center"/>
          </w:tcPr>
          <w:p w14:paraId="0EF45B3C" w14:textId="755E1E5C" w:rsidR="00CE486E" w:rsidRPr="00BD2C0D" w:rsidRDefault="00CE486E" w:rsidP="009A6091">
            <w:pPr>
              <w:jc w:val="right"/>
              <w:rPr>
                <w:rFonts w:cs="Arial"/>
                <w:szCs w:val="24"/>
                <w:lang w:eastAsia="en-GB"/>
              </w:rPr>
            </w:pPr>
            <w:r>
              <w:rPr>
                <w:rFonts w:cs="Arial"/>
                <w:szCs w:val="24"/>
                <w:lang w:eastAsia="en-GB"/>
              </w:rPr>
              <w:t>-</w:t>
            </w:r>
          </w:p>
        </w:tc>
      </w:tr>
      <w:tr w:rsidR="0067041C" w:rsidRPr="00D948C1" w14:paraId="21386093" w14:textId="77777777" w:rsidTr="00580079">
        <w:trPr>
          <w:trHeight w:val="272"/>
        </w:trPr>
        <w:tc>
          <w:tcPr>
            <w:tcW w:w="5667" w:type="dxa"/>
            <w:noWrap/>
            <w:vAlign w:val="bottom"/>
          </w:tcPr>
          <w:p w14:paraId="5E318E89" w14:textId="56CCCBB7" w:rsidR="0067041C" w:rsidRPr="00D948C1" w:rsidRDefault="0067041C" w:rsidP="002A042C">
            <w:pPr>
              <w:ind w:left="175"/>
              <w:rPr>
                <w:rFonts w:cs="Arial"/>
                <w:szCs w:val="24"/>
                <w:lang w:eastAsia="en-GB"/>
              </w:rPr>
            </w:pPr>
            <w:r w:rsidRPr="00D948C1">
              <w:rPr>
                <w:rFonts w:cs="Arial"/>
                <w:szCs w:val="24"/>
                <w:lang w:eastAsia="en-GB"/>
              </w:rPr>
              <w:t>Revaluations</w:t>
            </w:r>
          </w:p>
        </w:tc>
        <w:tc>
          <w:tcPr>
            <w:tcW w:w="1565" w:type="dxa"/>
            <w:noWrap/>
            <w:vAlign w:val="center"/>
          </w:tcPr>
          <w:p w14:paraId="2E35F37D" w14:textId="03230BAD" w:rsidR="0067041C" w:rsidRPr="00BD2C0D" w:rsidRDefault="0067041C" w:rsidP="002A042C">
            <w:pPr>
              <w:jc w:val="right"/>
              <w:rPr>
                <w:rFonts w:cs="Arial"/>
                <w:szCs w:val="24"/>
                <w:lang w:eastAsia="en-GB"/>
              </w:rPr>
            </w:pPr>
            <w:r>
              <w:rPr>
                <w:rFonts w:cs="Arial"/>
                <w:szCs w:val="24"/>
                <w:lang w:eastAsia="en-GB"/>
              </w:rPr>
              <w:t>(903)</w:t>
            </w:r>
          </w:p>
        </w:tc>
        <w:tc>
          <w:tcPr>
            <w:tcW w:w="1563" w:type="dxa"/>
            <w:vAlign w:val="center"/>
          </w:tcPr>
          <w:p w14:paraId="66CAD474" w14:textId="65817570" w:rsidR="0067041C" w:rsidRPr="00BD2C0D" w:rsidRDefault="0067041C" w:rsidP="002A042C">
            <w:pPr>
              <w:jc w:val="right"/>
              <w:rPr>
                <w:rFonts w:cs="Arial"/>
                <w:szCs w:val="24"/>
                <w:lang w:eastAsia="en-GB"/>
              </w:rPr>
            </w:pPr>
            <w:r>
              <w:rPr>
                <w:rFonts w:cs="Arial"/>
                <w:szCs w:val="24"/>
                <w:lang w:eastAsia="en-GB"/>
              </w:rPr>
              <w:t>(683)</w:t>
            </w:r>
          </w:p>
        </w:tc>
        <w:tc>
          <w:tcPr>
            <w:tcW w:w="1564" w:type="dxa"/>
            <w:vAlign w:val="center"/>
          </w:tcPr>
          <w:p w14:paraId="0E456260" w14:textId="00C06A5F" w:rsidR="0067041C" w:rsidRDefault="0067041C" w:rsidP="002A042C">
            <w:pPr>
              <w:jc w:val="right"/>
              <w:rPr>
                <w:rFonts w:cs="Arial"/>
                <w:szCs w:val="24"/>
                <w:lang w:eastAsia="en-GB"/>
              </w:rPr>
            </w:pPr>
            <w:r>
              <w:rPr>
                <w:rFonts w:cs="Arial"/>
                <w:szCs w:val="24"/>
                <w:lang w:eastAsia="en-GB"/>
              </w:rPr>
              <w:t>-</w:t>
            </w:r>
          </w:p>
        </w:tc>
        <w:tc>
          <w:tcPr>
            <w:tcW w:w="1562" w:type="dxa"/>
            <w:vAlign w:val="center"/>
          </w:tcPr>
          <w:p w14:paraId="16DBB67F" w14:textId="2D4999EA" w:rsidR="0067041C" w:rsidRPr="00BD2C0D" w:rsidRDefault="0067041C" w:rsidP="002A042C">
            <w:pPr>
              <w:jc w:val="right"/>
              <w:rPr>
                <w:rFonts w:cs="Arial"/>
                <w:szCs w:val="24"/>
                <w:lang w:eastAsia="en-GB"/>
              </w:rPr>
            </w:pPr>
            <w:r>
              <w:rPr>
                <w:rFonts w:cs="Arial"/>
                <w:szCs w:val="24"/>
                <w:lang w:eastAsia="en-GB"/>
              </w:rPr>
              <w:t>-</w:t>
            </w:r>
          </w:p>
        </w:tc>
        <w:tc>
          <w:tcPr>
            <w:tcW w:w="1565" w:type="dxa"/>
            <w:noWrap/>
            <w:vAlign w:val="center"/>
          </w:tcPr>
          <w:p w14:paraId="05F4F3C4" w14:textId="130AC09F" w:rsidR="0067041C" w:rsidRPr="00BD2C0D" w:rsidRDefault="0067041C" w:rsidP="002A042C">
            <w:pPr>
              <w:jc w:val="right"/>
              <w:rPr>
                <w:rFonts w:cs="Arial"/>
                <w:szCs w:val="24"/>
                <w:lang w:eastAsia="en-GB"/>
              </w:rPr>
            </w:pPr>
            <w:r>
              <w:rPr>
                <w:rFonts w:cs="Arial"/>
                <w:szCs w:val="24"/>
                <w:lang w:eastAsia="en-GB"/>
              </w:rPr>
              <w:t>(1,</w:t>
            </w:r>
            <w:r w:rsidR="00CF6248">
              <w:rPr>
                <w:rFonts w:cs="Arial"/>
                <w:szCs w:val="24"/>
                <w:lang w:eastAsia="en-GB"/>
              </w:rPr>
              <w:t>586</w:t>
            </w:r>
            <w:r>
              <w:rPr>
                <w:rFonts w:cs="Arial"/>
                <w:szCs w:val="24"/>
                <w:lang w:eastAsia="en-GB"/>
              </w:rPr>
              <w:t>)</w:t>
            </w:r>
          </w:p>
        </w:tc>
      </w:tr>
      <w:tr w:rsidR="0067041C" w:rsidRPr="00D948C1" w14:paraId="4271C5A2" w14:textId="77777777" w:rsidTr="00580079">
        <w:trPr>
          <w:trHeight w:val="272"/>
        </w:trPr>
        <w:tc>
          <w:tcPr>
            <w:tcW w:w="5667" w:type="dxa"/>
            <w:noWrap/>
            <w:vAlign w:val="bottom"/>
          </w:tcPr>
          <w:p w14:paraId="698556C2" w14:textId="29CB81FE" w:rsidR="0067041C" w:rsidRPr="00D948C1" w:rsidRDefault="0067041C" w:rsidP="002A042C">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6</w:t>
            </w:r>
          </w:p>
        </w:tc>
        <w:tc>
          <w:tcPr>
            <w:tcW w:w="1565" w:type="dxa"/>
            <w:noWrap/>
            <w:vAlign w:val="center"/>
          </w:tcPr>
          <w:p w14:paraId="3B5E4909" w14:textId="5677560E" w:rsidR="0067041C" w:rsidRPr="00BD2C0D" w:rsidRDefault="0067041C" w:rsidP="002A042C">
            <w:pPr>
              <w:jc w:val="right"/>
              <w:rPr>
                <w:rFonts w:cs="Arial"/>
                <w:szCs w:val="24"/>
                <w:lang w:eastAsia="en-GB"/>
              </w:rPr>
            </w:pPr>
            <w:r>
              <w:rPr>
                <w:rFonts w:cs="Arial"/>
                <w:szCs w:val="24"/>
                <w:lang w:eastAsia="en-GB"/>
              </w:rPr>
              <w:t>79,873</w:t>
            </w:r>
          </w:p>
        </w:tc>
        <w:tc>
          <w:tcPr>
            <w:tcW w:w="1563" w:type="dxa"/>
            <w:vAlign w:val="center"/>
          </w:tcPr>
          <w:p w14:paraId="2B24C213" w14:textId="514D33AA" w:rsidR="0067041C" w:rsidRPr="00BD2C0D" w:rsidRDefault="0067041C" w:rsidP="002A042C">
            <w:pPr>
              <w:jc w:val="right"/>
              <w:rPr>
                <w:rFonts w:cs="Arial"/>
                <w:szCs w:val="24"/>
                <w:lang w:eastAsia="en-GB"/>
              </w:rPr>
            </w:pPr>
            <w:r>
              <w:rPr>
                <w:rFonts w:cs="Arial"/>
                <w:szCs w:val="24"/>
                <w:lang w:eastAsia="en-GB"/>
              </w:rPr>
              <w:t>33,115</w:t>
            </w:r>
          </w:p>
        </w:tc>
        <w:tc>
          <w:tcPr>
            <w:tcW w:w="1564" w:type="dxa"/>
            <w:vAlign w:val="center"/>
          </w:tcPr>
          <w:p w14:paraId="3C362AA5" w14:textId="095B349F" w:rsidR="0067041C" w:rsidRPr="00C10CC1" w:rsidRDefault="0067041C" w:rsidP="002A042C">
            <w:pPr>
              <w:jc w:val="right"/>
              <w:rPr>
                <w:rFonts w:cs="Arial"/>
                <w:szCs w:val="24"/>
                <w:lang w:eastAsia="en-GB"/>
              </w:rPr>
            </w:pPr>
            <w:r>
              <w:rPr>
                <w:rFonts w:cs="Arial"/>
                <w:szCs w:val="24"/>
                <w:lang w:eastAsia="en-GB"/>
              </w:rPr>
              <w:t>3,967</w:t>
            </w:r>
          </w:p>
        </w:tc>
        <w:tc>
          <w:tcPr>
            <w:tcW w:w="1562" w:type="dxa"/>
            <w:vAlign w:val="center"/>
          </w:tcPr>
          <w:p w14:paraId="050ECA52" w14:textId="5C22E351" w:rsidR="0067041C" w:rsidRPr="00BD2C0D" w:rsidRDefault="0067041C" w:rsidP="002A042C">
            <w:pPr>
              <w:jc w:val="right"/>
              <w:rPr>
                <w:rFonts w:cs="Arial"/>
                <w:szCs w:val="24"/>
                <w:lang w:eastAsia="en-GB"/>
              </w:rPr>
            </w:pPr>
            <w:r>
              <w:rPr>
                <w:rFonts w:cs="Arial"/>
                <w:szCs w:val="24"/>
                <w:lang w:eastAsia="en-GB"/>
              </w:rPr>
              <w:t>28,937</w:t>
            </w:r>
          </w:p>
        </w:tc>
        <w:tc>
          <w:tcPr>
            <w:tcW w:w="1565" w:type="dxa"/>
            <w:noWrap/>
            <w:vAlign w:val="center"/>
          </w:tcPr>
          <w:p w14:paraId="23745F1E" w14:textId="1ED0E516" w:rsidR="0067041C" w:rsidRPr="00BD2C0D" w:rsidRDefault="0067041C" w:rsidP="002A042C">
            <w:pPr>
              <w:jc w:val="right"/>
              <w:rPr>
                <w:rFonts w:cs="Arial"/>
                <w:szCs w:val="24"/>
                <w:lang w:eastAsia="en-GB"/>
              </w:rPr>
            </w:pPr>
            <w:r>
              <w:rPr>
                <w:rFonts w:cs="Arial"/>
                <w:szCs w:val="24"/>
                <w:lang w:eastAsia="en-GB"/>
              </w:rPr>
              <w:t>145,891</w:t>
            </w:r>
          </w:p>
        </w:tc>
      </w:tr>
    </w:tbl>
    <w:p w14:paraId="43720E67" w14:textId="77777777" w:rsidR="00372872" w:rsidRPr="00D948C1"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D948C1" w14:paraId="44D9A6FB" w14:textId="77777777" w:rsidTr="00003B42">
        <w:trPr>
          <w:trHeight w:val="212"/>
        </w:trPr>
        <w:tc>
          <w:tcPr>
            <w:tcW w:w="13492" w:type="dxa"/>
            <w:gridSpan w:val="6"/>
            <w:shd w:val="clear" w:color="auto" w:fill="D9D9D9" w:themeFill="background1" w:themeFillShade="D9"/>
            <w:noWrap/>
            <w:vAlign w:val="bottom"/>
          </w:tcPr>
          <w:p w14:paraId="6718FE1E" w14:textId="1A395382" w:rsidR="00E439FD" w:rsidRPr="00D948C1" w:rsidRDefault="00E439FD" w:rsidP="00BC6C4F">
            <w:pPr>
              <w:rPr>
                <w:rFonts w:cs="Arial"/>
                <w:szCs w:val="24"/>
                <w:lang w:eastAsia="en-GB"/>
              </w:rPr>
            </w:pPr>
            <w:r w:rsidRPr="00D948C1">
              <w:rPr>
                <w:rFonts w:cs="Arial"/>
                <w:b/>
                <w:bCs/>
                <w:szCs w:val="24"/>
                <w:lang w:eastAsia="en-GB"/>
              </w:rPr>
              <w:t>Depreciation and impairments</w:t>
            </w:r>
          </w:p>
        </w:tc>
      </w:tr>
      <w:tr w:rsidR="00D179D6" w:rsidRPr="00D948C1" w14:paraId="3074F9E6" w14:textId="77777777" w:rsidTr="00580079">
        <w:trPr>
          <w:trHeight w:val="272"/>
        </w:trPr>
        <w:tc>
          <w:tcPr>
            <w:tcW w:w="5668" w:type="dxa"/>
            <w:noWrap/>
            <w:vAlign w:val="bottom"/>
          </w:tcPr>
          <w:p w14:paraId="6CE7BC1B" w14:textId="393331EB" w:rsidR="00D179D6" w:rsidRPr="00D948C1" w:rsidRDefault="00D179D6" w:rsidP="00D179D6">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5</w:t>
            </w:r>
          </w:p>
        </w:tc>
        <w:tc>
          <w:tcPr>
            <w:tcW w:w="1565" w:type="dxa"/>
            <w:noWrap/>
            <w:vAlign w:val="center"/>
          </w:tcPr>
          <w:p w14:paraId="1128383F" w14:textId="36990638" w:rsidR="00D179D6" w:rsidRPr="00BD2C0D" w:rsidRDefault="00D179D6" w:rsidP="00D179D6">
            <w:pPr>
              <w:jc w:val="right"/>
              <w:rPr>
                <w:rFonts w:cs="Arial"/>
                <w:szCs w:val="24"/>
                <w:lang w:eastAsia="en-GB"/>
              </w:rPr>
            </w:pPr>
            <w:r w:rsidRPr="00BD2C0D">
              <w:rPr>
                <w:rFonts w:cs="Arial"/>
                <w:szCs w:val="24"/>
                <w:lang w:eastAsia="en-GB"/>
              </w:rPr>
              <w:t>-</w:t>
            </w:r>
          </w:p>
        </w:tc>
        <w:tc>
          <w:tcPr>
            <w:tcW w:w="1564" w:type="dxa"/>
            <w:vAlign w:val="center"/>
          </w:tcPr>
          <w:p w14:paraId="4F0273AC" w14:textId="6973A5AD" w:rsidR="00D179D6" w:rsidRPr="00BD2C0D" w:rsidRDefault="00D179D6" w:rsidP="00D179D6">
            <w:pPr>
              <w:jc w:val="right"/>
              <w:rPr>
                <w:rFonts w:cs="Arial"/>
                <w:szCs w:val="24"/>
                <w:lang w:eastAsia="en-GB"/>
              </w:rPr>
            </w:pPr>
            <w:r w:rsidRPr="00BD2C0D">
              <w:rPr>
                <w:rFonts w:cs="Arial"/>
                <w:szCs w:val="24"/>
                <w:lang w:eastAsia="en-GB"/>
              </w:rPr>
              <w:t>-</w:t>
            </w:r>
          </w:p>
        </w:tc>
        <w:tc>
          <w:tcPr>
            <w:tcW w:w="1565" w:type="dxa"/>
            <w:vAlign w:val="center"/>
          </w:tcPr>
          <w:p w14:paraId="46BCD356" w14:textId="0571BC3F" w:rsidR="00D179D6" w:rsidRPr="00C10CC1" w:rsidRDefault="00D179D6" w:rsidP="00D179D6">
            <w:pPr>
              <w:jc w:val="right"/>
              <w:rPr>
                <w:rFonts w:cs="Arial"/>
                <w:szCs w:val="24"/>
                <w:lang w:eastAsia="en-GB"/>
              </w:rPr>
            </w:pPr>
            <w:r>
              <w:rPr>
                <w:rFonts w:cs="Arial"/>
                <w:szCs w:val="24"/>
                <w:lang w:eastAsia="en-GB"/>
              </w:rPr>
              <w:t>-</w:t>
            </w:r>
          </w:p>
        </w:tc>
        <w:tc>
          <w:tcPr>
            <w:tcW w:w="1565" w:type="dxa"/>
            <w:vAlign w:val="center"/>
          </w:tcPr>
          <w:p w14:paraId="2C1C5C76" w14:textId="3C827DDF" w:rsidR="00D179D6" w:rsidRPr="00BD2C0D" w:rsidRDefault="00D179D6" w:rsidP="00D179D6">
            <w:pPr>
              <w:jc w:val="right"/>
              <w:rPr>
                <w:rFonts w:cs="Arial"/>
                <w:szCs w:val="24"/>
                <w:lang w:eastAsia="en-GB"/>
              </w:rPr>
            </w:pPr>
            <w:r w:rsidRPr="00BD2C0D">
              <w:rPr>
                <w:rFonts w:cs="Arial"/>
                <w:szCs w:val="24"/>
                <w:lang w:eastAsia="en-GB"/>
              </w:rPr>
              <w:t>(18,025)</w:t>
            </w:r>
          </w:p>
        </w:tc>
        <w:tc>
          <w:tcPr>
            <w:tcW w:w="1565" w:type="dxa"/>
            <w:noWrap/>
            <w:vAlign w:val="center"/>
          </w:tcPr>
          <w:p w14:paraId="5713DF93" w14:textId="7691C1B0" w:rsidR="00D179D6" w:rsidRPr="00BD2C0D" w:rsidRDefault="00D179D6" w:rsidP="00D179D6">
            <w:pPr>
              <w:jc w:val="right"/>
              <w:rPr>
                <w:rFonts w:cs="Arial"/>
                <w:szCs w:val="24"/>
                <w:lang w:eastAsia="en-GB"/>
              </w:rPr>
            </w:pPr>
            <w:r w:rsidRPr="00BD2C0D">
              <w:rPr>
                <w:rFonts w:cs="Arial"/>
                <w:szCs w:val="24"/>
                <w:lang w:eastAsia="en-GB"/>
              </w:rPr>
              <w:t>(18,025)</w:t>
            </w:r>
          </w:p>
        </w:tc>
      </w:tr>
      <w:tr w:rsidR="00600E41" w:rsidRPr="00D948C1" w14:paraId="4F529EF0" w14:textId="77777777" w:rsidTr="00580079">
        <w:trPr>
          <w:trHeight w:val="272"/>
        </w:trPr>
        <w:tc>
          <w:tcPr>
            <w:tcW w:w="5668" w:type="dxa"/>
            <w:noWrap/>
            <w:vAlign w:val="bottom"/>
          </w:tcPr>
          <w:p w14:paraId="12A3AAD3" w14:textId="1BA6DB65" w:rsidR="00600E41" w:rsidRPr="00D948C1" w:rsidRDefault="00600E41" w:rsidP="009A6091">
            <w:pPr>
              <w:ind w:left="175"/>
              <w:rPr>
                <w:rFonts w:cs="Arial"/>
                <w:szCs w:val="24"/>
                <w:lang w:eastAsia="en-GB"/>
              </w:rPr>
            </w:pPr>
            <w:r w:rsidRPr="00D948C1">
              <w:rPr>
                <w:rFonts w:cs="Arial"/>
                <w:szCs w:val="24"/>
                <w:lang w:eastAsia="en-GB"/>
              </w:rPr>
              <w:t xml:space="preserve">Depreciation charge for </w:t>
            </w:r>
            <w:r w:rsidR="001A42DD">
              <w:rPr>
                <w:rFonts w:cs="Arial"/>
                <w:szCs w:val="24"/>
                <w:lang w:eastAsia="en-GB"/>
              </w:rPr>
              <w:t>2025-26</w:t>
            </w:r>
          </w:p>
        </w:tc>
        <w:tc>
          <w:tcPr>
            <w:tcW w:w="1565" w:type="dxa"/>
            <w:noWrap/>
            <w:vAlign w:val="center"/>
          </w:tcPr>
          <w:p w14:paraId="2BDD11F5" w14:textId="51DCC737" w:rsidR="00600E41" w:rsidRPr="00BD2C0D" w:rsidRDefault="00EC6982" w:rsidP="009A6091">
            <w:pPr>
              <w:jc w:val="right"/>
              <w:rPr>
                <w:rFonts w:cs="Arial"/>
                <w:szCs w:val="24"/>
                <w:lang w:eastAsia="en-GB"/>
              </w:rPr>
            </w:pPr>
            <w:r>
              <w:rPr>
                <w:rFonts w:cs="Arial"/>
                <w:szCs w:val="24"/>
                <w:lang w:eastAsia="en-GB"/>
              </w:rPr>
              <w:t>(3,439)</w:t>
            </w:r>
          </w:p>
        </w:tc>
        <w:tc>
          <w:tcPr>
            <w:tcW w:w="1564" w:type="dxa"/>
            <w:vAlign w:val="center"/>
          </w:tcPr>
          <w:p w14:paraId="5B06AB69" w14:textId="23C58209" w:rsidR="00600E41" w:rsidRPr="00BD2C0D" w:rsidRDefault="00EC6982" w:rsidP="009A6091">
            <w:pPr>
              <w:jc w:val="right"/>
              <w:rPr>
                <w:rFonts w:cs="Arial"/>
                <w:szCs w:val="24"/>
                <w:lang w:eastAsia="en-GB"/>
              </w:rPr>
            </w:pPr>
            <w:r>
              <w:rPr>
                <w:rFonts w:cs="Arial"/>
                <w:szCs w:val="24"/>
                <w:lang w:eastAsia="en-GB"/>
              </w:rPr>
              <w:t>(1,108)</w:t>
            </w:r>
          </w:p>
        </w:tc>
        <w:tc>
          <w:tcPr>
            <w:tcW w:w="1565" w:type="dxa"/>
            <w:vAlign w:val="center"/>
          </w:tcPr>
          <w:p w14:paraId="260CC3C6" w14:textId="6B1A591A" w:rsidR="00600E41" w:rsidRPr="00C10CC1" w:rsidRDefault="00EC6982" w:rsidP="00E3108A">
            <w:pPr>
              <w:jc w:val="right"/>
              <w:rPr>
                <w:rFonts w:cs="Arial"/>
                <w:szCs w:val="24"/>
                <w:lang w:eastAsia="en-GB"/>
              </w:rPr>
            </w:pPr>
            <w:r>
              <w:rPr>
                <w:rFonts w:cs="Arial"/>
                <w:szCs w:val="24"/>
                <w:lang w:eastAsia="en-GB"/>
              </w:rPr>
              <w:t>-</w:t>
            </w:r>
          </w:p>
        </w:tc>
        <w:tc>
          <w:tcPr>
            <w:tcW w:w="1565" w:type="dxa"/>
            <w:vAlign w:val="center"/>
          </w:tcPr>
          <w:p w14:paraId="29EAB8F5" w14:textId="5A748482" w:rsidR="00600E41" w:rsidRPr="00BD2C0D" w:rsidRDefault="00EC6982" w:rsidP="009A6091">
            <w:pPr>
              <w:jc w:val="right"/>
              <w:rPr>
                <w:rFonts w:cs="Arial"/>
                <w:szCs w:val="24"/>
                <w:lang w:eastAsia="en-GB"/>
              </w:rPr>
            </w:pPr>
            <w:r>
              <w:rPr>
                <w:rFonts w:cs="Arial"/>
                <w:szCs w:val="24"/>
                <w:lang w:eastAsia="en-GB"/>
              </w:rPr>
              <w:t>(2,110)</w:t>
            </w:r>
          </w:p>
        </w:tc>
        <w:tc>
          <w:tcPr>
            <w:tcW w:w="1565" w:type="dxa"/>
            <w:noWrap/>
            <w:vAlign w:val="center"/>
          </w:tcPr>
          <w:p w14:paraId="2CC6525E" w14:textId="589F5E0B" w:rsidR="00600E41" w:rsidRPr="00BD2C0D" w:rsidRDefault="00EC6982" w:rsidP="009A6091">
            <w:pPr>
              <w:jc w:val="right"/>
              <w:rPr>
                <w:rFonts w:cs="Arial"/>
                <w:szCs w:val="24"/>
                <w:lang w:eastAsia="en-GB"/>
              </w:rPr>
            </w:pPr>
            <w:r>
              <w:rPr>
                <w:rFonts w:cs="Arial"/>
                <w:szCs w:val="24"/>
                <w:lang w:eastAsia="en-GB"/>
              </w:rPr>
              <w:t>(6,657)</w:t>
            </w:r>
          </w:p>
        </w:tc>
      </w:tr>
      <w:tr w:rsidR="00600E41" w:rsidRPr="00D948C1" w14:paraId="4E32CA31" w14:textId="77777777" w:rsidTr="00580079">
        <w:trPr>
          <w:trHeight w:val="272"/>
        </w:trPr>
        <w:tc>
          <w:tcPr>
            <w:tcW w:w="5668" w:type="dxa"/>
            <w:noWrap/>
            <w:vAlign w:val="bottom"/>
          </w:tcPr>
          <w:p w14:paraId="2FA83F45" w14:textId="3AD051A3" w:rsidR="00600E41" w:rsidRPr="00D948C1" w:rsidRDefault="00600E41" w:rsidP="009A6091">
            <w:pPr>
              <w:ind w:left="175"/>
              <w:rPr>
                <w:rFonts w:cs="Arial"/>
                <w:szCs w:val="24"/>
                <w:lang w:eastAsia="en-GB"/>
              </w:rPr>
            </w:pPr>
            <w:r w:rsidRPr="00D948C1">
              <w:rPr>
                <w:rFonts w:cs="Arial"/>
                <w:szCs w:val="24"/>
                <w:lang w:eastAsia="en-GB"/>
              </w:rPr>
              <w:t>Disposals</w:t>
            </w:r>
            <w:r w:rsidR="007E0E1E">
              <w:rPr>
                <w:rFonts w:cs="Arial"/>
                <w:szCs w:val="24"/>
                <w:lang w:eastAsia="en-GB"/>
              </w:rPr>
              <w:t xml:space="preserve"> and d</w:t>
            </w:r>
            <w:r>
              <w:rPr>
                <w:rFonts w:cs="Arial"/>
                <w:szCs w:val="24"/>
                <w:lang w:eastAsia="en-GB"/>
              </w:rPr>
              <w:t>e-recognitions</w:t>
            </w:r>
          </w:p>
        </w:tc>
        <w:tc>
          <w:tcPr>
            <w:tcW w:w="1565" w:type="dxa"/>
            <w:noWrap/>
            <w:vAlign w:val="center"/>
          </w:tcPr>
          <w:p w14:paraId="64900AFD" w14:textId="5495DC80" w:rsidR="00600E41" w:rsidRPr="00BD2C0D" w:rsidRDefault="007629F2" w:rsidP="009A6091">
            <w:pPr>
              <w:jc w:val="right"/>
              <w:rPr>
                <w:rFonts w:cs="Arial"/>
                <w:szCs w:val="24"/>
                <w:lang w:eastAsia="en-GB"/>
              </w:rPr>
            </w:pPr>
            <w:r>
              <w:rPr>
                <w:rFonts w:cs="Arial"/>
                <w:szCs w:val="24"/>
                <w:lang w:eastAsia="en-GB"/>
              </w:rPr>
              <w:t>-</w:t>
            </w:r>
          </w:p>
        </w:tc>
        <w:tc>
          <w:tcPr>
            <w:tcW w:w="1564" w:type="dxa"/>
            <w:vAlign w:val="center"/>
          </w:tcPr>
          <w:p w14:paraId="05026C59" w14:textId="1438FE02" w:rsidR="00600E41" w:rsidRPr="00BD2C0D" w:rsidRDefault="007629F2" w:rsidP="009A6091">
            <w:pPr>
              <w:jc w:val="right"/>
              <w:rPr>
                <w:rFonts w:cs="Arial"/>
                <w:szCs w:val="24"/>
                <w:lang w:eastAsia="en-GB"/>
              </w:rPr>
            </w:pPr>
            <w:r>
              <w:rPr>
                <w:rFonts w:cs="Arial"/>
                <w:szCs w:val="24"/>
                <w:lang w:eastAsia="en-GB"/>
              </w:rPr>
              <w:t>-</w:t>
            </w:r>
          </w:p>
        </w:tc>
        <w:tc>
          <w:tcPr>
            <w:tcW w:w="1565" w:type="dxa"/>
            <w:vAlign w:val="center"/>
          </w:tcPr>
          <w:p w14:paraId="173C0BAC" w14:textId="69754E98" w:rsidR="00600E41" w:rsidRPr="00C10CC1" w:rsidRDefault="007629F2" w:rsidP="00E3108A">
            <w:pPr>
              <w:jc w:val="right"/>
              <w:rPr>
                <w:rFonts w:cs="Arial"/>
                <w:szCs w:val="24"/>
                <w:lang w:eastAsia="en-GB"/>
              </w:rPr>
            </w:pPr>
            <w:r>
              <w:rPr>
                <w:rFonts w:cs="Arial"/>
                <w:szCs w:val="24"/>
                <w:lang w:eastAsia="en-GB"/>
              </w:rPr>
              <w:t>-</w:t>
            </w:r>
          </w:p>
        </w:tc>
        <w:tc>
          <w:tcPr>
            <w:tcW w:w="1565" w:type="dxa"/>
            <w:vAlign w:val="center"/>
          </w:tcPr>
          <w:p w14:paraId="49033D0A" w14:textId="369168AB" w:rsidR="00600E41" w:rsidRPr="00BD2C0D" w:rsidRDefault="007629F2" w:rsidP="009A6091">
            <w:pPr>
              <w:jc w:val="right"/>
              <w:rPr>
                <w:rFonts w:cs="Arial"/>
                <w:szCs w:val="24"/>
                <w:lang w:eastAsia="en-GB"/>
              </w:rPr>
            </w:pPr>
            <w:r>
              <w:rPr>
                <w:rFonts w:cs="Arial"/>
                <w:szCs w:val="24"/>
                <w:lang w:eastAsia="en-GB"/>
              </w:rPr>
              <w:t>1,778</w:t>
            </w:r>
          </w:p>
        </w:tc>
        <w:tc>
          <w:tcPr>
            <w:tcW w:w="1565" w:type="dxa"/>
            <w:noWrap/>
            <w:vAlign w:val="center"/>
          </w:tcPr>
          <w:p w14:paraId="1C499701" w14:textId="70BA42B8" w:rsidR="00600E41" w:rsidRPr="00BD2C0D" w:rsidRDefault="007629F2" w:rsidP="009A6091">
            <w:pPr>
              <w:jc w:val="right"/>
              <w:rPr>
                <w:rFonts w:cs="Arial"/>
                <w:szCs w:val="24"/>
                <w:lang w:eastAsia="en-GB"/>
              </w:rPr>
            </w:pPr>
            <w:r>
              <w:rPr>
                <w:rFonts w:cs="Arial"/>
                <w:szCs w:val="24"/>
                <w:lang w:eastAsia="en-GB"/>
              </w:rPr>
              <w:t>1,778</w:t>
            </w:r>
          </w:p>
        </w:tc>
      </w:tr>
      <w:tr w:rsidR="002E07FA" w:rsidRPr="00D948C1" w14:paraId="377D3D36" w14:textId="77777777" w:rsidTr="00580079">
        <w:trPr>
          <w:trHeight w:val="272"/>
        </w:trPr>
        <w:tc>
          <w:tcPr>
            <w:tcW w:w="5668" w:type="dxa"/>
            <w:noWrap/>
            <w:vAlign w:val="bottom"/>
          </w:tcPr>
          <w:p w14:paraId="50718B95" w14:textId="11ECF5F6" w:rsidR="002E07FA" w:rsidRPr="00D948C1" w:rsidRDefault="002E07FA" w:rsidP="002E07FA">
            <w:pPr>
              <w:ind w:left="175"/>
              <w:rPr>
                <w:rFonts w:cs="Arial"/>
                <w:szCs w:val="24"/>
                <w:lang w:eastAsia="en-GB"/>
              </w:rPr>
            </w:pPr>
            <w:r w:rsidRPr="00D948C1">
              <w:rPr>
                <w:rFonts w:cs="Arial"/>
                <w:szCs w:val="24"/>
                <w:lang w:eastAsia="en-GB"/>
              </w:rPr>
              <w:t>Revaluations</w:t>
            </w:r>
          </w:p>
        </w:tc>
        <w:tc>
          <w:tcPr>
            <w:tcW w:w="1565" w:type="dxa"/>
            <w:noWrap/>
            <w:vAlign w:val="center"/>
          </w:tcPr>
          <w:p w14:paraId="2F04B2AA" w14:textId="2EB9FA87" w:rsidR="002E07FA" w:rsidRPr="00BD2C0D" w:rsidRDefault="009A7C1A" w:rsidP="002E07FA">
            <w:pPr>
              <w:jc w:val="right"/>
              <w:rPr>
                <w:rFonts w:cs="Arial"/>
                <w:szCs w:val="24"/>
              </w:rPr>
            </w:pPr>
            <w:r>
              <w:rPr>
                <w:rFonts w:cs="Arial"/>
                <w:szCs w:val="24"/>
              </w:rPr>
              <w:t>3</w:t>
            </w:r>
            <w:r w:rsidR="002E07FA">
              <w:rPr>
                <w:rFonts w:cs="Arial"/>
                <w:szCs w:val="24"/>
              </w:rPr>
              <w:t>,</w:t>
            </w:r>
            <w:r w:rsidR="00C955F4">
              <w:rPr>
                <w:rFonts w:cs="Arial"/>
                <w:szCs w:val="24"/>
              </w:rPr>
              <w:t>439</w:t>
            </w:r>
          </w:p>
        </w:tc>
        <w:tc>
          <w:tcPr>
            <w:tcW w:w="1564" w:type="dxa"/>
            <w:vAlign w:val="center"/>
          </w:tcPr>
          <w:p w14:paraId="6246EDEF" w14:textId="05FC91E7" w:rsidR="002E07FA" w:rsidRPr="00BD2C0D" w:rsidRDefault="00C955F4" w:rsidP="002E07FA">
            <w:pPr>
              <w:jc w:val="right"/>
              <w:rPr>
                <w:rFonts w:cs="Arial"/>
                <w:szCs w:val="24"/>
              </w:rPr>
            </w:pPr>
            <w:r>
              <w:rPr>
                <w:rFonts w:cs="Arial"/>
                <w:szCs w:val="24"/>
              </w:rPr>
              <w:t>1,108</w:t>
            </w:r>
          </w:p>
        </w:tc>
        <w:tc>
          <w:tcPr>
            <w:tcW w:w="1565" w:type="dxa"/>
            <w:vAlign w:val="center"/>
          </w:tcPr>
          <w:p w14:paraId="551675DD" w14:textId="60FECAA9" w:rsidR="002E07FA" w:rsidRPr="00C10CC1" w:rsidRDefault="002E07FA" w:rsidP="002E07FA">
            <w:pPr>
              <w:jc w:val="right"/>
              <w:rPr>
                <w:rFonts w:cs="Arial"/>
                <w:szCs w:val="24"/>
              </w:rPr>
            </w:pPr>
            <w:r>
              <w:rPr>
                <w:rFonts w:cs="Arial"/>
                <w:szCs w:val="24"/>
              </w:rPr>
              <w:t>-</w:t>
            </w:r>
          </w:p>
        </w:tc>
        <w:tc>
          <w:tcPr>
            <w:tcW w:w="1565" w:type="dxa"/>
            <w:vAlign w:val="center"/>
          </w:tcPr>
          <w:p w14:paraId="5622E348" w14:textId="29B1A87C" w:rsidR="002E07FA" w:rsidRPr="00BD2C0D" w:rsidRDefault="002E07FA" w:rsidP="002E07FA">
            <w:pPr>
              <w:jc w:val="right"/>
              <w:rPr>
                <w:rFonts w:cs="Arial"/>
                <w:szCs w:val="24"/>
              </w:rPr>
            </w:pPr>
            <w:r>
              <w:rPr>
                <w:rFonts w:cs="Arial"/>
                <w:szCs w:val="24"/>
              </w:rPr>
              <w:t>-</w:t>
            </w:r>
          </w:p>
        </w:tc>
        <w:tc>
          <w:tcPr>
            <w:tcW w:w="1565" w:type="dxa"/>
            <w:noWrap/>
            <w:vAlign w:val="center"/>
          </w:tcPr>
          <w:p w14:paraId="13762BDB" w14:textId="5CE10B33" w:rsidR="002E07FA" w:rsidRPr="00BD2C0D" w:rsidRDefault="00C955F4" w:rsidP="002E07FA">
            <w:pPr>
              <w:jc w:val="right"/>
              <w:rPr>
                <w:rFonts w:cs="Arial"/>
                <w:szCs w:val="24"/>
              </w:rPr>
            </w:pPr>
            <w:r>
              <w:rPr>
                <w:rFonts w:cs="Arial"/>
                <w:szCs w:val="24"/>
              </w:rPr>
              <w:t>4</w:t>
            </w:r>
            <w:r w:rsidR="002E07FA">
              <w:rPr>
                <w:rFonts w:cs="Arial"/>
                <w:szCs w:val="24"/>
              </w:rPr>
              <w:t>,</w:t>
            </w:r>
            <w:r>
              <w:rPr>
                <w:rFonts w:cs="Arial"/>
                <w:szCs w:val="24"/>
              </w:rPr>
              <w:t>547</w:t>
            </w:r>
          </w:p>
        </w:tc>
      </w:tr>
      <w:tr w:rsidR="002E07FA" w:rsidRPr="00D948C1" w14:paraId="4F4AEA5C" w14:textId="77777777" w:rsidTr="00580079">
        <w:trPr>
          <w:trHeight w:val="272"/>
        </w:trPr>
        <w:tc>
          <w:tcPr>
            <w:tcW w:w="5668" w:type="dxa"/>
            <w:noWrap/>
            <w:vAlign w:val="bottom"/>
          </w:tcPr>
          <w:p w14:paraId="24F932C1" w14:textId="097F967E" w:rsidR="002E07FA" w:rsidRPr="00D948C1" w:rsidRDefault="002E07FA" w:rsidP="002E07FA">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6</w:t>
            </w:r>
          </w:p>
        </w:tc>
        <w:tc>
          <w:tcPr>
            <w:tcW w:w="1565" w:type="dxa"/>
            <w:noWrap/>
            <w:vAlign w:val="center"/>
          </w:tcPr>
          <w:p w14:paraId="071CD9ED" w14:textId="20CCB75A" w:rsidR="002E07FA" w:rsidRPr="00BD2C0D" w:rsidRDefault="00F405A8" w:rsidP="002E07FA">
            <w:pPr>
              <w:jc w:val="right"/>
              <w:rPr>
                <w:rFonts w:cs="Arial"/>
                <w:szCs w:val="24"/>
                <w:lang w:eastAsia="en-GB"/>
              </w:rPr>
            </w:pPr>
            <w:r>
              <w:rPr>
                <w:rFonts w:cs="Arial"/>
                <w:szCs w:val="24"/>
                <w:lang w:eastAsia="en-GB"/>
              </w:rPr>
              <w:t>-</w:t>
            </w:r>
          </w:p>
        </w:tc>
        <w:tc>
          <w:tcPr>
            <w:tcW w:w="1564" w:type="dxa"/>
            <w:vAlign w:val="center"/>
          </w:tcPr>
          <w:p w14:paraId="78E11B55" w14:textId="68A2C937" w:rsidR="002E07FA" w:rsidRPr="00BD2C0D" w:rsidRDefault="00F405A8" w:rsidP="002E07FA">
            <w:pPr>
              <w:jc w:val="right"/>
              <w:rPr>
                <w:rFonts w:cs="Arial"/>
                <w:szCs w:val="24"/>
                <w:lang w:eastAsia="en-GB"/>
              </w:rPr>
            </w:pPr>
            <w:r>
              <w:rPr>
                <w:rFonts w:cs="Arial"/>
                <w:szCs w:val="24"/>
                <w:lang w:eastAsia="en-GB"/>
              </w:rPr>
              <w:t>-</w:t>
            </w:r>
          </w:p>
        </w:tc>
        <w:tc>
          <w:tcPr>
            <w:tcW w:w="1565" w:type="dxa"/>
            <w:vAlign w:val="center"/>
          </w:tcPr>
          <w:p w14:paraId="4E716FE1" w14:textId="480E34CC" w:rsidR="002E07FA" w:rsidRPr="00C10CC1" w:rsidRDefault="00F405A8" w:rsidP="002E07FA">
            <w:pPr>
              <w:jc w:val="right"/>
              <w:rPr>
                <w:rFonts w:cs="Arial"/>
                <w:szCs w:val="24"/>
                <w:lang w:eastAsia="en-GB"/>
              </w:rPr>
            </w:pPr>
            <w:r>
              <w:rPr>
                <w:rFonts w:cs="Arial"/>
                <w:szCs w:val="24"/>
                <w:lang w:eastAsia="en-GB"/>
              </w:rPr>
              <w:t>-</w:t>
            </w:r>
          </w:p>
        </w:tc>
        <w:tc>
          <w:tcPr>
            <w:tcW w:w="1565" w:type="dxa"/>
            <w:vAlign w:val="center"/>
          </w:tcPr>
          <w:p w14:paraId="6EE27B98" w14:textId="11A9A401" w:rsidR="002E07FA" w:rsidRPr="00BD2C0D" w:rsidRDefault="00F405A8" w:rsidP="002E07FA">
            <w:pPr>
              <w:jc w:val="right"/>
              <w:rPr>
                <w:rFonts w:cs="Arial"/>
                <w:szCs w:val="24"/>
                <w:lang w:eastAsia="en-GB"/>
              </w:rPr>
            </w:pPr>
            <w:r>
              <w:rPr>
                <w:rFonts w:cs="Arial"/>
                <w:szCs w:val="24"/>
                <w:lang w:eastAsia="en-GB"/>
              </w:rPr>
              <w:t>(18,357)</w:t>
            </w:r>
          </w:p>
        </w:tc>
        <w:tc>
          <w:tcPr>
            <w:tcW w:w="1565" w:type="dxa"/>
            <w:noWrap/>
            <w:vAlign w:val="center"/>
          </w:tcPr>
          <w:p w14:paraId="01AC6FD5" w14:textId="6C623567" w:rsidR="002E07FA" w:rsidRPr="00BD2C0D" w:rsidRDefault="00F405A8" w:rsidP="002E07FA">
            <w:pPr>
              <w:jc w:val="right"/>
              <w:rPr>
                <w:rFonts w:cs="Arial"/>
                <w:szCs w:val="24"/>
                <w:lang w:eastAsia="en-GB"/>
              </w:rPr>
            </w:pPr>
            <w:r>
              <w:rPr>
                <w:rFonts w:cs="Arial"/>
                <w:szCs w:val="24"/>
                <w:lang w:eastAsia="en-GB"/>
              </w:rPr>
              <w:t>(18,357)</w:t>
            </w:r>
          </w:p>
        </w:tc>
      </w:tr>
      <w:tr w:rsidR="002E07FA" w:rsidRPr="00D948C1" w14:paraId="2E43B047" w14:textId="77777777" w:rsidTr="00580079">
        <w:trPr>
          <w:trHeight w:val="272"/>
        </w:trPr>
        <w:tc>
          <w:tcPr>
            <w:tcW w:w="5668" w:type="dxa"/>
            <w:noWrap/>
            <w:vAlign w:val="bottom"/>
          </w:tcPr>
          <w:p w14:paraId="7CBB4956" w14:textId="6816DB0D" w:rsidR="002E07FA" w:rsidRPr="00D948C1" w:rsidRDefault="002E07FA" w:rsidP="002E07FA">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6</w:t>
            </w:r>
          </w:p>
        </w:tc>
        <w:tc>
          <w:tcPr>
            <w:tcW w:w="1565" w:type="dxa"/>
            <w:noWrap/>
            <w:vAlign w:val="center"/>
          </w:tcPr>
          <w:p w14:paraId="37F952CB" w14:textId="74A45188" w:rsidR="002E07FA" w:rsidRPr="00BD2C0D" w:rsidRDefault="007B0C8D" w:rsidP="002E07FA">
            <w:pPr>
              <w:jc w:val="right"/>
              <w:rPr>
                <w:rFonts w:cs="Arial"/>
                <w:szCs w:val="24"/>
                <w:lang w:eastAsia="en-GB"/>
              </w:rPr>
            </w:pPr>
            <w:r>
              <w:rPr>
                <w:rFonts w:cs="Arial"/>
                <w:szCs w:val="24"/>
                <w:lang w:eastAsia="en-GB"/>
              </w:rPr>
              <w:t>79,873</w:t>
            </w:r>
          </w:p>
        </w:tc>
        <w:tc>
          <w:tcPr>
            <w:tcW w:w="1564" w:type="dxa"/>
            <w:vAlign w:val="center"/>
          </w:tcPr>
          <w:p w14:paraId="72E9F49C" w14:textId="0227407B" w:rsidR="002E07FA" w:rsidRPr="00BD2C0D" w:rsidRDefault="007B0C8D" w:rsidP="002E07FA">
            <w:pPr>
              <w:jc w:val="right"/>
              <w:rPr>
                <w:rFonts w:cs="Arial"/>
                <w:szCs w:val="24"/>
                <w:lang w:eastAsia="en-GB"/>
              </w:rPr>
            </w:pPr>
            <w:r>
              <w:rPr>
                <w:rFonts w:cs="Arial"/>
                <w:szCs w:val="24"/>
                <w:lang w:eastAsia="en-GB"/>
              </w:rPr>
              <w:t>33,115</w:t>
            </w:r>
          </w:p>
        </w:tc>
        <w:tc>
          <w:tcPr>
            <w:tcW w:w="1565" w:type="dxa"/>
            <w:vAlign w:val="center"/>
          </w:tcPr>
          <w:p w14:paraId="707A6D83" w14:textId="481E9465" w:rsidR="002E07FA" w:rsidRPr="00C10CC1" w:rsidRDefault="007B0C8D" w:rsidP="002E07FA">
            <w:pPr>
              <w:jc w:val="right"/>
              <w:rPr>
                <w:rFonts w:cs="Arial"/>
                <w:szCs w:val="24"/>
                <w:lang w:eastAsia="en-GB"/>
              </w:rPr>
            </w:pPr>
            <w:r>
              <w:rPr>
                <w:rFonts w:cs="Arial"/>
                <w:szCs w:val="24"/>
                <w:lang w:eastAsia="en-GB"/>
              </w:rPr>
              <w:t>3,967</w:t>
            </w:r>
          </w:p>
        </w:tc>
        <w:tc>
          <w:tcPr>
            <w:tcW w:w="1565" w:type="dxa"/>
            <w:vAlign w:val="center"/>
          </w:tcPr>
          <w:p w14:paraId="1459EDB9" w14:textId="6DC4AA73" w:rsidR="002E07FA" w:rsidRPr="00BD2C0D" w:rsidRDefault="007B0C8D" w:rsidP="002E07FA">
            <w:pPr>
              <w:jc w:val="right"/>
              <w:rPr>
                <w:rFonts w:cs="Arial"/>
                <w:szCs w:val="24"/>
                <w:lang w:eastAsia="en-GB"/>
              </w:rPr>
            </w:pPr>
            <w:r>
              <w:rPr>
                <w:rFonts w:cs="Arial"/>
                <w:szCs w:val="24"/>
                <w:lang w:eastAsia="en-GB"/>
              </w:rPr>
              <w:t>10,580</w:t>
            </w:r>
          </w:p>
        </w:tc>
        <w:tc>
          <w:tcPr>
            <w:tcW w:w="1565" w:type="dxa"/>
            <w:noWrap/>
            <w:vAlign w:val="center"/>
          </w:tcPr>
          <w:p w14:paraId="59019F28" w14:textId="2FF7D73D" w:rsidR="002E07FA" w:rsidRPr="00BD2C0D" w:rsidRDefault="007B0C8D" w:rsidP="002E07FA">
            <w:pPr>
              <w:jc w:val="right"/>
              <w:rPr>
                <w:rFonts w:cs="Arial"/>
                <w:szCs w:val="24"/>
                <w:lang w:eastAsia="en-GB"/>
              </w:rPr>
            </w:pPr>
            <w:r>
              <w:rPr>
                <w:rFonts w:cs="Arial"/>
                <w:szCs w:val="24"/>
                <w:lang w:eastAsia="en-GB"/>
              </w:rPr>
              <w:t>127,534</w:t>
            </w:r>
          </w:p>
        </w:tc>
      </w:tr>
      <w:tr w:rsidR="002E07FA" w:rsidRPr="00D948C1" w14:paraId="531808D5" w14:textId="77777777" w:rsidTr="00580079">
        <w:trPr>
          <w:trHeight w:val="272"/>
        </w:trPr>
        <w:tc>
          <w:tcPr>
            <w:tcW w:w="5668" w:type="dxa"/>
            <w:noWrap/>
            <w:vAlign w:val="bottom"/>
          </w:tcPr>
          <w:p w14:paraId="3703B2BF" w14:textId="63F6836A" w:rsidR="002E07FA" w:rsidRPr="00D948C1" w:rsidRDefault="002E07FA" w:rsidP="002E07FA">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noWrap/>
            <w:vAlign w:val="center"/>
          </w:tcPr>
          <w:p w14:paraId="23ED14C4" w14:textId="759E767C" w:rsidR="002E07FA" w:rsidRPr="00BD2C0D" w:rsidRDefault="002E07FA" w:rsidP="002E07FA">
            <w:pPr>
              <w:jc w:val="right"/>
              <w:rPr>
                <w:rFonts w:cs="Arial"/>
                <w:szCs w:val="24"/>
                <w:lang w:eastAsia="en-GB"/>
              </w:rPr>
            </w:pPr>
            <w:r w:rsidRPr="00BD2C0D">
              <w:rPr>
                <w:rFonts w:cs="Arial"/>
                <w:szCs w:val="24"/>
                <w:lang w:eastAsia="en-GB"/>
              </w:rPr>
              <w:t>80,6</w:t>
            </w:r>
            <w:r>
              <w:rPr>
                <w:rFonts w:cs="Arial"/>
                <w:szCs w:val="24"/>
                <w:lang w:eastAsia="en-GB"/>
              </w:rPr>
              <w:t>66</w:t>
            </w:r>
          </w:p>
        </w:tc>
        <w:tc>
          <w:tcPr>
            <w:tcW w:w="1564" w:type="dxa"/>
            <w:vAlign w:val="center"/>
          </w:tcPr>
          <w:p w14:paraId="594272B3" w14:textId="06786407" w:rsidR="002E07FA" w:rsidRPr="00BD2C0D" w:rsidRDefault="002E07FA" w:rsidP="002E07FA">
            <w:pPr>
              <w:jc w:val="right"/>
              <w:rPr>
                <w:rFonts w:cs="Arial"/>
                <w:szCs w:val="24"/>
                <w:lang w:eastAsia="en-GB"/>
              </w:rPr>
            </w:pPr>
            <w:r w:rsidRPr="00BD2C0D">
              <w:rPr>
                <w:rFonts w:cs="Arial"/>
                <w:szCs w:val="24"/>
                <w:lang w:eastAsia="en-GB"/>
              </w:rPr>
              <w:t>35,732</w:t>
            </w:r>
          </w:p>
        </w:tc>
        <w:tc>
          <w:tcPr>
            <w:tcW w:w="1565" w:type="dxa"/>
            <w:vAlign w:val="center"/>
          </w:tcPr>
          <w:p w14:paraId="6AB86D1D" w14:textId="0E9016D7" w:rsidR="002E07FA" w:rsidRPr="00C10CC1" w:rsidRDefault="002E07FA" w:rsidP="002E07FA">
            <w:pPr>
              <w:jc w:val="right"/>
              <w:rPr>
                <w:rFonts w:cs="Arial"/>
                <w:szCs w:val="24"/>
                <w:lang w:eastAsia="en-GB"/>
              </w:rPr>
            </w:pPr>
            <w:r>
              <w:rPr>
                <w:rFonts w:cs="Arial"/>
                <w:szCs w:val="24"/>
                <w:lang w:eastAsia="en-GB"/>
              </w:rPr>
              <w:t>2,136</w:t>
            </w:r>
          </w:p>
        </w:tc>
        <w:tc>
          <w:tcPr>
            <w:tcW w:w="1565" w:type="dxa"/>
            <w:vAlign w:val="center"/>
          </w:tcPr>
          <w:p w14:paraId="65373283" w14:textId="61C0C7C0" w:rsidR="002E07FA" w:rsidRPr="00BD2C0D" w:rsidRDefault="002E07FA" w:rsidP="002E07FA">
            <w:pPr>
              <w:jc w:val="right"/>
              <w:rPr>
                <w:rFonts w:cs="Arial"/>
                <w:szCs w:val="24"/>
                <w:lang w:eastAsia="en-GB"/>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5" w:type="dxa"/>
            <w:noWrap/>
            <w:vAlign w:val="center"/>
          </w:tcPr>
          <w:p w14:paraId="1199C49A" w14:textId="382E1A76" w:rsidR="002E07FA" w:rsidRPr="00BD2C0D" w:rsidRDefault="002E07FA" w:rsidP="002E07FA">
            <w:pPr>
              <w:jc w:val="right"/>
              <w:rPr>
                <w:rFonts w:cs="Arial"/>
                <w:szCs w:val="24"/>
                <w:lang w:eastAsia="en-GB"/>
              </w:rPr>
            </w:pPr>
            <w:r w:rsidRPr="00BD2C0D">
              <w:rPr>
                <w:rFonts w:cs="Arial"/>
                <w:szCs w:val="24"/>
                <w:lang w:eastAsia="en-GB"/>
              </w:rPr>
              <w:t>129,576</w:t>
            </w:r>
          </w:p>
        </w:tc>
      </w:tr>
    </w:tbl>
    <w:p w14:paraId="099F6555" w14:textId="2294CD75" w:rsidR="00BB7765" w:rsidRDefault="00BB7765"/>
    <w:p w14:paraId="419AC9A9" w14:textId="3EF43D5E" w:rsidR="00BB7765" w:rsidRDefault="00BB7765"/>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600E41" w:rsidRPr="00D948C1" w14:paraId="3A5229A4" w14:textId="77777777" w:rsidTr="005F0455">
        <w:trPr>
          <w:trHeight w:val="225"/>
        </w:trPr>
        <w:tc>
          <w:tcPr>
            <w:tcW w:w="5668" w:type="dxa"/>
            <w:shd w:val="clear" w:color="auto" w:fill="BD2716"/>
            <w:noWrap/>
            <w:vAlign w:val="center"/>
          </w:tcPr>
          <w:p w14:paraId="671E2706" w14:textId="191166B0" w:rsidR="00600E41" w:rsidRPr="00D948C1" w:rsidRDefault="00600E41" w:rsidP="00600E41">
            <w:pPr>
              <w:ind w:left="175"/>
              <w:jc w:val="right"/>
              <w:rPr>
                <w:rFonts w:cs="Arial"/>
                <w:color w:val="FFFFFF" w:themeColor="background1"/>
                <w:szCs w:val="24"/>
                <w:lang w:eastAsia="en-GB"/>
              </w:rPr>
            </w:pPr>
            <w:r w:rsidRPr="00D948C1">
              <w:lastRenderedPageBreak/>
              <w:br w:type="page"/>
            </w:r>
          </w:p>
        </w:tc>
        <w:tc>
          <w:tcPr>
            <w:tcW w:w="1565" w:type="dxa"/>
            <w:shd w:val="clear" w:color="auto" w:fill="BD2716"/>
            <w:noWrap/>
            <w:vAlign w:val="center"/>
          </w:tcPr>
          <w:p w14:paraId="0ACBED7F"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4C62CC38" w14:textId="77777777" w:rsidR="00600E41" w:rsidRPr="00D948C1" w:rsidRDefault="00600E41" w:rsidP="00600E41">
            <w:pPr>
              <w:pStyle w:val="CommentText"/>
              <w:jc w:val="right"/>
              <w:rPr>
                <w:rFonts w:cs="Arial"/>
                <w:color w:val="FFFFFF" w:themeColor="background1"/>
                <w:sz w:val="24"/>
                <w:szCs w:val="24"/>
              </w:rPr>
            </w:pPr>
            <w:r w:rsidRPr="00D948C1">
              <w:rPr>
                <w:rFonts w:cs="Arial"/>
                <w:color w:val="FFFFFF" w:themeColor="background1"/>
                <w:sz w:val="24"/>
                <w:szCs w:val="24"/>
                <w:lang w:eastAsia="en-GB"/>
              </w:rPr>
              <w:t>£000</w:t>
            </w:r>
          </w:p>
        </w:tc>
        <w:tc>
          <w:tcPr>
            <w:tcW w:w="1564" w:type="dxa"/>
            <w:shd w:val="clear" w:color="auto" w:fill="BD2716"/>
            <w:vAlign w:val="center"/>
          </w:tcPr>
          <w:p w14:paraId="05416B32"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39BA1164"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c>
          <w:tcPr>
            <w:tcW w:w="1565" w:type="dxa"/>
            <w:shd w:val="clear" w:color="auto" w:fill="BD2716"/>
            <w:vAlign w:val="center"/>
          </w:tcPr>
          <w:p w14:paraId="08F8218C" w14:textId="655F83E2" w:rsidR="00600E41" w:rsidRPr="00D948C1" w:rsidRDefault="00600E41" w:rsidP="00600E4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shd w:val="clear" w:color="auto" w:fill="BD2716"/>
            <w:vAlign w:val="center"/>
          </w:tcPr>
          <w:p w14:paraId="3239F3F5" w14:textId="05E04D0A"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7450D48B"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c>
          <w:tcPr>
            <w:tcW w:w="1565" w:type="dxa"/>
            <w:shd w:val="clear" w:color="auto" w:fill="BD2716"/>
            <w:noWrap/>
            <w:vAlign w:val="center"/>
          </w:tcPr>
          <w:p w14:paraId="5BF6D0D4" w14:textId="77777777" w:rsidR="00600E41" w:rsidRPr="00D948C1" w:rsidRDefault="00600E41" w:rsidP="00600E4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26B64A6E" w14:textId="77777777" w:rsidR="00600E41" w:rsidRPr="00D948C1" w:rsidRDefault="00600E41" w:rsidP="00600E41">
            <w:pPr>
              <w:jc w:val="right"/>
              <w:rPr>
                <w:rFonts w:cs="Arial"/>
                <w:color w:val="FFFFFF" w:themeColor="background1"/>
                <w:szCs w:val="24"/>
              </w:rPr>
            </w:pPr>
            <w:r w:rsidRPr="00D948C1">
              <w:rPr>
                <w:rFonts w:cs="Arial"/>
                <w:color w:val="FFFFFF" w:themeColor="background1"/>
                <w:szCs w:val="24"/>
                <w:lang w:eastAsia="en-GB"/>
              </w:rPr>
              <w:t>£000</w:t>
            </w:r>
          </w:p>
        </w:tc>
      </w:tr>
      <w:tr w:rsidR="00E439FD" w:rsidRPr="00D948C1" w14:paraId="06CA2B96" w14:textId="77777777" w:rsidTr="00320984">
        <w:trPr>
          <w:trHeight w:val="212"/>
        </w:trPr>
        <w:tc>
          <w:tcPr>
            <w:tcW w:w="13492" w:type="dxa"/>
            <w:gridSpan w:val="6"/>
            <w:shd w:val="clear" w:color="auto" w:fill="D9D9D9" w:themeFill="background1" w:themeFillShade="D9"/>
            <w:noWrap/>
            <w:vAlign w:val="bottom"/>
          </w:tcPr>
          <w:p w14:paraId="04CB5009" w14:textId="332F9A25" w:rsidR="00E439FD" w:rsidRPr="00D948C1" w:rsidRDefault="00E439FD" w:rsidP="00BC6C4F">
            <w:pPr>
              <w:rPr>
                <w:rFonts w:cs="Arial"/>
                <w:szCs w:val="24"/>
                <w:lang w:eastAsia="en-GB"/>
              </w:rPr>
            </w:pPr>
            <w:r w:rsidRPr="00D948C1">
              <w:rPr>
                <w:rFonts w:cs="Arial"/>
                <w:b/>
                <w:bCs/>
                <w:szCs w:val="24"/>
                <w:lang w:eastAsia="en-GB"/>
              </w:rPr>
              <w:t>Nature of asset holding</w:t>
            </w:r>
          </w:p>
        </w:tc>
      </w:tr>
      <w:tr w:rsidR="00600E41" w:rsidRPr="00543C89" w14:paraId="6232A57B" w14:textId="77777777" w:rsidTr="005F0455">
        <w:trPr>
          <w:trHeight w:val="272"/>
        </w:trPr>
        <w:tc>
          <w:tcPr>
            <w:tcW w:w="5668" w:type="dxa"/>
            <w:noWrap/>
            <w:vAlign w:val="bottom"/>
          </w:tcPr>
          <w:p w14:paraId="14F6C374" w14:textId="77777777" w:rsidR="00600E41" w:rsidRPr="00543C89" w:rsidRDefault="00600E41" w:rsidP="00BC6C4F">
            <w:pPr>
              <w:ind w:left="175"/>
              <w:rPr>
                <w:rFonts w:cs="Arial"/>
                <w:szCs w:val="24"/>
                <w:lang w:eastAsia="en-GB"/>
              </w:rPr>
            </w:pPr>
            <w:r w:rsidRPr="00543C89">
              <w:rPr>
                <w:rFonts w:cs="Arial"/>
                <w:szCs w:val="24"/>
                <w:lang w:eastAsia="en-GB"/>
              </w:rPr>
              <w:t>Owned</w:t>
            </w:r>
          </w:p>
        </w:tc>
        <w:tc>
          <w:tcPr>
            <w:tcW w:w="1565" w:type="dxa"/>
            <w:noWrap/>
            <w:vAlign w:val="center"/>
          </w:tcPr>
          <w:p w14:paraId="59B50830" w14:textId="31CC9803" w:rsidR="00600E41" w:rsidRPr="00BD2C0D" w:rsidRDefault="001D1A1E" w:rsidP="008B00BF">
            <w:pPr>
              <w:jc w:val="right"/>
              <w:rPr>
                <w:rFonts w:cs="Arial"/>
                <w:szCs w:val="24"/>
                <w:lang w:eastAsia="en-GB"/>
              </w:rPr>
            </w:pPr>
            <w:r>
              <w:rPr>
                <w:rFonts w:cs="Arial"/>
                <w:szCs w:val="24"/>
                <w:lang w:eastAsia="en-GB"/>
              </w:rPr>
              <w:t>79,778</w:t>
            </w:r>
          </w:p>
        </w:tc>
        <w:tc>
          <w:tcPr>
            <w:tcW w:w="1564" w:type="dxa"/>
            <w:vAlign w:val="center"/>
          </w:tcPr>
          <w:p w14:paraId="11080B7B" w14:textId="10F0708D" w:rsidR="00600E41" w:rsidRPr="00BD2C0D" w:rsidRDefault="001D1A1E" w:rsidP="008B00BF">
            <w:pPr>
              <w:jc w:val="right"/>
              <w:rPr>
                <w:rFonts w:cs="Arial"/>
                <w:szCs w:val="24"/>
                <w:lang w:eastAsia="en-GB"/>
              </w:rPr>
            </w:pPr>
            <w:r>
              <w:rPr>
                <w:rFonts w:cs="Arial"/>
                <w:szCs w:val="24"/>
                <w:lang w:eastAsia="en-GB"/>
              </w:rPr>
              <w:t>-</w:t>
            </w:r>
          </w:p>
        </w:tc>
        <w:tc>
          <w:tcPr>
            <w:tcW w:w="1565" w:type="dxa"/>
            <w:vAlign w:val="center"/>
          </w:tcPr>
          <w:p w14:paraId="45E7908A" w14:textId="770920AD" w:rsidR="00600E41" w:rsidRPr="00C10CC1" w:rsidRDefault="001D1A1E" w:rsidP="00E3108A">
            <w:pPr>
              <w:jc w:val="right"/>
              <w:rPr>
                <w:rFonts w:cs="Arial"/>
                <w:szCs w:val="24"/>
                <w:lang w:eastAsia="en-GB"/>
              </w:rPr>
            </w:pPr>
            <w:r>
              <w:rPr>
                <w:rFonts w:cs="Arial"/>
                <w:szCs w:val="24"/>
                <w:lang w:eastAsia="en-GB"/>
              </w:rPr>
              <w:t>3,967</w:t>
            </w:r>
          </w:p>
        </w:tc>
        <w:tc>
          <w:tcPr>
            <w:tcW w:w="1565" w:type="dxa"/>
            <w:vAlign w:val="center"/>
          </w:tcPr>
          <w:p w14:paraId="7CAD32B0" w14:textId="01107307" w:rsidR="00600E41" w:rsidRPr="00BD2C0D" w:rsidRDefault="001D1A1E" w:rsidP="008B00BF">
            <w:pPr>
              <w:jc w:val="right"/>
              <w:rPr>
                <w:rFonts w:cs="Arial"/>
                <w:szCs w:val="24"/>
                <w:lang w:eastAsia="en-GB"/>
              </w:rPr>
            </w:pPr>
            <w:r>
              <w:rPr>
                <w:rFonts w:cs="Arial"/>
                <w:szCs w:val="24"/>
                <w:lang w:eastAsia="en-GB"/>
              </w:rPr>
              <w:t>10,581</w:t>
            </w:r>
          </w:p>
        </w:tc>
        <w:tc>
          <w:tcPr>
            <w:tcW w:w="1565" w:type="dxa"/>
            <w:noWrap/>
            <w:vAlign w:val="center"/>
          </w:tcPr>
          <w:p w14:paraId="1B7E954F" w14:textId="44666794" w:rsidR="00600E41" w:rsidRPr="00BD2C0D" w:rsidRDefault="001D1A1E" w:rsidP="008B00BF">
            <w:pPr>
              <w:jc w:val="right"/>
              <w:rPr>
                <w:rFonts w:cs="Arial"/>
                <w:szCs w:val="24"/>
                <w:lang w:eastAsia="en-GB"/>
              </w:rPr>
            </w:pPr>
            <w:r>
              <w:rPr>
                <w:rFonts w:cs="Arial"/>
                <w:szCs w:val="24"/>
                <w:lang w:eastAsia="en-GB"/>
              </w:rPr>
              <w:t>94,326</w:t>
            </w:r>
          </w:p>
        </w:tc>
      </w:tr>
      <w:tr w:rsidR="00600E41" w:rsidRPr="00543C89" w14:paraId="2E12440D" w14:textId="77777777" w:rsidTr="005F0455">
        <w:trPr>
          <w:trHeight w:val="272"/>
        </w:trPr>
        <w:tc>
          <w:tcPr>
            <w:tcW w:w="5668" w:type="dxa"/>
            <w:noWrap/>
            <w:vAlign w:val="bottom"/>
          </w:tcPr>
          <w:p w14:paraId="4C0338D9" w14:textId="77777777" w:rsidR="00600E41" w:rsidRPr="00543C89" w:rsidRDefault="00600E41" w:rsidP="00BC6C4F">
            <w:pPr>
              <w:ind w:left="175"/>
              <w:rPr>
                <w:rFonts w:cs="Arial"/>
                <w:szCs w:val="24"/>
                <w:lang w:eastAsia="en-GB"/>
              </w:rPr>
            </w:pPr>
            <w:r w:rsidRPr="00543C89">
              <w:rPr>
                <w:rFonts w:cs="Arial"/>
                <w:szCs w:val="24"/>
                <w:lang w:eastAsia="en-GB"/>
              </w:rPr>
              <w:t>Finance lease</w:t>
            </w:r>
          </w:p>
        </w:tc>
        <w:tc>
          <w:tcPr>
            <w:tcW w:w="1565" w:type="dxa"/>
            <w:noWrap/>
            <w:vAlign w:val="center"/>
          </w:tcPr>
          <w:p w14:paraId="32A8BC84" w14:textId="0C0AA940" w:rsidR="00600E41" w:rsidRPr="00BD2C0D" w:rsidRDefault="00735598" w:rsidP="008B00BF">
            <w:pPr>
              <w:jc w:val="right"/>
              <w:rPr>
                <w:rFonts w:cs="Arial"/>
                <w:szCs w:val="24"/>
                <w:lang w:eastAsia="en-GB"/>
              </w:rPr>
            </w:pPr>
            <w:r>
              <w:rPr>
                <w:rFonts w:cs="Arial"/>
                <w:szCs w:val="24"/>
                <w:lang w:eastAsia="en-GB"/>
              </w:rPr>
              <w:t>94</w:t>
            </w:r>
          </w:p>
        </w:tc>
        <w:tc>
          <w:tcPr>
            <w:tcW w:w="1564" w:type="dxa"/>
            <w:vAlign w:val="center"/>
          </w:tcPr>
          <w:p w14:paraId="0E54EC12" w14:textId="100BAC22" w:rsidR="00600E41" w:rsidRPr="00BD2C0D" w:rsidRDefault="00735598" w:rsidP="008B00BF">
            <w:pPr>
              <w:jc w:val="right"/>
              <w:rPr>
                <w:rFonts w:cs="Arial"/>
                <w:szCs w:val="24"/>
                <w:lang w:eastAsia="en-GB"/>
              </w:rPr>
            </w:pPr>
            <w:r>
              <w:rPr>
                <w:rFonts w:cs="Arial"/>
                <w:szCs w:val="24"/>
                <w:lang w:eastAsia="en-GB"/>
              </w:rPr>
              <w:t>-</w:t>
            </w:r>
          </w:p>
        </w:tc>
        <w:tc>
          <w:tcPr>
            <w:tcW w:w="1565" w:type="dxa"/>
            <w:vAlign w:val="center"/>
          </w:tcPr>
          <w:p w14:paraId="4E7DAF55" w14:textId="2AD74A74" w:rsidR="00600E41" w:rsidRPr="00C10CC1" w:rsidRDefault="00735598" w:rsidP="00E3108A">
            <w:pPr>
              <w:jc w:val="right"/>
              <w:rPr>
                <w:rFonts w:cs="Arial"/>
                <w:szCs w:val="24"/>
                <w:lang w:eastAsia="en-GB"/>
              </w:rPr>
            </w:pPr>
            <w:r>
              <w:rPr>
                <w:rFonts w:cs="Arial"/>
                <w:szCs w:val="24"/>
                <w:lang w:eastAsia="en-GB"/>
              </w:rPr>
              <w:t>-</w:t>
            </w:r>
          </w:p>
        </w:tc>
        <w:tc>
          <w:tcPr>
            <w:tcW w:w="1565" w:type="dxa"/>
            <w:vAlign w:val="center"/>
          </w:tcPr>
          <w:p w14:paraId="6AF13964" w14:textId="204FFD2A" w:rsidR="00600E41" w:rsidRPr="00BD2C0D" w:rsidRDefault="00735598" w:rsidP="008B00BF">
            <w:pPr>
              <w:jc w:val="right"/>
              <w:rPr>
                <w:rFonts w:cs="Arial"/>
                <w:szCs w:val="24"/>
                <w:lang w:eastAsia="en-GB"/>
              </w:rPr>
            </w:pPr>
            <w:r>
              <w:rPr>
                <w:rFonts w:cs="Arial"/>
                <w:szCs w:val="24"/>
                <w:lang w:eastAsia="en-GB"/>
              </w:rPr>
              <w:t>-</w:t>
            </w:r>
          </w:p>
        </w:tc>
        <w:tc>
          <w:tcPr>
            <w:tcW w:w="1565" w:type="dxa"/>
            <w:noWrap/>
            <w:vAlign w:val="center"/>
          </w:tcPr>
          <w:p w14:paraId="43339CC7" w14:textId="73AA39D6" w:rsidR="00600E41" w:rsidRPr="00BD2C0D" w:rsidRDefault="00735598" w:rsidP="008B00BF">
            <w:pPr>
              <w:jc w:val="right"/>
              <w:rPr>
                <w:rFonts w:cs="Arial"/>
                <w:szCs w:val="24"/>
                <w:lang w:eastAsia="en-GB"/>
              </w:rPr>
            </w:pPr>
            <w:r>
              <w:rPr>
                <w:rFonts w:cs="Arial"/>
                <w:szCs w:val="24"/>
                <w:lang w:eastAsia="en-GB"/>
              </w:rPr>
              <w:t>94</w:t>
            </w:r>
          </w:p>
        </w:tc>
      </w:tr>
      <w:tr w:rsidR="00600E41" w:rsidRPr="00543C89" w14:paraId="1B2A1A53" w14:textId="77777777" w:rsidTr="005F0455">
        <w:trPr>
          <w:trHeight w:val="272"/>
        </w:trPr>
        <w:tc>
          <w:tcPr>
            <w:tcW w:w="5668" w:type="dxa"/>
            <w:noWrap/>
            <w:vAlign w:val="bottom"/>
          </w:tcPr>
          <w:p w14:paraId="0DC984B0" w14:textId="77777777" w:rsidR="00600E41" w:rsidRPr="00543C89" w:rsidRDefault="00600E41" w:rsidP="00BC6C4F">
            <w:pPr>
              <w:ind w:left="175"/>
              <w:rPr>
                <w:rFonts w:cs="Arial"/>
                <w:szCs w:val="24"/>
                <w:lang w:eastAsia="en-GB"/>
              </w:rPr>
            </w:pPr>
            <w:r w:rsidRPr="00543C89">
              <w:rPr>
                <w:rFonts w:cs="Arial"/>
                <w:szCs w:val="24"/>
                <w:lang w:eastAsia="en-GB"/>
              </w:rPr>
              <w:t>PFI</w:t>
            </w:r>
          </w:p>
        </w:tc>
        <w:tc>
          <w:tcPr>
            <w:tcW w:w="1565" w:type="dxa"/>
            <w:noWrap/>
            <w:vAlign w:val="center"/>
          </w:tcPr>
          <w:p w14:paraId="06F3FEE0" w14:textId="6479B0B0" w:rsidR="00600E41" w:rsidRPr="00BD2C0D" w:rsidRDefault="00735598" w:rsidP="008B00BF">
            <w:pPr>
              <w:jc w:val="right"/>
              <w:rPr>
                <w:rFonts w:cs="Arial"/>
                <w:szCs w:val="24"/>
                <w:lang w:eastAsia="en-GB"/>
              </w:rPr>
            </w:pPr>
            <w:r>
              <w:rPr>
                <w:rFonts w:cs="Arial"/>
                <w:szCs w:val="24"/>
                <w:lang w:eastAsia="en-GB"/>
              </w:rPr>
              <w:t>-</w:t>
            </w:r>
          </w:p>
        </w:tc>
        <w:tc>
          <w:tcPr>
            <w:tcW w:w="1564" w:type="dxa"/>
            <w:vAlign w:val="center"/>
          </w:tcPr>
          <w:p w14:paraId="59858DEC" w14:textId="66CFADD1" w:rsidR="00600E41" w:rsidRPr="00BD2C0D" w:rsidRDefault="00735598" w:rsidP="008B00BF">
            <w:pPr>
              <w:jc w:val="right"/>
              <w:rPr>
                <w:rFonts w:cs="Arial"/>
                <w:szCs w:val="24"/>
                <w:lang w:eastAsia="en-GB"/>
              </w:rPr>
            </w:pPr>
            <w:r>
              <w:rPr>
                <w:rFonts w:cs="Arial"/>
                <w:szCs w:val="24"/>
                <w:lang w:eastAsia="en-GB"/>
              </w:rPr>
              <w:t>33,115</w:t>
            </w:r>
          </w:p>
        </w:tc>
        <w:tc>
          <w:tcPr>
            <w:tcW w:w="1565" w:type="dxa"/>
            <w:vAlign w:val="center"/>
          </w:tcPr>
          <w:p w14:paraId="6E47EE4B" w14:textId="1542F039" w:rsidR="00600E41" w:rsidRPr="00C10CC1" w:rsidRDefault="00735598" w:rsidP="00E3108A">
            <w:pPr>
              <w:jc w:val="right"/>
              <w:rPr>
                <w:rFonts w:cs="Arial"/>
                <w:szCs w:val="24"/>
                <w:lang w:eastAsia="en-GB"/>
              </w:rPr>
            </w:pPr>
            <w:r>
              <w:rPr>
                <w:rFonts w:cs="Arial"/>
                <w:szCs w:val="24"/>
                <w:lang w:eastAsia="en-GB"/>
              </w:rPr>
              <w:t>-</w:t>
            </w:r>
          </w:p>
        </w:tc>
        <w:tc>
          <w:tcPr>
            <w:tcW w:w="1565" w:type="dxa"/>
            <w:vAlign w:val="center"/>
          </w:tcPr>
          <w:p w14:paraId="73A27990" w14:textId="492D6B2C" w:rsidR="00600E41" w:rsidRPr="00BD2C0D" w:rsidRDefault="00735598" w:rsidP="008B00BF">
            <w:pPr>
              <w:jc w:val="right"/>
              <w:rPr>
                <w:rFonts w:cs="Arial"/>
                <w:szCs w:val="24"/>
                <w:lang w:eastAsia="en-GB"/>
              </w:rPr>
            </w:pPr>
            <w:r>
              <w:rPr>
                <w:rFonts w:cs="Arial"/>
                <w:szCs w:val="24"/>
                <w:lang w:eastAsia="en-GB"/>
              </w:rPr>
              <w:t>-</w:t>
            </w:r>
          </w:p>
        </w:tc>
        <w:tc>
          <w:tcPr>
            <w:tcW w:w="1565" w:type="dxa"/>
            <w:noWrap/>
            <w:vAlign w:val="center"/>
          </w:tcPr>
          <w:p w14:paraId="3B1E798E" w14:textId="511780F2" w:rsidR="00600E41" w:rsidRPr="00BD2C0D" w:rsidRDefault="00BA483D" w:rsidP="008B00BF">
            <w:pPr>
              <w:jc w:val="right"/>
              <w:rPr>
                <w:rFonts w:cs="Arial"/>
                <w:szCs w:val="24"/>
                <w:lang w:eastAsia="en-GB"/>
              </w:rPr>
            </w:pPr>
            <w:r>
              <w:rPr>
                <w:rFonts w:cs="Arial"/>
                <w:szCs w:val="24"/>
                <w:lang w:eastAsia="en-GB"/>
              </w:rPr>
              <w:t>33,115</w:t>
            </w:r>
          </w:p>
        </w:tc>
      </w:tr>
      <w:tr w:rsidR="00600E41" w:rsidRPr="00543C89" w14:paraId="07FFE7EE" w14:textId="77777777" w:rsidTr="005F0455">
        <w:trPr>
          <w:trHeight w:val="272"/>
        </w:trPr>
        <w:tc>
          <w:tcPr>
            <w:tcW w:w="5668" w:type="dxa"/>
            <w:noWrap/>
            <w:vAlign w:val="bottom"/>
          </w:tcPr>
          <w:p w14:paraId="39409E8C" w14:textId="5B3F3BB2" w:rsidR="00600E41" w:rsidRPr="00543C89" w:rsidRDefault="00600E41" w:rsidP="008B00BF">
            <w:pPr>
              <w:ind w:left="175"/>
              <w:rPr>
                <w:rFonts w:cs="Arial"/>
                <w:szCs w:val="24"/>
                <w:lang w:eastAsia="en-GB"/>
              </w:rPr>
            </w:pPr>
            <w:r w:rsidRPr="00543C89">
              <w:rPr>
                <w:rFonts w:cs="Arial"/>
                <w:szCs w:val="24"/>
                <w:lang w:eastAsia="en-GB"/>
              </w:rPr>
              <w:t>Total</w:t>
            </w:r>
          </w:p>
        </w:tc>
        <w:tc>
          <w:tcPr>
            <w:tcW w:w="1565" w:type="dxa"/>
            <w:noWrap/>
            <w:vAlign w:val="center"/>
          </w:tcPr>
          <w:p w14:paraId="7F0F23C4" w14:textId="61A42E8E" w:rsidR="00600E41" w:rsidRPr="00BD2C0D" w:rsidRDefault="00BA483D" w:rsidP="008B00BF">
            <w:pPr>
              <w:pStyle w:val="CommentText"/>
              <w:jc w:val="right"/>
              <w:rPr>
                <w:rFonts w:cs="Arial"/>
                <w:sz w:val="24"/>
                <w:szCs w:val="24"/>
                <w:lang w:eastAsia="en-GB"/>
              </w:rPr>
            </w:pPr>
            <w:r>
              <w:rPr>
                <w:rFonts w:cs="Arial"/>
                <w:sz w:val="24"/>
                <w:szCs w:val="24"/>
                <w:lang w:eastAsia="en-GB"/>
              </w:rPr>
              <w:t>79,872</w:t>
            </w:r>
          </w:p>
        </w:tc>
        <w:tc>
          <w:tcPr>
            <w:tcW w:w="1564" w:type="dxa"/>
            <w:vAlign w:val="center"/>
          </w:tcPr>
          <w:p w14:paraId="02DC1E47" w14:textId="62E0852F" w:rsidR="00600E41" w:rsidRPr="00BD2C0D" w:rsidRDefault="00BA483D" w:rsidP="008B00BF">
            <w:pPr>
              <w:jc w:val="right"/>
              <w:rPr>
                <w:rFonts w:cs="Arial"/>
                <w:szCs w:val="24"/>
                <w:lang w:eastAsia="en-GB"/>
              </w:rPr>
            </w:pPr>
            <w:r>
              <w:rPr>
                <w:rFonts w:cs="Arial"/>
                <w:szCs w:val="24"/>
                <w:lang w:eastAsia="en-GB"/>
              </w:rPr>
              <w:t>33,115</w:t>
            </w:r>
          </w:p>
        </w:tc>
        <w:tc>
          <w:tcPr>
            <w:tcW w:w="1565" w:type="dxa"/>
            <w:vAlign w:val="center"/>
          </w:tcPr>
          <w:p w14:paraId="1714A0BB" w14:textId="38CD455F" w:rsidR="00600E41" w:rsidRPr="00C10CC1" w:rsidRDefault="00BA483D" w:rsidP="00E3108A">
            <w:pPr>
              <w:jc w:val="right"/>
              <w:rPr>
                <w:rFonts w:cs="Arial"/>
                <w:szCs w:val="24"/>
                <w:lang w:eastAsia="en-GB"/>
              </w:rPr>
            </w:pPr>
            <w:r>
              <w:rPr>
                <w:rFonts w:cs="Arial"/>
                <w:szCs w:val="24"/>
                <w:lang w:eastAsia="en-GB"/>
              </w:rPr>
              <w:t>3,967</w:t>
            </w:r>
          </w:p>
        </w:tc>
        <w:tc>
          <w:tcPr>
            <w:tcW w:w="1565" w:type="dxa"/>
            <w:vAlign w:val="center"/>
          </w:tcPr>
          <w:p w14:paraId="518237E0" w14:textId="2A2D63F6" w:rsidR="00600E41" w:rsidRPr="00BD2C0D" w:rsidRDefault="00BA483D" w:rsidP="008B00BF">
            <w:pPr>
              <w:jc w:val="right"/>
              <w:rPr>
                <w:rFonts w:cs="Arial"/>
                <w:szCs w:val="24"/>
                <w:lang w:eastAsia="en-GB"/>
              </w:rPr>
            </w:pPr>
            <w:r>
              <w:rPr>
                <w:rFonts w:cs="Arial"/>
                <w:szCs w:val="24"/>
                <w:lang w:eastAsia="en-GB"/>
              </w:rPr>
              <w:t>10,581</w:t>
            </w:r>
          </w:p>
        </w:tc>
        <w:tc>
          <w:tcPr>
            <w:tcW w:w="1565" w:type="dxa"/>
            <w:noWrap/>
            <w:vAlign w:val="center"/>
          </w:tcPr>
          <w:p w14:paraId="0BA65B0E" w14:textId="6BFC8A9D" w:rsidR="00600E41" w:rsidRPr="00BD2C0D" w:rsidRDefault="00BA483D" w:rsidP="008B00BF">
            <w:pPr>
              <w:jc w:val="right"/>
              <w:rPr>
                <w:rFonts w:cs="Arial"/>
                <w:szCs w:val="24"/>
                <w:lang w:eastAsia="en-GB"/>
              </w:rPr>
            </w:pPr>
            <w:r>
              <w:rPr>
                <w:rFonts w:cs="Arial"/>
                <w:szCs w:val="24"/>
                <w:lang w:eastAsia="en-GB"/>
              </w:rPr>
              <w:t>127,53</w:t>
            </w:r>
            <w:r w:rsidR="00436048">
              <w:rPr>
                <w:rFonts w:cs="Arial"/>
                <w:szCs w:val="24"/>
                <w:lang w:eastAsia="en-GB"/>
              </w:rPr>
              <w:t>4</w:t>
            </w:r>
          </w:p>
        </w:tc>
      </w:tr>
    </w:tbl>
    <w:p w14:paraId="42FF252D" w14:textId="77777777" w:rsidR="00372872" w:rsidRPr="00543C89"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543C89" w14:paraId="02FCF334" w14:textId="77777777" w:rsidTr="008E08F7">
        <w:trPr>
          <w:trHeight w:val="104"/>
        </w:trPr>
        <w:tc>
          <w:tcPr>
            <w:tcW w:w="13492" w:type="dxa"/>
            <w:gridSpan w:val="6"/>
            <w:shd w:val="clear" w:color="auto" w:fill="D9D9D9" w:themeFill="background1" w:themeFillShade="D9"/>
            <w:noWrap/>
            <w:vAlign w:val="bottom"/>
          </w:tcPr>
          <w:p w14:paraId="7CCDECA8" w14:textId="6DA5FF36" w:rsidR="00E439FD" w:rsidRPr="00543C89" w:rsidRDefault="00E439FD" w:rsidP="00BC6C4F">
            <w:pPr>
              <w:rPr>
                <w:rFonts w:cs="Arial"/>
                <w:b/>
                <w:bCs/>
                <w:szCs w:val="24"/>
                <w:lang w:eastAsia="en-GB"/>
              </w:rPr>
            </w:pPr>
            <w:r w:rsidRPr="00543C89">
              <w:rPr>
                <w:rFonts w:cs="Arial"/>
                <w:b/>
                <w:bCs/>
                <w:szCs w:val="24"/>
                <w:lang w:eastAsia="en-GB"/>
              </w:rPr>
              <w:t>Historical cost</w:t>
            </w:r>
          </w:p>
        </w:tc>
      </w:tr>
      <w:tr w:rsidR="00600E41" w:rsidRPr="00543C89" w14:paraId="567E91E5" w14:textId="77777777" w:rsidTr="005F0455">
        <w:trPr>
          <w:trHeight w:val="272"/>
        </w:trPr>
        <w:tc>
          <w:tcPr>
            <w:tcW w:w="5668" w:type="dxa"/>
            <w:noWrap/>
            <w:vAlign w:val="bottom"/>
          </w:tcPr>
          <w:p w14:paraId="3D0AC345" w14:textId="77777777" w:rsidR="00600E41" w:rsidRPr="00543C89" w:rsidRDefault="00600E41" w:rsidP="00BC6C4F">
            <w:pPr>
              <w:ind w:left="175"/>
              <w:rPr>
                <w:rFonts w:cs="Arial"/>
                <w:szCs w:val="24"/>
                <w:lang w:eastAsia="en-GB"/>
              </w:rPr>
            </w:pPr>
            <w:r w:rsidRPr="00543C89">
              <w:rPr>
                <w:rFonts w:cs="Arial"/>
                <w:szCs w:val="24"/>
                <w:lang w:eastAsia="en-GB"/>
              </w:rPr>
              <w:t>Carried at historical cost</w:t>
            </w:r>
          </w:p>
        </w:tc>
        <w:tc>
          <w:tcPr>
            <w:tcW w:w="1565" w:type="dxa"/>
            <w:noWrap/>
            <w:vAlign w:val="center"/>
          </w:tcPr>
          <w:p w14:paraId="60F1FC71" w14:textId="49FE76EC" w:rsidR="00600E41" w:rsidRPr="00BD2C0D" w:rsidRDefault="00BA483D" w:rsidP="00E3108A">
            <w:pPr>
              <w:pStyle w:val="CommentText"/>
              <w:jc w:val="right"/>
              <w:rPr>
                <w:rFonts w:cs="Arial"/>
                <w:sz w:val="24"/>
                <w:szCs w:val="24"/>
                <w:lang w:eastAsia="en-GB"/>
              </w:rPr>
            </w:pPr>
            <w:r>
              <w:rPr>
                <w:rFonts w:cs="Arial"/>
                <w:sz w:val="24"/>
                <w:szCs w:val="24"/>
                <w:lang w:eastAsia="en-GB"/>
              </w:rPr>
              <w:t>-</w:t>
            </w:r>
          </w:p>
        </w:tc>
        <w:tc>
          <w:tcPr>
            <w:tcW w:w="1564" w:type="dxa"/>
            <w:vAlign w:val="center"/>
          </w:tcPr>
          <w:p w14:paraId="3E6E6BBE" w14:textId="42252229" w:rsidR="00600E41" w:rsidRPr="00BD2C0D" w:rsidRDefault="00BA483D" w:rsidP="00E3108A">
            <w:pPr>
              <w:jc w:val="right"/>
              <w:rPr>
                <w:rFonts w:cs="Arial"/>
                <w:szCs w:val="24"/>
                <w:lang w:eastAsia="en-GB"/>
              </w:rPr>
            </w:pPr>
            <w:r>
              <w:rPr>
                <w:rFonts w:cs="Arial"/>
                <w:szCs w:val="24"/>
                <w:lang w:eastAsia="en-GB"/>
              </w:rPr>
              <w:t>-</w:t>
            </w:r>
          </w:p>
        </w:tc>
        <w:tc>
          <w:tcPr>
            <w:tcW w:w="1565" w:type="dxa"/>
            <w:vAlign w:val="center"/>
          </w:tcPr>
          <w:p w14:paraId="024847DE" w14:textId="259C6459" w:rsidR="00600E41" w:rsidRPr="00C10CC1" w:rsidRDefault="00BA483D" w:rsidP="00E3108A">
            <w:pPr>
              <w:jc w:val="right"/>
              <w:rPr>
                <w:rFonts w:cs="Arial"/>
                <w:szCs w:val="24"/>
                <w:lang w:eastAsia="en-GB"/>
              </w:rPr>
            </w:pPr>
            <w:r>
              <w:rPr>
                <w:rFonts w:cs="Arial"/>
                <w:szCs w:val="24"/>
                <w:lang w:eastAsia="en-GB"/>
              </w:rPr>
              <w:t>-</w:t>
            </w:r>
          </w:p>
        </w:tc>
        <w:tc>
          <w:tcPr>
            <w:tcW w:w="1565" w:type="dxa"/>
            <w:vAlign w:val="center"/>
          </w:tcPr>
          <w:p w14:paraId="2D28390F" w14:textId="3DB33470" w:rsidR="00600E41" w:rsidRPr="00BD2C0D" w:rsidRDefault="00BA483D" w:rsidP="00E3108A">
            <w:pPr>
              <w:jc w:val="right"/>
              <w:rPr>
                <w:rFonts w:cs="Arial"/>
                <w:szCs w:val="24"/>
                <w:lang w:eastAsia="en-GB"/>
              </w:rPr>
            </w:pPr>
            <w:r>
              <w:rPr>
                <w:rFonts w:cs="Arial"/>
                <w:szCs w:val="24"/>
                <w:lang w:eastAsia="en-GB"/>
              </w:rPr>
              <w:t>10,581</w:t>
            </w:r>
          </w:p>
        </w:tc>
        <w:tc>
          <w:tcPr>
            <w:tcW w:w="1565" w:type="dxa"/>
            <w:noWrap/>
            <w:vAlign w:val="center"/>
          </w:tcPr>
          <w:p w14:paraId="7B21B08A" w14:textId="4F224FFD" w:rsidR="00600E41" w:rsidRPr="00BD2C0D" w:rsidRDefault="00BA483D" w:rsidP="00E3108A">
            <w:pPr>
              <w:jc w:val="right"/>
              <w:rPr>
                <w:rFonts w:cs="Arial"/>
                <w:szCs w:val="24"/>
                <w:lang w:eastAsia="en-GB"/>
              </w:rPr>
            </w:pPr>
            <w:r>
              <w:rPr>
                <w:rFonts w:cs="Arial"/>
                <w:szCs w:val="24"/>
                <w:lang w:eastAsia="en-GB"/>
              </w:rPr>
              <w:t>10,581</w:t>
            </w:r>
          </w:p>
        </w:tc>
      </w:tr>
    </w:tbl>
    <w:p w14:paraId="4028F99B" w14:textId="77777777" w:rsidR="00372872" w:rsidRPr="00543C89" w:rsidRDefault="00372872"/>
    <w:tbl>
      <w:tblPr>
        <w:tblW w:w="134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8"/>
        <w:gridCol w:w="1565"/>
        <w:gridCol w:w="1564"/>
        <w:gridCol w:w="1565"/>
        <w:gridCol w:w="1565"/>
        <w:gridCol w:w="1565"/>
      </w:tblGrid>
      <w:tr w:rsidR="00E439FD" w:rsidRPr="00543C89" w14:paraId="427607FC" w14:textId="77777777" w:rsidTr="009E0790">
        <w:trPr>
          <w:trHeight w:val="225"/>
        </w:trPr>
        <w:tc>
          <w:tcPr>
            <w:tcW w:w="13492" w:type="dxa"/>
            <w:gridSpan w:val="6"/>
            <w:shd w:val="clear" w:color="auto" w:fill="D9D9D9" w:themeFill="background1" w:themeFillShade="D9"/>
            <w:noWrap/>
            <w:vAlign w:val="bottom"/>
          </w:tcPr>
          <w:p w14:paraId="75A12785" w14:textId="2B144158" w:rsidR="00E439FD" w:rsidRPr="00543C89" w:rsidRDefault="00E439FD" w:rsidP="00BC6C4F">
            <w:pPr>
              <w:rPr>
                <w:rFonts w:cs="Arial"/>
                <w:b/>
                <w:bCs/>
                <w:szCs w:val="24"/>
                <w:lang w:eastAsia="en-GB"/>
              </w:rPr>
            </w:pPr>
            <w:r w:rsidRPr="00543C89">
              <w:rPr>
                <w:rFonts w:cs="Arial"/>
                <w:b/>
                <w:bCs/>
                <w:szCs w:val="24"/>
                <w:lang w:eastAsia="en-GB"/>
              </w:rPr>
              <w:t>Valued at current value as at:</w:t>
            </w:r>
          </w:p>
        </w:tc>
      </w:tr>
      <w:tr w:rsidR="00600E41" w:rsidRPr="00543C89" w14:paraId="239F3500" w14:textId="77777777" w:rsidTr="005F0455">
        <w:trPr>
          <w:trHeight w:val="272"/>
        </w:trPr>
        <w:tc>
          <w:tcPr>
            <w:tcW w:w="5668" w:type="dxa"/>
            <w:noWrap/>
            <w:vAlign w:val="bottom"/>
          </w:tcPr>
          <w:p w14:paraId="451D3353" w14:textId="2F694EDB" w:rsidR="00600E41" w:rsidRPr="00543C89" w:rsidRDefault="00600E41" w:rsidP="00BC6C4F">
            <w:pPr>
              <w:ind w:left="175"/>
              <w:rPr>
                <w:rFonts w:cs="Arial"/>
                <w:szCs w:val="24"/>
                <w:lang w:eastAsia="en-GB"/>
              </w:rPr>
            </w:pPr>
            <w:r w:rsidRPr="00543C89">
              <w:rPr>
                <w:rFonts w:cs="Arial"/>
                <w:szCs w:val="24"/>
                <w:lang w:eastAsia="en-GB"/>
              </w:rPr>
              <w:t>31 March 202</w:t>
            </w:r>
            <w:r w:rsidR="00D179D6">
              <w:rPr>
                <w:rFonts w:cs="Arial"/>
                <w:szCs w:val="24"/>
                <w:lang w:eastAsia="en-GB"/>
              </w:rPr>
              <w:t>6</w:t>
            </w:r>
          </w:p>
        </w:tc>
        <w:tc>
          <w:tcPr>
            <w:tcW w:w="1565" w:type="dxa"/>
            <w:noWrap/>
            <w:vAlign w:val="center"/>
          </w:tcPr>
          <w:p w14:paraId="0C46DCC2" w14:textId="4C5F2245" w:rsidR="00600E41" w:rsidRPr="00BD2C0D" w:rsidRDefault="00214ABA" w:rsidP="008B00BF">
            <w:pPr>
              <w:pStyle w:val="CommentText"/>
              <w:jc w:val="right"/>
              <w:rPr>
                <w:rFonts w:cs="Arial"/>
                <w:sz w:val="24"/>
                <w:szCs w:val="24"/>
                <w:lang w:eastAsia="en-GB"/>
              </w:rPr>
            </w:pPr>
            <w:r>
              <w:rPr>
                <w:rFonts w:cs="Arial"/>
                <w:sz w:val="24"/>
                <w:szCs w:val="24"/>
                <w:lang w:eastAsia="en-GB"/>
              </w:rPr>
              <w:t>79,872</w:t>
            </w:r>
          </w:p>
        </w:tc>
        <w:tc>
          <w:tcPr>
            <w:tcW w:w="1564" w:type="dxa"/>
            <w:vAlign w:val="center"/>
          </w:tcPr>
          <w:p w14:paraId="158FBDA5" w14:textId="2A054E30" w:rsidR="00600E41" w:rsidRPr="00BD2C0D" w:rsidRDefault="00214ABA" w:rsidP="008B00BF">
            <w:pPr>
              <w:jc w:val="right"/>
              <w:rPr>
                <w:rFonts w:cs="Arial"/>
                <w:szCs w:val="24"/>
                <w:lang w:eastAsia="en-GB"/>
              </w:rPr>
            </w:pPr>
            <w:r>
              <w:rPr>
                <w:rFonts w:cs="Arial"/>
                <w:szCs w:val="24"/>
                <w:lang w:eastAsia="en-GB"/>
              </w:rPr>
              <w:t>33,115</w:t>
            </w:r>
          </w:p>
        </w:tc>
        <w:tc>
          <w:tcPr>
            <w:tcW w:w="1565" w:type="dxa"/>
            <w:vAlign w:val="center"/>
          </w:tcPr>
          <w:p w14:paraId="688C27F9" w14:textId="38C9BC94" w:rsidR="00600E41" w:rsidRPr="00C10CC1" w:rsidRDefault="00214ABA" w:rsidP="00E3108A">
            <w:pPr>
              <w:jc w:val="right"/>
              <w:rPr>
                <w:rFonts w:cs="Arial"/>
                <w:szCs w:val="24"/>
                <w:lang w:eastAsia="en-GB"/>
              </w:rPr>
            </w:pPr>
            <w:r>
              <w:rPr>
                <w:rFonts w:cs="Arial"/>
                <w:szCs w:val="24"/>
                <w:lang w:eastAsia="en-GB"/>
              </w:rPr>
              <w:t>3,967</w:t>
            </w:r>
          </w:p>
        </w:tc>
        <w:tc>
          <w:tcPr>
            <w:tcW w:w="1565" w:type="dxa"/>
            <w:vAlign w:val="center"/>
          </w:tcPr>
          <w:p w14:paraId="466B1B23" w14:textId="2E544D76" w:rsidR="00600E41" w:rsidRPr="00BD2C0D" w:rsidRDefault="00214ABA" w:rsidP="008B00BF">
            <w:pPr>
              <w:jc w:val="right"/>
              <w:rPr>
                <w:rFonts w:cs="Arial"/>
                <w:szCs w:val="24"/>
                <w:lang w:eastAsia="en-GB"/>
              </w:rPr>
            </w:pPr>
            <w:r>
              <w:rPr>
                <w:rFonts w:cs="Arial"/>
                <w:szCs w:val="24"/>
                <w:lang w:eastAsia="en-GB"/>
              </w:rPr>
              <w:t>-</w:t>
            </w:r>
          </w:p>
        </w:tc>
        <w:tc>
          <w:tcPr>
            <w:tcW w:w="1565" w:type="dxa"/>
            <w:noWrap/>
            <w:vAlign w:val="center"/>
          </w:tcPr>
          <w:p w14:paraId="15FCF066" w14:textId="48C351CC" w:rsidR="00600E41" w:rsidRPr="00BD2C0D" w:rsidRDefault="00214ABA" w:rsidP="008B00BF">
            <w:pPr>
              <w:jc w:val="right"/>
              <w:rPr>
                <w:rFonts w:cs="Arial"/>
                <w:szCs w:val="24"/>
                <w:lang w:eastAsia="en-GB"/>
              </w:rPr>
            </w:pPr>
            <w:r>
              <w:rPr>
                <w:rFonts w:cs="Arial"/>
                <w:szCs w:val="24"/>
                <w:lang w:eastAsia="en-GB"/>
              </w:rPr>
              <w:t>116,954</w:t>
            </w:r>
          </w:p>
        </w:tc>
      </w:tr>
      <w:tr w:rsidR="00600E41" w:rsidRPr="00D948C1" w14:paraId="1356EF90" w14:textId="77777777" w:rsidTr="005F0455">
        <w:trPr>
          <w:trHeight w:val="272"/>
        </w:trPr>
        <w:tc>
          <w:tcPr>
            <w:tcW w:w="5668" w:type="dxa"/>
            <w:noWrap/>
            <w:vAlign w:val="bottom"/>
          </w:tcPr>
          <w:p w14:paraId="12A82107" w14:textId="77777777" w:rsidR="00600E41" w:rsidRPr="00543C89" w:rsidRDefault="00600E41" w:rsidP="00BC6C4F">
            <w:pPr>
              <w:ind w:left="175"/>
              <w:rPr>
                <w:rFonts w:cs="Arial"/>
                <w:szCs w:val="24"/>
                <w:lang w:eastAsia="en-GB"/>
              </w:rPr>
            </w:pPr>
            <w:r w:rsidRPr="00543C89">
              <w:rPr>
                <w:rFonts w:cs="Arial"/>
                <w:szCs w:val="24"/>
                <w:lang w:eastAsia="en-GB"/>
              </w:rPr>
              <w:t>Total cost or valuation</w:t>
            </w:r>
          </w:p>
        </w:tc>
        <w:tc>
          <w:tcPr>
            <w:tcW w:w="1565" w:type="dxa"/>
            <w:noWrap/>
            <w:vAlign w:val="center"/>
          </w:tcPr>
          <w:p w14:paraId="5707B4DA" w14:textId="6D37E5D3" w:rsidR="00600E41" w:rsidRPr="00BD2C0D" w:rsidRDefault="00104003" w:rsidP="008B00BF">
            <w:pPr>
              <w:pStyle w:val="CommentText"/>
              <w:jc w:val="right"/>
              <w:rPr>
                <w:rFonts w:cs="Arial"/>
                <w:sz w:val="24"/>
                <w:szCs w:val="24"/>
                <w:lang w:eastAsia="en-GB"/>
              </w:rPr>
            </w:pPr>
            <w:r>
              <w:rPr>
                <w:rFonts w:cs="Arial"/>
                <w:sz w:val="24"/>
                <w:szCs w:val="24"/>
                <w:lang w:eastAsia="en-GB"/>
              </w:rPr>
              <w:t>79,872</w:t>
            </w:r>
          </w:p>
        </w:tc>
        <w:tc>
          <w:tcPr>
            <w:tcW w:w="1564" w:type="dxa"/>
            <w:vAlign w:val="center"/>
          </w:tcPr>
          <w:p w14:paraId="5DB1E895" w14:textId="65821191" w:rsidR="00600E41" w:rsidRPr="00BD2C0D" w:rsidRDefault="00104003" w:rsidP="008B00BF">
            <w:pPr>
              <w:jc w:val="right"/>
              <w:rPr>
                <w:rFonts w:cs="Arial"/>
                <w:szCs w:val="24"/>
                <w:lang w:eastAsia="en-GB"/>
              </w:rPr>
            </w:pPr>
            <w:r>
              <w:rPr>
                <w:rFonts w:cs="Arial"/>
                <w:szCs w:val="24"/>
                <w:lang w:eastAsia="en-GB"/>
              </w:rPr>
              <w:t>33,115</w:t>
            </w:r>
          </w:p>
        </w:tc>
        <w:tc>
          <w:tcPr>
            <w:tcW w:w="1565" w:type="dxa"/>
            <w:vAlign w:val="center"/>
          </w:tcPr>
          <w:p w14:paraId="7A9B88A6" w14:textId="3A15FFE6" w:rsidR="00600E41" w:rsidRPr="00C10CC1" w:rsidRDefault="00104003" w:rsidP="00E3108A">
            <w:pPr>
              <w:jc w:val="right"/>
              <w:rPr>
                <w:rFonts w:cs="Arial"/>
                <w:szCs w:val="24"/>
                <w:lang w:eastAsia="en-GB"/>
              </w:rPr>
            </w:pPr>
            <w:r>
              <w:rPr>
                <w:rFonts w:cs="Arial"/>
                <w:szCs w:val="24"/>
                <w:lang w:eastAsia="en-GB"/>
              </w:rPr>
              <w:t>3,967</w:t>
            </w:r>
          </w:p>
        </w:tc>
        <w:tc>
          <w:tcPr>
            <w:tcW w:w="1565" w:type="dxa"/>
            <w:vAlign w:val="center"/>
          </w:tcPr>
          <w:p w14:paraId="0D3490B9" w14:textId="45EB8791" w:rsidR="00600E41" w:rsidRPr="00BD2C0D" w:rsidRDefault="00104003" w:rsidP="008B00BF">
            <w:pPr>
              <w:jc w:val="right"/>
              <w:rPr>
                <w:rFonts w:cs="Arial"/>
                <w:szCs w:val="24"/>
                <w:lang w:eastAsia="en-GB"/>
              </w:rPr>
            </w:pPr>
            <w:r>
              <w:rPr>
                <w:rFonts w:cs="Arial"/>
                <w:szCs w:val="24"/>
                <w:lang w:eastAsia="en-GB"/>
              </w:rPr>
              <w:t>10,581</w:t>
            </w:r>
          </w:p>
        </w:tc>
        <w:tc>
          <w:tcPr>
            <w:tcW w:w="1565" w:type="dxa"/>
            <w:noWrap/>
            <w:vAlign w:val="center"/>
          </w:tcPr>
          <w:p w14:paraId="34A0AE99" w14:textId="12A6B0E5" w:rsidR="00600E41" w:rsidRPr="00BD2C0D" w:rsidRDefault="00DE31A4" w:rsidP="008B00BF">
            <w:pPr>
              <w:jc w:val="right"/>
              <w:rPr>
                <w:rFonts w:cs="Arial"/>
                <w:szCs w:val="24"/>
                <w:lang w:eastAsia="en-GB"/>
              </w:rPr>
            </w:pPr>
            <w:r>
              <w:rPr>
                <w:rFonts w:cs="Arial"/>
                <w:szCs w:val="24"/>
                <w:lang w:eastAsia="en-GB"/>
              </w:rPr>
              <w:t>127,53</w:t>
            </w:r>
            <w:r w:rsidR="00436048">
              <w:rPr>
                <w:rFonts w:cs="Arial"/>
                <w:szCs w:val="24"/>
                <w:lang w:eastAsia="en-GB"/>
              </w:rPr>
              <w:t>4</w:t>
            </w:r>
          </w:p>
        </w:tc>
      </w:tr>
    </w:tbl>
    <w:p w14:paraId="5F97BB5F" w14:textId="77777777" w:rsidR="00F74E7D" w:rsidRPr="00D948C1" w:rsidRDefault="00F74E7D" w:rsidP="00210760">
      <w:pPr>
        <w:pStyle w:val="BodyTextIndent"/>
        <w:ind w:left="0" w:right="425"/>
        <w:jc w:val="both"/>
        <w:rPr>
          <w:szCs w:val="24"/>
          <w:lang w:val="en-GB"/>
        </w:rPr>
      </w:pPr>
    </w:p>
    <w:p w14:paraId="36BFF75F" w14:textId="7382E446" w:rsidR="003D4B58" w:rsidRDefault="004E6BCF" w:rsidP="001031AC">
      <w:pPr>
        <w:pStyle w:val="BodyTextIndent"/>
        <w:ind w:left="709" w:right="425"/>
      </w:pPr>
      <w:r w:rsidRPr="004A4CC1">
        <w:rPr>
          <w:lang w:val="en-GB"/>
        </w:rPr>
        <w:t>On 31 March 20</w:t>
      </w:r>
      <w:r w:rsidR="0095101D" w:rsidRPr="004A4CC1">
        <w:rPr>
          <w:lang w:val="en-GB"/>
        </w:rPr>
        <w:t>2</w:t>
      </w:r>
      <w:r w:rsidR="002A3297" w:rsidRPr="004A4CC1">
        <w:rPr>
          <w:lang w:val="en-GB"/>
        </w:rPr>
        <w:t>6</w:t>
      </w:r>
      <w:r w:rsidRPr="004A4CC1">
        <w:rPr>
          <w:lang w:val="en-GB"/>
        </w:rPr>
        <w:t xml:space="preserve"> the Authority undertook a </w:t>
      </w:r>
      <w:r w:rsidR="002B7458" w:rsidRPr="004A4CC1">
        <w:rPr>
          <w:lang w:val="en-GB"/>
        </w:rPr>
        <w:t xml:space="preserve">full </w:t>
      </w:r>
      <w:r w:rsidRPr="004A4CC1">
        <w:rPr>
          <w:lang w:val="en-GB"/>
        </w:rPr>
        <w:t xml:space="preserve">revaluation review on </w:t>
      </w:r>
      <w:r w:rsidR="002E480C" w:rsidRPr="004A4CC1">
        <w:rPr>
          <w:lang w:val="en-GB"/>
        </w:rPr>
        <w:t xml:space="preserve">approximately one </w:t>
      </w:r>
      <w:r w:rsidR="002C5D98" w:rsidRPr="004A4CC1">
        <w:rPr>
          <w:lang w:val="en-GB"/>
        </w:rPr>
        <w:t>fifth</w:t>
      </w:r>
      <w:r w:rsidRPr="004A4CC1">
        <w:rPr>
          <w:lang w:val="en-GB"/>
        </w:rPr>
        <w:t xml:space="preserve"> of its land and buildings, </w:t>
      </w:r>
      <w:r w:rsidR="00DB413B" w:rsidRPr="004A4CC1">
        <w:rPr>
          <w:lang w:val="en-GB"/>
        </w:rPr>
        <w:t>and in addition carried out a</w:t>
      </w:r>
      <w:r w:rsidR="00091649" w:rsidRPr="004A4CC1">
        <w:rPr>
          <w:lang w:val="en-GB"/>
        </w:rPr>
        <w:t xml:space="preserve"> desktop revaluation</w:t>
      </w:r>
      <w:r w:rsidR="00DB413B" w:rsidRPr="004A4CC1">
        <w:rPr>
          <w:lang w:val="en-GB"/>
        </w:rPr>
        <w:t xml:space="preserve"> exercise on the remainder, </w:t>
      </w:r>
      <w:r w:rsidRPr="004A4CC1">
        <w:rPr>
          <w:lang w:val="en-GB"/>
        </w:rPr>
        <w:t xml:space="preserve">which resulted in </w:t>
      </w:r>
      <w:r w:rsidR="001F1461" w:rsidRPr="004A4CC1">
        <w:rPr>
          <w:lang w:val="en-GB"/>
        </w:rPr>
        <w:t xml:space="preserve">an overall </w:t>
      </w:r>
      <w:r w:rsidR="001A2087" w:rsidRPr="004A4CC1">
        <w:rPr>
          <w:lang w:val="en-GB"/>
        </w:rPr>
        <w:t xml:space="preserve">revaluation </w:t>
      </w:r>
      <w:r w:rsidR="001F1461" w:rsidRPr="004A4CC1">
        <w:rPr>
          <w:lang w:val="en-GB"/>
        </w:rPr>
        <w:t>loss</w:t>
      </w:r>
      <w:r w:rsidR="00F70B51" w:rsidRPr="004A4CC1">
        <w:rPr>
          <w:lang w:val="en-GB"/>
        </w:rPr>
        <w:t xml:space="preserve"> of </w:t>
      </w:r>
      <w:r w:rsidR="00750768" w:rsidRPr="004A4CC1">
        <w:rPr>
          <w:lang w:val="en-GB"/>
        </w:rPr>
        <w:t>£</w:t>
      </w:r>
      <w:r w:rsidR="005B7387" w:rsidRPr="004A4CC1">
        <w:rPr>
          <w:lang w:val="en-GB"/>
        </w:rPr>
        <w:t>1</w:t>
      </w:r>
      <w:r w:rsidR="00FE6CCB" w:rsidRPr="004A4CC1">
        <w:rPr>
          <w:lang w:val="en-GB"/>
        </w:rPr>
        <w:t>.</w:t>
      </w:r>
      <w:r w:rsidR="005B7387" w:rsidRPr="004A4CC1">
        <w:rPr>
          <w:lang w:val="en-GB"/>
        </w:rPr>
        <w:t>483</w:t>
      </w:r>
      <w:r w:rsidR="00D732F6">
        <w:rPr>
          <w:lang w:val="en-GB"/>
        </w:rPr>
        <w:t xml:space="preserve"> </w:t>
      </w:r>
      <w:r w:rsidR="00FE6CCB" w:rsidRPr="004A4CC1">
        <w:rPr>
          <w:lang w:val="en-GB"/>
        </w:rPr>
        <w:t>m</w:t>
      </w:r>
      <w:r w:rsidR="00D732F6">
        <w:rPr>
          <w:lang w:val="en-GB"/>
        </w:rPr>
        <w:t>illion</w:t>
      </w:r>
      <w:r w:rsidR="003F791B" w:rsidRPr="004A4CC1">
        <w:rPr>
          <w:lang w:val="en-GB"/>
        </w:rPr>
        <w:t xml:space="preserve"> (</w:t>
      </w:r>
      <w:r w:rsidR="001A42DD">
        <w:rPr>
          <w:lang w:val="en-GB"/>
        </w:rPr>
        <w:t>2024-25</w:t>
      </w:r>
      <w:r w:rsidR="00D66F6A" w:rsidRPr="004A4CC1">
        <w:rPr>
          <w:lang w:val="en-GB"/>
        </w:rPr>
        <w:t xml:space="preserve">: </w:t>
      </w:r>
      <w:r w:rsidR="00B81C41" w:rsidRPr="004A4CC1">
        <w:rPr>
          <w:lang w:val="en-GB"/>
        </w:rPr>
        <w:t>gain</w:t>
      </w:r>
      <w:r w:rsidR="00D66F6A" w:rsidRPr="004A4CC1">
        <w:rPr>
          <w:lang w:val="en-GB"/>
        </w:rPr>
        <w:t xml:space="preserve"> of £</w:t>
      </w:r>
      <w:r w:rsidR="00F05FF0" w:rsidRPr="004A4CC1">
        <w:rPr>
          <w:lang w:val="en-GB"/>
        </w:rPr>
        <w:t>3.575</w:t>
      </w:r>
      <w:r w:rsidR="00D732F6">
        <w:rPr>
          <w:lang w:val="en-GB"/>
        </w:rPr>
        <w:t xml:space="preserve"> </w:t>
      </w:r>
      <w:r w:rsidR="00DF5C98" w:rsidRPr="004A4CC1">
        <w:rPr>
          <w:lang w:val="en-GB"/>
        </w:rPr>
        <w:t>m</w:t>
      </w:r>
      <w:r w:rsidR="00D732F6">
        <w:rPr>
          <w:lang w:val="en-GB"/>
        </w:rPr>
        <w:t>illion</w:t>
      </w:r>
      <w:r w:rsidR="003F791B" w:rsidRPr="004A4CC1">
        <w:rPr>
          <w:lang w:val="en-GB"/>
        </w:rPr>
        <w:t>)</w:t>
      </w:r>
      <w:r w:rsidR="00F70B51" w:rsidRPr="004A4CC1">
        <w:rPr>
          <w:lang w:val="en-GB"/>
        </w:rPr>
        <w:t>.</w:t>
      </w:r>
      <w:r w:rsidR="003D4B58">
        <w:br w:type="page"/>
      </w:r>
    </w:p>
    <w:p w14:paraId="2394049C" w14:textId="60123D10" w:rsidR="00B16EF7" w:rsidRPr="00D948C1" w:rsidRDefault="00B16EF7" w:rsidP="22FF31C3">
      <w:pPr>
        <w:pStyle w:val="BodyTextIndent"/>
        <w:ind w:left="709" w:right="425"/>
        <w:rPr>
          <w:lang w:val="en-GB"/>
        </w:rPr>
      </w:pPr>
      <w:r w:rsidRPr="42562761">
        <w:rPr>
          <w:lang w:val="en-GB"/>
        </w:rPr>
        <w:lastRenderedPageBreak/>
        <w:t>The</w:t>
      </w:r>
      <w:r w:rsidR="00AD4558" w:rsidRPr="42562761">
        <w:rPr>
          <w:lang w:val="en-GB"/>
        </w:rPr>
        <w:t xml:space="preserve"> </w:t>
      </w:r>
      <w:r w:rsidRPr="42562761">
        <w:rPr>
          <w:lang w:val="en-GB"/>
        </w:rPr>
        <w:t xml:space="preserve">comparative figures detailing the movement during </w:t>
      </w:r>
      <w:r w:rsidR="001A42DD">
        <w:rPr>
          <w:lang w:val="en-GB"/>
        </w:rPr>
        <w:t>2024-25</w:t>
      </w:r>
      <w:r w:rsidR="00A27CD8" w:rsidRPr="42562761">
        <w:rPr>
          <w:lang w:val="en-GB"/>
        </w:rPr>
        <w:t xml:space="preserve"> are in the table below</w:t>
      </w:r>
      <w:r w:rsidR="00A10006" w:rsidRPr="42562761">
        <w:rPr>
          <w:lang w:val="en-GB"/>
        </w:rPr>
        <w:t>:</w:t>
      </w:r>
    </w:p>
    <w:p w14:paraId="074BED65" w14:textId="77777777" w:rsidR="00F74E7D" w:rsidRPr="00D948C1" w:rsidRDefault="00F74E7D" w:rsidP="00400584">
      <w:pPr>
        <w:pStyle w:val="BodyTextIndent"/>
        <w:ind w:left="709" w:right="425"/>
        <w:jc w:val="both"/>
        <w:rPr>
          <w:szCs w:val="24"/>
          <w:lang w:val="en-GB"/>
        </w:rPr>
      </w:pPr>
    </w:p>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B879C7" w:rsidRPr="00D948C1" w14:paraId="507E9E27" w14:textId="77777777" w:rsidTr="00F06E9F">
        <w:trPr>
          <w:trHeight w:val="507"/>
          <w:tblHeader/>
        </w:trPr>
        <w:tc>
          <w:tcPr>
            <w:tcW w:w="5669" w:type="dxa"/>
            <w:tcBorders>
              <w:top w:val="single" w:sz="4" w:space="0" w:color="auto"/>
              <w:left w:val="single" w:sz="4" w:space="0" w:color="auto"/>
              <w:bottom w:val="single" w:sz="4" w:space="0" w:color="auto"/>
              <w:right w:val="single" w:sz="4" w:space="0" w:color="auto"/>
            </w:tcBorders>
            <w:shd w:val="clear" w:color="auto" w:fill="BD2716"/>
            <w:noWrap/>
            <w:vAlign w:val="center"/>
          </w:tcPr>
          <w:p w14:paraId="652465C0" w14:textId="398B3436" w:rsidR="00B879C7" w:rsidRPr="00D948C1" w:rsidRDefault="00B879C7" w:rsidP="008117BF">
            <w:pPr>
              <w:ind w:left="175"/>
              <w:jc w:val="right"/>
              <w:rPr>
                <w:rFonts w:cs="Arial"/>
                <w:color w:val="FFFFFF" w:themeColor="background1"/>
                <w:szCs w:val="24"/>
                <w:lang w:eastAsia="en-GB"/>
              </w:rPr>
            </w:pP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6EBD15B2"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40605310" w14:textId="66F63A3C"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174916B3"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4A5F5E42" w14:textId="69F885B3"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5" w:type="dxa"/>
            <w:shd w:val="clear" w:color="auto" w:fill="BD2716"/>
            <w:vAlign w:val="center"/>
          </w:tcPr>
          <w:p w14:paraId="3CC2BE78" w14:textId="525AA50A" w:rsidR="00B879C7" w:rsidRPr="00D948C1" w:rsidRDefault="008117BF" w:rsidP="008117BF">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496D7169" w14:textId="5788F8EF"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47AFF4D3" w14:textId="06A49D71"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£000</w:t>
            </w:r>
          </w:p>
        </w:tc>
        <w:tc>
          <w:tcPr>
            <w:tcW w:w="1563" w:type="dxa"/>
            <w:tcBorders>
              <w:top w:val="single" w:sz="4" w:space="0" w:color="auto"/>
              <w:left w:val="single" w:sz="4" w:space="0" w:color="auto"/>
              <w:bottom w:val="single" w:sz="4" w:space="0" w:color="auto"/>
              <w:right w:val="single" w:sz="4" w:space="0" w:color="auto"/>
            </w:tcBorders>
            <w:shd w:val="clear" w:color="auto" w:fill="BD2716"/>
            <w:noWrap/>
            <w:vAlign w:val="center"/>
          </w:tcPr>
          <w:p w14:paraId="3F15F4D3" w14:textId="77777777" w:rsidR="00B879C7" w:rsidRPr="00D948C1" w:rsidRDefault="00B879C7" w:rsidP="008117BF">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44501D3E" w14:textId="485E1B98" w:rsidR="00B879C7" w:rsidRPr="00D948C1" w:rsidRDefault="00B879C7" w:rsidP="008117BF">
            <w:pPr>
              <w:pStyle w:val="CommentSubject"/>
              <w:jc w:val="right"/>
              <w:rPr>
                <w:rFonts w:ascii="Arial" w:hAnsi="Arial" w:cs="Arial"/>
                <w:b w:val="0"/>
                <w:color w:val="FFFFFF" w:themeColor="background1"/>
                <w:sz w:val="24"/>
                <w:szCs w:val="24"/>
                <w:lang w:eastAsia="en-GB"/>
              </w:rPr>
            </w:pPr>
            <w:r w:rsidRPr="00D948C1">
              <w:rPr>
                <w:rFonts w:ascii="Arial" w:hAnsi="Arial" w:cs="Arial"/>
                <w:b w:val="0"/>
                <w:color w:val="FFFFFF" w:themeColor="background1"/>
                <w:sz w:val="24"/>
                <w:szCs w:val="24"/>
                <w:lang w:eastAsia="en-GB"/>
              </w:rPr>
              <w:t>£000</w:t>
            </w:r>
          </w:p>
        </w:tc>
      </w:tr>
      <w:tr w:rsidR="00A47861" w:rsidRPr="00D948C1" w14:paraId="42BC0A01" w14:textId="77777777" w:rsidTr="00CA769E">
        <w:trPr>
          <w:trHeight w:val="253"/>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0CD108" w14:textId="61551CE9" w:rsidR="00A47861" w:rsidRPr="00D948C1" w:rsidRDefault="00A47861" w:rsidP="00F7299E">
            <w:pPr>
              <w:rPr>
                <w:rFonts w:cs="Arial"/>
                <w:szCs w:val="24"/>
                <w:lang w:eastAsia="en-GB"/>
              </w:rPr>
            </w:pPr>
            <w:r w:rsidRPr="00D948C1">
              <w:rPr>
                <w:rFonts w:cs="Arial"/>
                <w:b/>
                <w:bCs/>
                <w:szCs w:val="24"/>
                <w:lang w:eastAsia="en-GB"/>
              </w:rPr>
              <w:t>Cost or valuation</w:t>
            </w:r>
          </w:p>
        </w:tc>
      </w:tr>
      <w:tr w:rsidR="00AF2104" w:rsidRPr="00D948C1" w14:paraId="33EB7D6B"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42D8A9FF" w14:textId="5E5B2567" w:rsidR="00AF2104" w:rsidRPr="00D948C1" w:rsidRDefault="00AF2104" w:rsidP="00AF2104">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0CFE691E" w14:textId="25FF7A84" w:rsidR="00AF2104" w:rsidRPr="00D13642" w:rsidRDefault="00AF2104" w:rsidP="00AF2104">
            <w:pPr>
              <w:jc w:val="right"/>
              <w:rPr>
                <w:rFonts w:cs="Arial"/>
                <w:szCs w:val="24"/>
                <w:lang w:eastAsia="en-GB"/>
              </w:rPr>
            </w:pPr>
            <w:r w:rsidRPr="00BD2C0D">
              <w:rPr>
                <w:rFonts w:cs="Arial"/>
                <w:szCs w:val="24"/>
                <w:lang w:eastAsia="en-GB"/>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17135055" w14:textId="43B1C5A8" w:rsidR="00AF2104" w:rsidRPr="00D13642" w:rsidRDefault="00AF2104" w:rsidP="00AF2104">
            <w:pPr>
              <w:jc w:val="right"/>
              <w:rPr>
                <w:rFonts w:cs="Arial"/>
                <w:szCs w:val="24"/>
                <w:lang w:eastAsia="en-GB"/>
              </w:rPr>
            </w:pPr>
            <w:r w:rsidRPr="00BD2C0D">
              <w:rPr>
                <w:rFonts w:cs="Arial"/>
                <w:szCs w:val="24"/>
                <w:lang w:eastAsia="en-GB"/>
              </w:rPr>
              <w:t>36,270</w:t>
            </w:r>
          </w:p>
        </w:tc>
        <w:tc>
          <w:tcPr>
            <w:tcW w:w="1565" w:type="dxa"/>
            <w:tcBorders>
              <w:top w:val="single" w:sz="4" w:space="0" w:color="auto"/>
              <w:bottom w:val="single" w:sz="4" w:space="0" w:color="auto"/>
            </w:tcBorders>
            <w:vAlign w:val="center"/>
          </w:tcPr>
          <w:p w14:paraId="678E5CA8" w14:textId="7A941273" w:rsidR="00AF2104" w:rsidRPr="00D13642" w:rsidRDefault="00AF2104" w:rsidP="00AF2104">
            <w:pPr>
              <w:jc w:val="right"/>
              <w:rPr>
                <w:szCs w:val="24"/>
              </w:rPr>
            </w:pPr>
            <w:r>
              <w:rPr>
                <w:rFonts w:cs="Arial"/>
                <w:szCs w:val="24"/>
                <w:lang w:eastAsia="en-GB"/>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5AFD9BB4" w14:textId="70C69121" w:rsidR="00AF2104" w:rsidRPr="00D13642" w:rsidRDefault="00AF2104" w:rsidP="00AF2104">
            <w:pPr>
              <w:jc w:val="right"/>
              <w:rPr>
                <w:rFonts w:cs="Arial"/>
                <w:szCs w:val="24"/>
                <w:lang w:eastAsia="en-GB"/>
              </w:rPr>
            </w:pPr>
            <w:r w:rsidRPr="00BD2C0D">
              <w:rPr>
                <w:rFonts w:cs="Arial"/>
                <w:szCs w:val="24"/>
                <w:lang w:eastAsia="en-GB"/>
              </w:rPr>
              <w:t>2</w:t>
            </w:r>
            <w:r>
              <w:rPr>
                <w:rFonts w:cs="Arial"/>
                <w:szCs w:val="24"/>
                <w:lang w:eastAsia="en-GB"/>
              </w:rPr>
              <w:t>7</w:t>
            </w:r>
            <w:r w:rsidRPr="00BD2C0D">
              <w:rPr>
                <w:rFonts w:cs="Arial"/>
                <w:szCs w:val="24"/>
                <w:lang w:eastAsia="en-GB"/>
              </w:rPr>
              <w:t>,</w:t>
            </w:r>
            <w:r>
              <w:rPr>
                <w:rFonts w:cs="Arial"/>
                <w:szCs w:val="24"/>
                <w:lang w:eastAsia="en-GB"/>
              </w:rPr>
              <w:t>940</w:t>
            </w:r>
          </w:p>
        </w:tc>
        <w:tc>
          <w:tcPr>
            <w:tcW w:w="1563" w:type="dxa"/>
            <w:tcBorders>
              <w:top w:val="single" w:sz="4" w:space="0" w:color="auto"/>
              <w:left w:val="single" w:sz="4" w:space="0" w:color="auto"/>
              <w:bottom w:val="single" w:sz="4" w:space="0" w:color="auto"/>
              <w:right w:val="single" w:sz="4" w:space="0" w:color="auto"/>
            </w:tcBorders>
            <w:noWrap/>
            <w:vAlign w:val="center"/>
          </w:tcPr>
          <w:p w14:paraId="4E4B2587" w14:textId="6E770CC0" w:rsidR="00AF2104" w:rsidRPr="00D13642" w:rsidRDefault="00AF2104" w:rsidP="00AF2104">
            <w:pPr>
              <w:jc w:val="right"/>
              <w:rPr>
                <w:rFonts w:cs="Arial"/>
                <w:szCs w:val="24"/>
                <w:lang w:eastAsia="en-GB"/>
              </w:rPr>
            </w:pPr>
            <w:r w:rsidRPr="00BD2C0D">
              <w:rPr>
                <w:rFonts w:cs="Arial"/>
                <w:szCs w:val="24"/>
                <w:lang w:eastAsia="en-GB"/>
              </w:rPr>
              <w:t>144,727</w:t>
            </w:r>
          </w:p>
        </w:tc>
      </w:tr>
      <w:tr w:rsidR="00AF2104" w:rsidRPr="00D948C1" w14:paraId="6CDBE9DC"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C372F63" w14:textId="3CD42349" w:rsidR="00AF2104" w:rsidRPr="00D948C1" w:rsidRDefault="00AF2104" w:rsidP="00AF2104">
            <w:pPr>
              <w:ind w:left="175"/>
              <w:rPr>
                <w:rFonts w:cs="Arial"/>
                <w:szCs w:val="24"/>
                <w:lang w:eastAsia="en-GB"/>
              </w:rPr>
            </w:pPr>
            <w:r>
              <w:rPr>
                <w:rFonts w:cs="Arial"/>
                <w:szCs w:val="24"/>
                <w:lang w:eastAsia="en-GB"/>
              </w:rPr>
              <w:t>IFRS 16 PFI Transition Remeasurement &amp; Indexation</w:t>
            </w:r>
          </w:p>
        </w:tc>
        <w:tc>
          <w:tcPr>
            <w:tcW w:w="1565" w:type="dxa"/>
            <w:tcBorders>
              <w:top w:val="single" w:sz="4" w:space="0" w:color="auto"/>
              <w:left w:val="single" w:sz="4" w:space="0" w:color="auto"/>
              <w:bottom w:val="single" w:sz="4" w:space="0" w:color="auto"/>
              <w:right w:val="single" w:sz="4" w:space="0" w:color="auto"/>
            </w:tcBorders>
            <w:noWrap/>
            <w:vAlign w:val="center"/>
          </w:tcPr>
          <w:p w14:paraId="1C21C7AD" w14:textId="78BF90FA" w:rsidR="00AF2104" w:rsidRPr="00D13642" w:rsidRDefault="00AF2104" w:rsidP="00AF2104">
            <w:pPr>
              <w:jc w:val="right"/>
              <w:rPr>
                <w:rFonts w:cs="Arial"/>
                <w:szCs w:val="24"/>
                <w:lang w:eastAsia="en-GB"/>
              </w:rPr>
            </w:pPr>
            <w:r w:rsidRPr="00BD2C0D">
              <w:rPr>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56F6021A" w14:textId="263ADD8D" w:rsidR="00AF2104" w:rsidRPr="00D13642" w:rsidRDefault="00AF2104" w:rsidP="00AF2104">
            <w:pPr>
              <w:jc w:val="right"/>
              <w:rPr>
                <w:rFonts w:cs="Arial"/>
                <w:szCs w:val="24"/>
                <w:lang w:eastAsia="en-GB"/>
              </w:rPr>
            </w:pPr>
            <w:r w:rsidRPr="00BD2C0D">
              <w:rPr>
                <w:szCs w:val="24"/>
              </w:rPr>
              <w:t>1,178</w:t>
            </w:r>
          </w:p>
        </w:tc>
        <w:tc>
          <w:tcPr>
            <w:tcW w:w="1565" w:type="dxa"/>
            <w:tcBorders>
              <w:top w:val="single" w:sz="4" w:space="0" w:color="auto"/>
              <w:bottom w:val="single" w:sz="4" w:space="0" w:color="auto"/>
            </w:tcBorders>
            <w:vAlign w:val="center"/>
          </w:tcPr>
          <w:p w14:paraId="3C4F03E4" w14:textId="5BA5A708" w:rsidR="00AF2104" w:rsidRPr="00D13642"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36BB7983" w14:textId="5EA654B9" w:rsidR="00AF2104" w:rsidRPr="00D13642" w:rsidRDefault="00AF2104" w:rsidP="00AF2104">
            <w:pPr>
              <w:jc w:val="right"/>
              <w:rPr>
                <w:rFonts w:cs="Arial"/>
                <w:szCs w:val="24"/>
                <w:lang w:eastAsia="en-GB"/>
              </w:rPr>
            </w:pPr>
            <w:r w:rsidRPr="00BD2C0D">
              <w:rPr>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513156CD" w14:textId="484DEC9E" w:rsidR="00AF2104" w:rsidRPr="00D13642" w:rsidRDefault="00AF2104" w:rsidP="00AF2104">
            <w:pPr>
              <w:jc w:val="right"/>
              <w:rPr>
                <w:rFonts w:cs="Arial"/>
                <w:szCs w:val="24"/>
                <w:lang w:eastAsia="en-GB"/>
              </w:rPr>
            </w:pPr>
            <w:r w:rsidRPr="00BD2C0D">
              <w:rPr>
                <w:szCs w:val="24"/>
              </w:rPr>
              <w:t>1,178</w:t>
            </w:r>
          </w:p>
        </w:tc>
      </w:tr>
      <w:tr w:rsidR="00AF2104" w:rsidRPr="00D948C1" w14:paraId="35ECFFE1"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4BA792A2" w14:textId="41F2224D" w:rsidR="00AF2104" w:rsidRPr="00D948C1" w:rsidRDefault="00AF2104" w:rsidP="00AF2104">
            <w:pPr>
              <w:ind w:left="175"/>
              <w:rPr>
                <w:rFonts w:cs="Arial"/>
                <w:szCs w:val="24"/>
                <w:lang w:eastAsia="en-GB"/>
              </w:rPr>
            </w:pPr>
            <w:r>
              <w:rPr>
                <w:rFonts w:cs="Arial"/>
                <w:szCs w:val="24"/>
                <w:lang w:eastAsia="en-GB"/>
              </w:rPr>
              <w:t>IFRS 16 Lease Transition</w:t>
            </w:r>
          </w:p>
        </w:tc>
        <w:tc>
          <w:tcPr>
            <w:tcW w:w="1565" w:type="dxa"/>
            <w:tcBorders>
              <w:top w:val="single" w:sz="4" w:space="0" w:color="auto"/>
              <w:left w:val="single" w:sz="4" w:space="0" w:color="auto"/>
              <w:bottom w:val="single" w:sz="4" w:space="0" w:color="auto"/>
              <w:right w:val="single" w:sz="4" w:space="0" w:color="auto"/>
            </w:tcBorders>
            <w:noWrap/>
            <w:vAlign w:val="center"/>
          </w:tcPr>
          <w:p w14:paraId="76B13879" w14:textId="78E83221" w:rsidR="00AF2104" w:rsidRPr="00D13642" w:rsidRDefault="00AF2104" w:rsidP="00AF2104">
            <w:pPr>
              <w:jc w:val="right"/>
              <w:rPr>
                <w:rFonts w:cs="Arial"/>
                <w:szCs w:val="24"/>
                <w:lang w:eastAsia="en-GB"/>
              </w:rPr>
            </w:pPr>
            <w:r w:rsidRPr="00BD2C0D">
              <w:rPr>
                <w:rFonts w:cs="Arial"/>
                <w:szCs w:val="24"/>
                <w:lang w:eastAsia="en-GB"/>
              </w:rPr>
              <w:t>103</w:t>
            </w:r>
          </w:p>
        </w:tc>
        <w:tc>
          <w:tcPr>
            <w:tcW w:w="1565" w:type="dxa"/>
            <w:tcBorders>
              <w:top w:val="single" w:sz="4" w:space="0" w:color="auto"/>
              <w:left w:val="single" w:sz="4" w:space="0" w:color="auto"/>
              <w:bottom w:val="single" w:sz="4" w:space="0" w:color="auto"/>
              <w:right w:val="single" w:sz="4" w:space="0" w:color="auto"/>
            </w:tcBorders>
            <w:vAlign w:val="center"/>
          </w:tcPr>
          <w:p w14:paraId="07D0822E" w14:textId="4300A99F" w:rsidR="00AF2104" w:rsidRPr="00D13642" w:rsidRDefault="00AF2104" w:rsidP="00AF2104">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4F68AC8F" w14:textId="19C7601A" w:rsidR="00AF2104" w:rsidRPr="00D13642"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651EDAE0" w14:textId="76C180F0" w:rsidR="00AF2104" w:rsidRPr="00D13642" w:rsidRDefault="00AF2104" w:rsidP="00AF2104">
            <w:pPr>
              <w:jc w:val="right"/>
              <w:rPr>
                <w:rFonts w:cs="Arial"/>
                <w:szCs w:val="24"/>
                <w:lang w:eastAsia="en-GB"/>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6BBFBE1B" w14:textId="57C9A26C" w:rsidR="00AF2104" w:rsidRPr="00D13642" w:rsidRDefault="00AF2104" w:rsidP="00AF2104">
            <w:pPr>
              <w:jc w:val="right"/>
              <w:rPr>
                <w:rFonts w:cs="Arial"/>
                <w:szCs w:val="24"/>
                <w:lang w:eastAsia="en-GB"/>
              </w:rPr>
            </w:pPr>
            <w:r w:rsidRPr="00BD2C0D">
              <w:rPr>
                <w:rFonts w:cs="Arial"/>
                <w:szCs w:val="24"/>
                <w:lang w:eastAsia="en-GB"/>
              </w:rPr>
              <w:t>103</w:t>
            </w:r>
          </w:p>
        </w:tc>
      </w:tr>
      <w:tr w:rsidR="00AF2104" w:rsidRPr="00D948C1" w14:paraId="2B3A41F5"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0212E22" w14:textId="6D299292" w:rsidR="00AF2104" w:rsidRPr="00D948C1" w:rsidRDefault="00AF2104" w:rsidP="00AF2104">
            <w:pPr>
              <w:ind w:left="175"/>
              <w:rPr>
                <w:rFonts w:cs="Arial"/>
                <w:szCs w:val="24"/>
                <w:lang w:eastAsia="en-GB"/>
              </w:rPr>
            </w:pPr>
            <w:r w:rsidRPr="00D948C1">
              <w:rPr>
                <w:rFonts w:cs="Arial"/>
                <w:szCs w:val="24"/>
                <w:lang w:eastAsia="en-GB"/>
              </w:rPr>
              <w:t>Additions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73F3AE8F" w14:textId="75E39A4E" w:rsidR="00AF2104" w:rsidRPr="00D13642" w:rsidRDefault="00AF2104" w:rsidP="00AF2104">
            <w:pPr>
              <w:jc w:val="right"/>
              <w:rPr>
                <w:rFonts w:cs="Arial"/>
                <w:szCs w:val="24"/>
                <w:lang w:eastAsia="en-GB"/>
              </w:rPr>
            </w:pPr>
            <w:r>
              <w:rPr>
                <w:rFonts w:cs="Arial"/>
                <w:szCs w:val="24"/>
                <w:lang w:eastAsia="en-GB"/>
              </w:rPr>
              <w:t>497</w:t>
            </w:r>
          </w:p>
        </w:tc>
        <w:tc>
          <w:tcPr>
            <w:tcW w:w="1565" w:type="dxa"/>
            <w:tcBorders>
              <w:top w:val="single" w:sz="4" w:space="0" w:color="auto"/>
              <w:left w:val="single" w:sz="4" w:space="0" w:color="auto"/>
              <w:bottom w:val="single" w:sz="4" w:space="0" w:color="auto"/>
              <w:right w:val="single" w:sz="4" w:space="0" w:color="auto"/>
            </w:tcBorders>
            <w:vAlign w:val="center"/>
          </w:tcPr>
          <w:p w14:paraId="667C867A" w14:textId="1B5A5CFC" w:rsidR="00AF2104" w:rsidRPr="00D13642" w:rsidRDefault="00AF2104" w:rsidP="00AF2104">
            <w:pPr>
              <w:jc w:val="right"/>
              <w:rPr>
                <w:rFonts w:cs="Arial"/>
                <w:szCs w:val="24"/>
                <w:lang w:eastAsia="en-GB"/>
              </w:rPr>
            </w:pPr>
            <w:r w:rsidRPr="00BD2C0D">
              <w:rPr>
                <w:rFonts w:cs="Arial"/>
                <w:szCs w:val="24"/>
                <w:lang w:eastAsia="en-GB"/>
              </w:rPr>
              <w:t>2</w:t>
            </w:r>
          </w:p>
        </w:tc>
        <w:tc>
          <w:tcPr>
            <w:tcW w:w="1565" w:type="dxa"/>
            <w:tcBorders>
              <w:top w:val="single" w:sz="4" w:space="0" w:color="auto"/>
              <w:bottom w:val="single" w:sz="4" w:space="0" w:color="auto"/>
            </w:tcBorders>
            <w:vAlign w:val="center"/>
          </w:tcPr>
          <w:p w14:paraId="393716B2" w14:textId="52381D52" w:rsidR="00AF2104" w:rsidRPr="00D13642" w:rsidRDefault="00AF2104" w:rsidP="00AF2104">
            <w:pPr>
              <w:jc w:val="right"/>
              <w:rPr>
                <w:szCs w:val="24"/>
              </w:rPr>
            </w:pPr>
            <w:r>
              <w:rPr>
                <w:rFonts w:cs="Arial"/>
                <w:szCs w:val="24"/>
                <w:lang w:eastAsia="en-GB"/>
              </w:rPr>
              <w:t>1,853</w:t>
            </w:r>
          </w:p>
        </w:tc>
        <w:tc>
          <w:tcPr>
            <w:tcW w:w="1565" w:type="dxa"/>
            <w:tcBorders>
              <w:top w:val="single" w:sz="4" w:space="0" w:color="auto"/>
              <w:left w:val="single" w:sz="4" w:space="0" w:color="auto"/>
              <w:bottom w:val="single" w:sz="4" w:space="0" w:color="auto"/>
              <w:right w:val="single" w:sz="4" w:space="0" w:color="auto"/>
            </w:tcBorders>
            <w:vAlign w:val="center"/>
          </w:tcPr>
          <w:p w14:paraId="523FF121" w14:textId="4C10383F" w:rsidR="00AF2104" w:rsidRPr="00D13642" w:rsidRDefault="00AF2104" w:rsidP="00AF2104">
            <w:pPr>
              <w:jc w:val="right"/>
              <w:rPr>
                <w:rFonts w:cs="Arial"/>
                <w:szCs w:val="24"/>
                <w:lang w:eastAsia="en-GB"/>
              </w:rPr>
            </w:pPr>
            <w:r>
              <w:rPr>
                <w:rFonts w:cs="Arial"/>
                <w:szCs w:val="24"/>
                <w:lang w:eastAsia="en-GB"/>
              </w:rPr>
              <w:t>1</w:t>
            </w:r>
            <w:r w:rsidRPr="00BD2C0D">
              <w:rPr>
                <w:rFonts w:cs="Arial"/>
                <w:szCs w:val="24"/>
                <w:lang w:eastAsia="en-GB"/>
              </w:rPr>
              <w:t>,</w:t>
            </w:r>
            <w:r>
              <w:rPr>
                <w:rFonts w:cs="Arial"/>
                <w:szCs w:val="24"/>
                <w:lang w:eastAsia="en-GB"/>
              </w:rPr>
              <w:t>676</w:t>
            </w:r>
          </w:p>
        </w:tc>
        <w:tc>
          <w:tcPr>
            <w:tcW w:w="1563" w:type="dxa"/>
            <w:tcBorders>
              <w:top w:val="single" w:sz="4" w:space="0" w:color="auto"/>
              <w:left w:val="single" w:sz="4" w:space="0" w:color="auto"/>
              <w:bottom w:val="single" w:sz="4" w:space="0" w:color="auto"/>
              <w:right w:val="single" w:sz="4" w:space="0" w:color="auto"/>
            </w:tcBorders>
            <w:noWrap/>
            <w:vAlign w:val="center"/>
          </w:tcPr>
          <w:p w14:paraId="7A124DA9" w14:textId="3D6DF2EE" w:rsidR="00AF2104" w:rsidRPr="00D13642" w:rsidRDefault="00AF2104" w:rsidP="00AF2104">
            <w:pPr>
              <w:jc w:val="right"/>
              <w:rPr>
                <w:rFonts w:cs="Arial"/>
                <w:szCs w:val="24"/>
                <w:lang w:eastAsia="en-GB"/>
              </w:rPr>
            </w:pPr>
            <w:r w:rsidRPr="00BD2C0D">
              <w:rPr>
                <w:rFonts w:cs="Arial"/>
                <w:szCs w:val="24"/>
                <w:lang w:eastAsia="en-GB"/>
              </w:rPr>
              <w:t>4,028</w:t>
            </w:r>
          </w:p>
        </w:tc>
      </w:tr>
      <w:tr w:rsidR="00AF2104" w:rsidRPr="00D948C1" w14:paraId="7D21803B"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75012DB1" w14:textId="418CE667" w:rsidR="00AF2104" w:rsidRPr="00D948C1" w:rsidRDefault="00AF2104" w:rsidP="00AF2104">
            <w:pPr>
              <w:ind w:left="175"/>
              <w:rPr>
                <w:rFonts w:cs="Arial"/>
                <w:szCs w:val="24"/>
                <w:lang w:eastAsia="en-GB"/>
              </w:rPr>
            </w:pPr>
            <w:r w:rsidRPr="00D948C1">
              <w:rPr>
                <w:rFonts w:cs="Arial"/>
                <w:szCs w:val="24"/>
                <w:lang w:eastAsia="en-GB"/>
              </w:rPr>
              <w:t>Disposals</w:t>
            </w:r>
            <w:r w:rsidR="007022F7">
              <w:rPr>
                <w:rFonts w:cs="Arial"/>
                <w:szCs w:val="24"/>
                <w:lang w:eastAsia="en-GB"/>
              </w:rPr>
              <w:t xml:space="preserve"> and d</w:t>
            </w:r>
            <w:r>
              <w:rPr>
                <w:rFonts w:cs="Arial"/>
                <w:szCs w:val="24"/>
                <w:lang w:eastAsia="en-GB"/>
              </w:rPr>
              <w:t>e-recognitions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4942C966" w14:textId="327A559D" w:rsidR="00AF2104" w:rsidRPr="00D13642" w:rsidRDefault="00AF2104" w:rsidP="00AF2104">
            <w:pPr>
              <w:jc w:val="right"/>
              <w:rPr>
                <w:rFonts w:cs="Arial"/>
                <w:szCs w:val="24"/>
                <w:lang w:eastAsia="en-GB"/>
              </w:rPr>
            </w:pPr>
            <w:r w:rsidRPr="00BD2C0D">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2352FB0" w14:textId="37C9EA35" w:rsidR="00AF2104" w:rsidRPr="00D13642" w:rsidRDefault="00AF2104" w:rsidP="00AF2104">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58746658" w14:textId="7D1662DF" w:rsidR="00AF2104" w:rsidRPr="00D13642"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6D734069" w14:textId="37373DF5" w:rsidR="00AF2104" w:rsidRPr="00D13642" w:rsidRDefault="00AF2104" w:rsidP="00AF2104">
            <w:pPr>
              <w:jc w:val="right"/>
              <w:rPr>
                <w:rFonts w:cs="Arial"/>
                <w:szCs w:val="24"/>
                <w:lang w:eastAsia="en-GB"/>
              </w:rPr>
            </w:pPr>
            <w:r w:rsidRPr="00BD2C0D">
              <w:rPr>
                <w:rFonts w:cs="Arial"/>
                <w:szCs w:val="24"/>
                <w:lang w:eastAsia="en-GB"/>
              </w:rPr>
              <w:t>(1,541)</w:t>
            </w:r>
          </w:p>
        </w:tc>
        <w:tc>
          <w:tcPr>
            <w:tcW w:w="1563" w:type="dxa"/>
            <w:tcBorders>
              <w:top w:val="single" w:sz="4" w:space="0" w:color="auto"/>
              <w:left w:val="single" w:sz="4" w:space="0" w:color="auto"/>
              <w:bottom w:val="single" w:sz="4" w:space="0" w:color="auto"/>
              <w:right w:val="single" w:sz="4" w:space="0" w:color="auto"/>
            </w:tcBorders>
            <w:noWrap/>
            <w:vAlign w:val="center"/>
          </w:tcPr>
          <w:p w14:paraId="797AF54D" w14:textId="79C8E9BD" w:rsidR="00AF2104" w:rsidRPr="00D13642" w:rsidRDefault="00AF2104" w:rsidP="00AF2104">
            <w:pPr>
              <w:jc w:val="right"/>
              <w:rPr>
                <w:rFonts w:cs="Arial"/>
                <w:szCs w:val="24"/>
                <w:lang w:eastAsia="en-GB"/>
              </w:rPr>
            </w:pPr>
            <w:r w:rsidRPr="00BD2C0D">
              <w:rPr>
                <w:rFonts w:cs="Arial"/>
                <w:szCs w:val="24"/>
                <w:lang w:eastAsia="en-GB"/>
              </w:rPr>
              <w:t>(1,541)</w:t>
            </w:r>
          </w:p>
        </w:tc>
      </w:tr>
      <w:tr w:rsidR="00AF2104" w:rsidRPr="00D948C1" w14:paraId="33F88389"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523DFDA9" w14:textId="2BBBE069" w:rsidR="00AF2104" w:rsidRDefault="00AF2104" w:rsidP="00AF2104">
            <w:pPr>
              <w:ind w:left="175"/>
              <w:rPr>
                <w:rFonts w:cs="Arial"/>
                <w:szCs w:val="24"/>
                <w:lang w:eastAsia="en-GB"/>
              </w:rPr>
            </w:pPr>
            <w:r>
              <w:rPr>
                <w:rFonts w:cs="Arial"/>
                <w:szCs w:val="24"/>
                <w:lang w:eastAsia="en-GB"/>
              </w:rPr>
              <w:t>Downward revaluation</w:t>
            </w:r>
            <w:r w:rsidRPr="00D948C1">
              <w:rPr>
                <w:rFonts w:cs="Arial"/>
                <w:szCs w:val="24"/>
                <w:lang w:eastAsia="en-GB"/>
              </w:rPr>
              <w:t xml:space="preserve"> recognised in the Revaluation Reserve</w:t>
            </w:r>
          </w:p>
        </w:tc>
        <w:tc>
          <w:tcPr>
            <w:tcW w:w="1565" w:type="dxa"/>
            <w:tcBorders>
              <w:top w:val="single" w:sz="4" w:space="0" w:color="auto"/>
              <w:left w:val="single" w:sz="4" w:space="0" w:color="auto"/>
              <w:bottom w:val="single" w:sz="4" w:space="0" w:color="auto"/>
              <w:right w:val="single" w:sz="4" w:space="0" w:color="auto"/>
            </w:tcBorders>
            <w:noWrap/>
            <w:vAlign w:val="center"/>
          </w:tcPr>
          <w:p w14:paraId="2F390F0B" w14:textId="619CF396" w:rsidR="00AF2104" w:rsidRPr="00D13642" w:rsidRDefault="00AF2104" w:rsidP="00AF2104">
            <w:pPr>
              <w:jc w:val="right"/>
              <w:rPr>
                <w:szCs w:val="24"/>
              </w:rPr>
            </w:pPr>
            <w:r w:rsidRPr="00BD2C0D">
              <w:rPr>
                <w:szCs w:val="24"/>
              </w:rPr>
              <w:t>(909)</w:t>
            </w:r>
          </w:p>
        </w:tc>
        <w:tc>
          <w:tcPr>
            <w:tcW w:w="1565" w:type="dxa"/>
            <w:tcBorders>
              <w:top w:val="single" w:sz="4" w:space="0" w:color="auto"/>
              <w:left w:val="single" w:sz="4" w:space="0" w:color="auto"/>
              <w:bottom w:val="single" w:sz="4" w:space="0" w:color="auto"/>
              <w:right w:val="single" w:sz="4" w:space="0" w:color="auto"/>
            </w:tcBorders>
            <w:vAlign w:val="center"/>
          </w:tcPr>
          <w:p w14:paraId="3B02D9E2" w14:textId="5D399A5B" w:rsidR="00AF2104" w:rsidRPr="00D13642" w:rsidRDefault="00AF2104" w:rsidP="00AF2104">
            <w:pPr>
              <w:jc w:val="right"/>
              <w:rPr>
                <w:szCs w:val="24"/>
              </w:rPr>
            </w:pPr>
            <w:r w:rsidRPr="00BD2C0D">
              <w:rPr>
                <w:rFonts w:cs="Arial"/>
                <w:szCs w:val="24"/>
                <w:lang w:eastAsia="en-GB"/>
              </w:rPr>
              <w:t>(1,024)</w:t>
            </w:r>
          </w:p>
        </w:tc>
        <w:tc>
          <w:tcPr>
            <w:tcW w:w="1565" w:type="dxa"/>
            <w:tcBorders>
              <w:top w:val="single" w:sz="4" w:space="0" w:color="auto"/>
              <w:bottom w:val="single" w:sz="4" w:space="0" w:color="auto"/>
            </w:tcBorders>
            <w:vAlign w:val="center"/>
          </w:tcPr>
          <w:p w14:paraId="776D987A" w14:textId="05E37F3C" w:rsidR="00AF2104"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427F774E" w14:textId="0394E30A" w:rsidR="00AF2104" w:rsidRPr="00D13642" w:rsidRDefault="00AF2104" w:rsidP="00AF2104">
            <w:pPr>
              <w:jc w:val="right"/>
              <w:rPr>
                <w:szCs w:val="24"/>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2F10D643" w14:textId="01D699A1" w:rsidR="00AF2104" w:rsidRPr="00D13642" w:rsidRDefault="00AF2104" w:rsidP="00AF2104">
            <w:pPr>
              <w:jc w:val="right"/>
              <w:rPr>
                <w:szCs w:val="24"/>
              </w:rPr>
            </w:pPr>
            <w:r w:rsidRPr="00BD2C0D">
              <w:rPr>
                <w:rFonts w:cs="Arial"/>
                <w:szCs w:val="24"/>
                <w:lang w:eastAsia="en-GB"/>
              </w:rPr>
              <w:t>(1,933)</w:t>
            </w:r>
          </w:p>
        </w:tc>
      </w:tr>
      <w:tr w:rsidR="00AF2104" w:rsidRPr="00D948C1" w14:paraId="6CC0B35D"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94161FB" w14:textId="7557C8E9" w:rsidR="00AF2104" w:rsidRPr="00D948C1" w:rsidRDefault="00AF2104" w:rsidP="00AF2104">
            <w:pPr>
              <w:ind w:left="175"/>
              <w:rPr>
                <w:rFonts w:cs="Arial"/>
                <w:szCs w:val="24"/>
                <w:lang w:eastAsia="en-GB"/>
              </w:rPr>
            </w:pPr>
            <w:r w:rsidRPr="00D948C1">
              <w:rPr>
                <w:rFonts w:cs="Arial"/>
                <w:szCs w:val="24"/>
                <w:lang w:eastAsia="en-GB"/>
              </w:rPr>
              <w:t>Impairment losses recognised in the CIES Provision of Services</w:t>
            </w:r>
          </w:p>
        </w:tc>
        <w:tc>
          <w:tcPr>
            <w:tcW w:w="1565" w:type="dxa"/>
            <w:tcBorders>
              <w:top w:val="single" w:sz="4" w:space="0" w:color="auto"/>
              <w:left w:val="single" w:sz="4" w:space="0" w:color="auto"/>
              <w:bottom w:val="single" w:sz="4" w:space="0" w:color="auto"/>
              <w:right w:val="single" w:sz="4" w:space="0" w:color="auto"/>
            </w:tcBorders>
            <w:noWrap/>
            <w:vAlign w:val="center"/>
          </w:tcPr>
          <w:p w14:paraId="2C58881E" w14:textId="41BFD6C0" w:rsidR="00AF2104" w:rsidRPr="00D13642" w:rsidRDefault="00AF2104" w:rsidP="00AF2104">
            <w:pPr>
              <w:jc w:val="right"/>
              <w:rPr>
                <w:rFonts w:cs="Arial"/>
                <w:szCs w:val="24"/>
                <w:lang w:eastAsia="en-GB"/>
              </w:rPr>
            </w:pPr>
            <w:r w:rsidRPr="00BD2C0D">
              <w:rPr>
                <w:rFonts w:cs="Arial"/>
                <w:szCs w:val="24"/>
                <w:lang w:eastAsia="en-GB"/>
              </w:rPr>
              <w:t>(71)</w:t>
            </w:r>
          </w:p>
        </w:tc>
        <w:tc>
          <w:tcPr>
            <w:tcW w:w="1565" w:type="dxa"/>
            <w:tcBorders>
              <w:top w:val="single" w:sz="4" w:space="0" w:color="auto"/>
              <w:left w:val="single" w:sz="4" w:space="0" w:color="auto"/>
              <w:bottom w:val="single" w:sz="4" w:space="0" w:color="auto"/>
              <w:right w:val="single" w:sz="4" w:space="0" w:color="auto"/>
            </w:tcBorders>
            <w:vAlign w:val="center"/>
          </w:tcPr>
          <w:p w14:paraId="5B6AA7A3" w14:textId="1181DB24" w:rsidR="00AF2104" w:rsidRPr="00D13642" w:rsidRDefault="00AF2104" w:rsidP="00AF2104">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10B5E969" w14:textId="26BFD808" w:rsidR="00AF2104" w:rsidRPr="00D13642" w:rsidRDefault="00AF2104" w:rsidP="00AF2104">
            <w:pPr>
              <w:jc w:val="right"/>
              <w:rPr>
                <w:rFonts w:cs="Arial"/>
                <w:szCs w:val="24"/>
                <w:lang w:eastAsia="en-GB"/>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5ADEFA8" w14:textId="37D496B8" w:rsidR="00AF2104" w:rsidRPr="00D13642" w:rsidRDefault="00AF2104" w:rsidP="00AF2104">
            <w:pPr>
              <w:jc w:val="right"/>
              <w:rPr>
                <w:rFonts w:cs="Arial"/>
                <w:szCs w:val="24"/>
                <w:lang w:eastAsia="en-GB"/>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1CCFD8E6" w14:textId="2CE4BD78" w:rsidR="00AF2104" w:rsidRPr="00D13642" w:rsidRDefault="00AF2104" w:rsidP="00AF2104">
            <w:pPr>
              <w:jc w:val="right"/>
              <w:rPr>
                <w:rFonts w:cs="Arial"/>
                <w:szCs w:val="24"/>
                <w:lang w:eastAsia="en-GB"/>
              </w:rPr>
            </w:pPr>
            <w:r w:rsidRPr="00BD2C0D">
              <w:rPr>
                <w:rFonts w:cs="Arial"/>
                <w:szCs w:val="24"/>
                <w:lang w:eastAsia="en-GB"/>
              </w:rPr>
              <w:t>(71)</w:t>
            </w:r>
          </w:p>
        </w:tc>
      </w:tr>
      <w:tr w:rsidR="00AF2104" w:rsidRPr="00D948C1" w14:paraId="7152A651"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34B82362" w14:textId="2A63C1C2" w:rsidR="00AF2104" w:rsidRPr="00D948C1" w:rsidRDefault="00AF2104" w:rsidP="00AF2104">
            <w:pPr>
              <w:ind w:left="175"/>
              <w:rPr>
                <w:rFonts w:cs="Arial"/>
                <w:szCs w:val="24"/>
                <w:lang w:eastAsia="en-GB"/>
              </w:rPr>
            </w:pPr>
            <w:r>
              <w:rPr>
                <w:rFonts w:cs="Arial"/>
                <w:szCs w:val="24"/>
                <w:lang w:eastAsia="en-GB"/>
              </w:rPr>
              <w:t>Movement from AUC</w:t>
            </w:r>
          </w:p>
        </w:tc>
        <w:tc>
          <w:tcPr>
            <w:tcW w:w="1565" w:type="dxa"/>
            <w:tcBorders>
              <w:top w:val="single" w:sz="4" w:space="0" w:color="auto"/>
              <w:left w:val="single" w:sz="4" w:space="0" w:color="auto"/>
              <w:bottom w:val="single" w:sz="4" w:space="0" w:color="auto"/>
              <w:right w:val="single" w:sz="4" w:space="0" w:color="auto"/>
            </w:tcBorders>
            <w:noWrap/>
            <w:vAlign w:val="center"/>
          </w:tcPr>
          <w:p w14:paraId="17322458" w14:textId="1BE99F9B" w:rsidR="00AF2104" w:rsidRPr="009C0E33"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79A91137" w14:textId="5305D761" w:rsidR="00AF2104" w:rsidRPr="009C0E33" w:rsidRDefault="00AF2104" w:rsidP="00AF2104">
            <w:pPr>
              <w:jc w:val="right"/>
              <w:rPr>
                <w:szCs w:val="24"/>
              </w:rPr>
            </w:pPr>
            <w:r>
              <w:rPr>
                <w:rFonts w:cs="Arial"/>
                <w:szCs w:val="24"/>
                <w:lang w:eastAsia="en-GB"/>
              </w:rPr>
              <w:t>-</w:t>
            </w:r>
          </w:p>
        </w:tc>
        <w:tc>
          <w:tcPr>
            <w:tcW w:w="1565" w:type="dxa"/>
            <w:tcBorders>
              <w:top w:val="single" w:sz="4" w:space="0" w:color="auto"/>
              <w:bottom w:val="single" w:sz="4" w:space="0" w:color="auto"/>
            </w:tcBorders>
            <w:vAlign w:val="center"/>
          </w:tcPr>
          <w:p w14:paraId="1BC273DF" w14:textId="6E8105DD" w:rsidR="00AF2104" w:rsidRPr="009C0E33" w:rsidRDefault="00AF2104" w:rsidP="00AF2104">
            <w:pPr>
              <w:jc w:val="right"/>
              <w:rPr>
                <w:szCs w:val="24"/>
              </w:rPr>
            </w:pPr>
            <w:r>
              <w:rPr>
                <w:rFonts w:cs="Arial"/>
                <w:szCs w:val="24"/>
                <w:lang w:eastAsia="en-GB"/>
              </w:rPr>
              <w:t>(991)</w:t>
            </w:r>
          </w:p>
        </w:tc>
        <w:tc>
          <w:tcPr>
            <w:tcW w:w="1565" w:type="dxa"/>
            <w:tcBorders>
              <w:top w:val="single" w:sz="4" w:space="0" w:color="auto"/>
              <w:left w:val="single" w:sz="4" w:space="0" w:color="auto"/>
              <w:bottom w:val="single" w:sz="4" w:space="0" w:color="auto"/>
              <w:right w:val="single" w:sz="4" w:space="0" w:color="auto"/>
            </w:tcBorders>
            <w:vAlign w:val="center"/>
          </w:tcPr>
          <w:p w14:paraId="66067599" w14:textId="1138ACD6" w:rsidR="00AF2104" w:rsidRPr="009C0E33" w:rsidRDefault="00AF2104" w:rsidP="00AF2104">
            <w:pPr>
              <w:jc w:val="right"/>
              <w:rPr>
                <w:szCs w:val="24"/>
              </w:rPr>
            </w:pPr>
            <w:r>
              <w:rPr>
                <w:rFonts w:cs="Arial"/>
                <w:szCs w:val="24"/>
                <w:lang w:eastAsia="en-GB"/>
              </w:rPr>
              <w:t>991</w:t>
            </w:r>
          </w:p>
        </w:tc>
        <w:tc>
          <w:tcPr>
            <w:tcW w:w="1563" w:type="dxa"/>
            <w:tcBorders>
              <w:top w:val="single" w:sz="4" w:space="0" w:color="auto"/>
              <w:left w:val="single" w:sz="4" w:space="0" w:color="auto"/>
              <w:bottom w:val="single" w:sz="4" w:space="0" w:color="auto"/>
              <w:right w:val="single" w:sz="4" w:space="0" w:color="auto"/>
            </w:tcBorders>
            <w:noWrap/>
            <w:vAlign w:val="center"/>
          </w:tcPr>
          <w:p w14:paraId="20DA49EC" w14:textId="4E544710" w:rsidR="00AF2104" w:rsidRPr="009C0E33" w:rsidRDefault="00AF2104" w:rsidP="00AF2104">
            <w:pPr>
              <w:jc w:val="right"/>
              <w:rPr>
                <w:rFonts w:cs="Arial"/>
                <w:szCs w:val="24"/>
                <w:lang w:eastAsia="en-GB"/>
              </w:rPr>
            </w:pPr>
            <w:r>
              <w:rPr>
                <w:rFonts w:cs="Arial"/>
                <w:szCs w:val="24"/>
                <w:lang w:eastAsia="en-GB"/>
              </w:rPr>
              <w:t>-</w:t>
            </w:r>
          </w:p>
        </w:tc>
      </w:tr>
      <w:tr w:rsidR="00AF2104" w:rsidRPr="00D948C1" w14:paraId="1269FD0F"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28540B7" w14:textId="628CB243" w:rsidR="00AF2104" w:rsidRPr="00D948C1" w:rsidRDefault="00AF2104" w:rsidP="00AF2104">
            <w:pPr>
              <w:ind w:left="175"/>
              <w:rPr>
                <w:rFonts w:cs="Arial"/>
                <w:szCs w:val="24"/>
                <w:lang w:eastAsia="en-GB"/>
              </w:rPr>
            </w:pPr>
            <w:r w:rsidRPr="00D948C1">
              <w:rPr>
                <w:rFonts w:cs="Arial"/>
                <w:szCs w:val="24"/>
                <w:lang w:eastAsia="en-GB"/>
              </w:rPr>
              <w:t>Revaluations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4D106F2B" w14:textId="6B11F359" w:rsidR="00AF2104" w:rsidRPr="00D13642" w:rsidRDefault="00AF2104" w:rsidP="00AF2104">
            <w:pPr>
              <w:jc w:val="right"/>
              <w:rPr>
                <w:szCs w:val="24"/>
              </w:rPr>
            </w:pPr>
            <w:r w:rsidRPr="00BD2C0D">
              <w:rPr>
                <w:rFonts w:cs="Arial"/>
                <w:szCs w:val="24"/>
                <w:lang w:eastAsia="en-GB"/>
              </w:rPr>
              <w:t>1,804</w:t>
            </w:r>
          </w:p>
        </w:tc>
        <w:tc>
          <w:tcPr>
            <w:tcW w:w="1565" w:type="dxa"/>
            <w:tcBorders>
              <w:top w:val="single" w:sz="4" w:space="0" w:color="auto"/>
              <w:left w:val="single" w:sz="4" w:space="0" w:color="auto"/>
              <w:bottom w:val="single" w:sz="4" w:space="0" w:color="auto"/>
              <w:right w:val="single" w:sz="4" w:space="0" w:color="auto"/>
            </w:tcBorders>
            <w:vAlign w:val="center"/>
          </w:tcPr>
          <w:p w14:paraId="0A85916E" w14:textId="78BF1C11" w:rsidR="00AF2104" w:rsidRPr="00D13642" w:rsidRDefault="00AF2104" w:rsidP="00AF2104">
            <w:pPr>
              <w:jc w:val="right"/>
              <w:rPr>
                <w:szCs w:val="24"/>
              </w:rPr>
            </w:pPr>
            <w:r w:rsidRPr="00BD2C0D">
              <w:rPr>
                <w:rFonts w:cs="Arial"/>
                <w:szCs w:val="24"/>
                <w:lang w:eastAsia="en-GB"/>
              </w:rPr>
              <w:t>(694)</w:t>
            </w:r>
          </w:p>
        </w:tc>
        <w:tc>
          <w:tcPr>
            <w:tcW w:w="1565" w:type="dxa"/>
            <w:tcBorders>
              <w:top w:val="single" w:sz="4" w:space="0" w:color="auto"/>
              <w:bottom w:val="single" w:sz="4" w:space="0" w:color="auto"/>
            </w:tcBorders>
            <w:vAlign w:val="center"/>
          </w:tcPr>
          <w:p w14:paraId="28F15F1E" w14:textId="05767344" w:rsidR="00AF2104" w:rsidRPr="009C0E33" w:rsidRDefault="00AF2104" w:rsidP="00AF2104">
            <w:pPr>
              <w:jc w:val="right"/>
              <w:rPr>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4128D40C" w14:textId="62B66EC9" w:rsidR="00AF2104" w:rsidRPr="00D13642" w:rsidRDefault="00AF2104" w:rsidP="00AF2104">
            <w:pPr>
              <w:jc w:val="right"/>
              <w:rPr>
                <w:szCs w:val="24"/>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565B94D8" w14:textId="1FFA7DD8" w:rsidR="00AF2104" w:rsidRPr="00D13642" w:rsidRDefault="00AF2104" w:rsidP="00AF2104">
            <w:pPr>
              <w:jc w:val="right"/>
              <w:rPr>
                <w:rFonts w:cs="Arial"/>
                <w:szCs w:val="24"/>
                <w:lang w:eastAsia="en-GB"/>
              </w:rPr>
            </w:pPr>
            <w:r w:rsidRPr="00BD2C0D">
              <w:rPr>
                <w:rFonts w:cs="Arial"/>
                <w:szCs w:val="24"/>
                <w:lang w:eastAsia="en-GB"/>
              </w:rPr>
              <w:t>1,110</w:t>
            </w:r>
          </w:p>
        </w:tc>
      </w:tr>
      <w:tr w:rsidR="00AF2104" w:rsidRPr="00D948C1" w14:paraId="31ED15B3" w14:textId="77777777" w:rsidTr="00F06E9F">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37ADDF63" w14:textId="77C38AD1" w:rsidR="00AF2104" w:rsidRPr="00D948C1" w:rsidRDefault="00AF2104" w:rsidP="00AF2104">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tcBorders>
              <w:top w:val="single" w:sz="4" w:space="0" w:color="auto"/>
              <w:left w:val="single" w:sz="4" w:space="0" w:color="auto"/>
              <w:bottom w:val="single" w:sz="4" w:space="0" w:color="auto"/>
              <w:right w:val="single" w:sz="4" w:space="0" w:color="auto"/>
            </w:tcBorders>
            <w:noWrap/>
            <w:vAlign w:val="center"/>
          </w:tcPr>
          <w:p w14:paraId="245FA252" w14:textId="67E0DD41" w:rsidR="00AF2104" w:rsidRPr="00D13642" w:rsidRDefault="00AF2104" w:rsidP="00AF2104">
            <w:pPr>
              <w:jc w:val="right"/>
              <w:rPr>
                <w:rFonts w:cs="Arial"/>
                <w:szCs w:val="24"/>
                <w:lang w:eastAsia="en-GB"/>
              </w:rPr>
            </w:pPr>
            <w:r w:rsidRPr="00BD2C0D">
              <w:rPr>
                <w:rFonts w:cs="Arial"/>
                <w:szCs w:val="24"/>
                <w:lang w:eastAsia="en-GB"/>
              </w:rPr>
              <w:t>80,6</w:t>
            </w:r>
            <w:r>
              <w:rPr>
                <w:rFonts w:cs="Arial"/>
                <w:szCs w:val="24"/>
                <w:lang w:eastAsia="en-GB"/>
              </w:rPr>
              <w:t>66</w:t>
            </w:r>
          </w:p>
        </w:tc>
        <w:tc>
          <w:tcPr>
            <w:tcW w:w="1565" w:type="dxa"/>
            <w:tcBorders>
              <w:top w:val="single" w:sz="4" w:space="0" w:color="auto"/>
              <w:left w:val="single" w:sz="4" w:space="0" w:color="auto"/>
              <w:bottom w:val="single" w:sz="4" w:space="0" w:color="auto"/>
              <w:right w:val="single" w:sz="4" w:space="0" w:color="auto"/>
            </w:tcBorders>
            <w:vAlign w:val="center"/>
          </w:tcPr>
          <w:p w14:paraId="03E2F6F7" w14:textId="47C8F662" w:rsidR="00AF2104" w:rsidRPr="00D13642" w:rsidRDefault="00AF2104" w:rsidP="00AF2104">
            <w:pPr>
              <w:jc w:val="right"/>
              <w:rPr>
                <w:rFonts w:cs="Arial"/>
                <w:szCs w:val="24"/>
                <w:lang w:eastAsia="en-GB"/>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1B946B08" w14:textId="4EA50E2E" w:rsidR="00AF2104" w:rsidRDefault="00AF2104" w:rsidP="00AF2104">
            <w:pPr>
              <w:jc w:val="right"/>
              <w:rPr>
                <w:szCs w:val="24"/>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352906AC" w14:textId="6C9B14F4" w:rsidR="00AF2104" w:rsidRPr="00D13642" w:rsidRDefault="00AF2104" w:rsidP="00AF2104">
            <w:pPr>
              <w:jc w:val="right"/>
              <w:rPr>
                <w:rFonts w:cs="Arial"/>
                <w:szCs w:val="24"/>
                <w:lang w:eastAsia="en-GB"/>
              </w:rPr>
            </w:pPr>
            <w:r>
              <w:rPr>
                <w:rFonts w:cs="Arial"/>
                <w:szCs w:val="24"/>
                <w:lang w:eastAsia="en-GB"/>
              </w:rPr>
              <w:t>29</w:t>
            </w:r>
            <w:r w:rsidRPr="00BD2C0D">
              <w:rPr>
                <w:rFonts w:cs="Arial"/>
                <w:szCs w:val="24"/>
                <w:lang w:eastAsia="en-GB"/>
              </w:rPr>
              <w:t>,</w:t>
            </w:r>
            <w:r>
              <w:rPr>
                <w:rFonts w:cs="Arial"/>
                <w:szCs w:val="24"/>
                <w:lang w:eastAsia="en-GB"/>
              </w:rPr>
              <w:t>067</w:t>
            </w:r>
          </w:p>
        </w:tc>
        <w:tc>
          <w:tcPr>
            <w:tcW w:w="1563" w:type="dxa"/>
            <w:tcBorders>
              <w:top w:val="single" w:sz="4" w:space="0" w:color="auto"/>
              <w:left w:val="single" w:sz="4" w:space="0" w:color="auto"/>
              <w:bottom w:val="single" w:sz="4" w:space="0" w:color="auto"/>
              <w:right w:val="single" w:sz="4" w:space="0" w:color="auto"/>
            </w:tcBorders>
            <w:noWrap/>
            <w:vAlign w:val="center"/>
          </w:tcPr>
          <w:p w14:paraId="01F1BD05" w14:textId="03803D66" w:rsidR="00AF2104" w:rsidRPr="00D13642" w:rsidRDefault="00AF2104" w:rsidP="00AF2104">
            <w:pPr>
              <w:jc w:val="right"/>
              <w:rPr>
                <w:rFonts w:cs="Arial"/>
                <w:szCs w:val="24"/>
                <w:lang w:eastAsia="en-GB"/>
              </w:rPr>
            </w:pPr>
            <w:r w:rsidRPr="00BD2C0D">
              <w:rPr>
                <w:rFonts w:cs="Arial"/>
                <w:szCs w:val="24"/>
                <w:lang w:eastAsia="en-GB"/>
              </w:rPr>
              <w:t>147,601</w:t>
            </w:r>
          </w:p>
        </w:tc>
      </w:tr>
    </w:tbl>
    <w:p w14:paraId="16DE1555" w14:textId="77777777" w:rsidR="00372872" w:rsidRPr="00D948C1" w:rsidRDefault="00372872"/>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A47861" w:rsidRPr="00D948C1" w14:paraId="1B54AA37" w14:textId="77777777" w:rsidTr="00BF5E3B">
        <w:trPr>
          <w:trHeight w:val="253"/>
          <w:tblHeader/>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9130FDE" w14:textId="5195A3F7" w:rsidR="00A47861" w:rsidRPr="00D948C1" w:rsidRDefault="00A47861" w:rsidP="00BC6C4F">
            <w:pPr>
              <w:rPr>
                <w:rFonts w:cs="Arial"/>
                <w:szCs w:val="24"/>
                <w:lang w:eastAsia="en-GB"/>
              </w:rPr>
            </w:pPr>
            <w:r w:rsidRPr="00D948C1">
              <w:rPr>
                <w:rFonts w:cs="Arial"/>
                <w:b/>
                <w:bCs/>
                <w:szCs w:val="24"/>
                <w:lang w:eastAsia="en-GB"/>
              </w:rPr>
              <w:t>Depreciation and impairments</w:t>
            </w:r>
          </w:p>
        </w:tc>
      </w:tr>
      <w:tr w:rsidR="00A27CD8" w:rsidRPr="00D948C1" w14:paraId="67FE604B"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A12CF68" w14:textId="5332FF63" w:rsidR="00A27CD8" w:rsidRPr="00D948C1" w:rsidRDefault="00A27CD8" w:rsidP="00A27CD8">
            <w:pPr>
              <w:ind w:left="175"/>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1 April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5EAB90F0" w14:textId="4A285E84"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76E41DF4" w14:textId="78D81356"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3D96A75B" w14:textId="5CE5CB9D" w:rsidR="00A27CD8" w:rsidRPr="00965B02"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85E0085" w14:textId="6DCA99B0" w:rsidR="00A27CD8" w:rsidRPr="00965B02" w:rsidRDefault="00A27CD8" w:rsidP="00A27CD8">
            <w:pPr>
              <w:jc w:val="right"/>
              <w:rPr>
                <w:rFonts w:cs="Arial"/>
                <w:szCs w:val="24"/>
                <w:lang w:eastAsia="en-GB"/>
              </w:rPr>
            </w:pPr>
            <w:r w:rsidRPr="00BD2C0D">
              <w:rPr>
                <w:rFonts w:cs="Arial"/>
                <w:szCs w:val="24"/>
                <w:lang w:eastAsia="en-GB"/>
              </w:rPr>
              <w:t>(17,378)</w:t>
            </w:r>
          </w:p>
        </w:tc>
        <w:tc>
          <w:tcPr>
            <w:tcW w:w="1563" w:type="dxa"/>
            <w:tcBorders>
              <w:top w:val="single" w:sz="4" w:space="0" w:color="auto"/>
              <w:left w:val="single" w:sz="4" w:space="0" w:color="auto"/>
              <w:bottom w:val="single" w:sz="4" w:space="0" w:color="auto"/>
              <w:right w:val="single" w:sz="4" w:space="0" w:color="auto"/>
            </w:tcBorders>
            <w:noWrap/>
            <w:vAlign w:val="center"/>
          </w:tcPr>
          <w:p w14:paraId="3946B0EE" w14:textId="39BC3078" w:rsidR="00A27CD8" w:rsidRPr="00965B02" w:rsidRDefault="00A27CD8" w:rsidP="00A27CD8">
            <w:pPr>
              <w:jc w:val="right"/>
              <w:rPr>
                <w:rFonts w:cs="Arial"/>
                <w:szCs w:val="24"/>
                <w:lang w:eastAsia="en-GB"/>
              </w:rPr>
            </w:pPr>
            <w:r w:rsidRPr="00BD2C0D">
              <w:rPr>
                <w:rFonts w:cs="Arial"/>
                <w:szCs w:val="24"/>
                <w:lang w:eastAsia="en-GB"/>
              </w:rPr>
              <w:t>(17,378)</w:t>
            </w:r>
          </w:p>
        </w:tc>
      </w:tr>
      <w:tr w:rsidR="00A27CD8" w:rsidRPr="00D948C1" w14:paraId="7B878A86"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24C1022D" w14:textId="1BDD5AE9" w:rsidR="00A27CD8" w:rsidRPr="00D948C1" w:rsidRDefault="00A27CD8" w:rsidP="00A27CD8">
            <w:pPr>
              <w:ind w:left="175"/>
              <w:rPr>
                <w:rFonts w:cs="Arial"/>
                <w:szCs w:val="24"/>
                <w:lang w:eastAsia="en-GB"/>
              </w:rPr>
            </w:pPr>
            <w:r w:rsidRPr="00D948C1">
              <w:rPr>
                <w:rFonts w:cs="Arial"/>
                <w:szCs w:val="24"/>
                <w:lang w:eastAsia="en-GB"/>
              </w:rPr>
              <w:t xml:space="preserve">Depreciation charge for </w:t>
            </w:r>
            <w:r w:rsidR="001A42DD">
              <w:rPr>
                <w:rFonts w:cs="Arial"/>
                <w:szCs w:val="24"/>
                <w:lang w:eastAsia="en-GB"/>
              </w:rPr>
              <w:t>2024-25</w:t>
            </w:r>
          </w:p>
        </w:tc>
        <w:tc>
          <w:tcPr>
            <w:tcW w:w="1565" w:type="dxa"/>
            <w:tcBorders>
              <w:top w:val="single" w:sz="4" w:space="0" w:color="auto"/>
              <w:left w:val="single" w:sz="4" w:space="0" w:color="auto"/>
              <w:bottom w:val="single" w:sz="4" w:space="0" w:color="auto"/>
              <w:right w:val="single" w:sz="4" w:space="0" w:color="auto"/>
            </w:tcBorders>
            <w:noWrap/>
            <w:vAlign w:val="center"/>
          </w:tcPr>
          <w:p w14:paraId="1B7D4587" w14:textId="61A5B5AE" w:rsidR="00A27CD8" w:rsidRPr="00965B02" w:rsidRDefault="00A27CD8" w:rsidP="00A27CD8">
            <w:pPr>
              <w:jc w:val="right"/>
              <w:rPr>
                <w:rFonts w:cs="Arial"/>
                <w:szCs w:val="24"/>
                <w:lang w:eastAsia="en-GB"/>
              </w:rPr>
            </w:pPr>
            <w:r w:rsidRPr="00BD2C0D">
              <w:rPr>
                <w:rFonts w:cs="Arial"/>
                <w:szCs w:val="24"/>
                <w:lang w:eastAsia="en-GB"/>
              </w:rPr>
              <w:t>(3,400)</w:t>
            </w:r>
          </w:p>
        </w:tc>
        <w:tc>
          <w:tcPr>
            <w:tcW w:w="1565" w:type="dxa"/>
            <w:tcBorders>
              <w:top w:val="single" w:sz="4" w:space="0" w:color="auto"/>
              <w:left w:val="single" w:sz="4" w:space="0" w:color="auto"/>
              <w:bottom w:val="single" w:sz="4" w:space="0" w:color="auto"/>
              <w:right w:val="single" w:sz="4" w:space="0" w:color="auto"/>
            </w:tcBorders>
            <w:vAlign w:val="center"/>
          </w:tcPr>
          <w:p w14:paraId="2FE102F7" w14:textId="4D9B4932" w:rsidR="00A27CD8" w:rsidRPr="00965B02" w:rsidRDefault="00A27CD8" w:rsidP="00A27CD8">
            <w:pPr>
              <w:jc w:val="right"/>
              <w:rPr>
                <w:rFonts w:cs="Arial"/>
                <w:szCs w:val="24"/>
                <w:lang w:eastAsia="en-GB"/>
              </w:rPr>
            </w:pPr>
            <w:r w:rsidRPr="00BD2C0D">
              <w:rPr>
                <w:rFonts w:cs="Arial"/>
                <w:szCs w:val="24"/>
                <w:lang w:eastAsia="en-GB"/>
              </w:rPr>
              <w:t>(1,068)</w:t>
            </w:r>
          </w:p>
        </w:tc>
        <w:tc>
          <w:tcPr>
            <w:tcW w:w="1565" w:type="dxa"/>
            <w:tcBorders>
              <w:top w:val="single" w:sz="4" w:space="0" w:color="auto"/>
              <w:bottom w:val="single" w:sz="4" w:space="0" w:color="auto"/>
            </w:tcBorders>
            <w:vAlign w:val="center"/>
          </w:tcPr>
          <w:p w14:paraId="08EAB07F" w14:textId="7F9A74D2" w:rsidR="00A27CD8" w:rsidRPr="00BD2C0D"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663B9D0A" w14:textId="54B06598" w:rsidR="00A27CD8" w:rsidRPr="00965B02" w:rsidRDefault="00A27CD8" w:rsidP="00A27CD8">
            <w:pPr>
              <w:jc w:val="right"/>
              <w:rPr>
                <w:rFonts w:cs="Arial"/>
                <w:szCs w:val="24"/>
                <w:lang w:eastAsia="en-GB"/>
              </w:rPr>
            </w:pPr>
            <w:r w:rsidRPr="00BD2C0D">
              <w:rPr>
                <w:rFonts w:cs="Arial"/>
                <w:szCs w:val="24"/>
                <w:lang w:eastAsia="en-GB"/>
              </w:rPr>
              <w:t>(2,180)</w:t>
            </w:r>
          </w:p>
        </w:tc>
        <w:tc>
          <w:tcPr>
            <w:tcW w:w="1563" w:type="dxa"/>
            <w:tcBorders>
              <w:top w:val="single" w:sz="4" w:space="0" w:color="auto"/>
              <w:left w:val="single" w:sz="4" w:space="0" w:color="auto"/>
              <w:bottom w:val="single" w:sz="4" w:space="0" w:color="auto"/>
              <w:right w:val="single" w:sz="4" w:space="0" w:color="auto"/>
            </w:tcBorders>
            <w:noWrap/>
            <w:vAlign w:val="center"/>
          </w:tcPr>
          <w:p w14:paraId="18046446" w14:textId="58DC4E3E" w:rsidR="00A27CD8" w:rsidRPr="00965B02" w:rsidRDefault="00A27CD8" w:rsidP="00A27CD8">
            <w:pPr>
              <w:jc w:val="right"/>
              <w:rPr>
                <w:rFonts w:cs="Arial"/>
                <w:szCs w:val="24"/>
                <w:lang w:eastAsia="en-GB"/>
              </w:rPr>
            </w:pPr>
            <w:r w:rsidRPr="00BD2C0D">
              <w:rPr>
                <w:rFonts w:cs="Arial"/>
                <w:szCs w:val="24"/>
                <w:lang w:eastAsia="en-GB"/>
              </w:rPr>
              <w:t>(6,648)</w:t>
            </w:r>
          </w:p>
        </w:tc>
      </w:tr>
      <w:tr w:rsidR="00A27CD8" w:rsidRPr="00D948C1" w14:paraId="5A48BCDB" w14:textId="77777777" w:rsidTr="00F06E9F">
        <w:trPr>
          <w:trHeight w:val="297"/>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9DA2042" w14:textId="36F2715B" w:rsidR="00A27CD8" w:rsidRPr="00D948C1" w:rsidRDefault="00A27CD8" w:rsidP="00A27CD8">
            <w:pPr>
              <w:ind w:left="175"/>
              <w:rPr>
                <w:rFonts w:cs="Arial"/>
                <w:szCs w:val="24"/>
                <w:lang w:eastAsia="en-GB"/>
              </w:rPr>
            </w:pPr>
            <w:r w:rsidRPr="00D948C1">
              <w:rPr>
                <w:rFonts w:cs="Arial"/>
                <w:szCs w:val="24"/>
                <w:lang w:eastAsia="en-GB"/>
              </w:rPr>
              <w:t>Disposals</w:t>
            </w:r>
            <w:r w:rsidR="007022F7">
              <w:rPr>
                <w:rFonts w:cs="Arial"/>
                <w:szCs w:val="24"/>
                <w:lang w:eastAsia="en-GB"/>
              </w:rPr>
              <w:t xml:space="preserve"> and d</w:t>
            </w:r>
            <w:r>
              <w:rPr>
                <w:rFonts w:cs="Arial"/>
                <w:szCs w:val="24"/>
                <w:lang w:eastAsia="en-GB"/>
              </w:rPr>
              <w:t>e-recognitions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601434E7" w14:textId="21B7A16E"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023E7337" w14:textId="7476EDF3"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36BC92C6" w14:textId="6330771E" w:rsidR="00A27CD8" w:rsidRPr="00BD2C0D"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30D6AAAC" w14:textId="7599A964" w:rsidR="00A27CD8" w:rsidRPr="00965B02" w:rsidRDefault="00A27CD8" w:rsidP="00A27CD8">
            <w:pPr>
              <w:jc w:val="right"/>
              <w:rPr>
                <w:rFonts w:cs="Arial"/>
                <w:szCs w:val="24"/>
                <w:lang w:eastAsia="en-GB"/>
              </w:rPr>
            </w:pPr>
            <w:r w:rsidRPr="00BD2C0D">
              <w:rPr>
                <w:rFonts w:cs="Arial"/>
                <w:szCs w:val="24"/>
                <w:lang w:eastAsia="en-GB"/>
              </w:rPr>
              <w:t>1,534</w:t>
            </w:r>
          </w:p>
        </w:tc>
        <w:tc>
          <w:tcPr>
            <w:tcW w:w="1563" w:type="dxa"/>
            <w:tcBorders>
              <w:top w:val="single" w:sz="4" w:space="0" w:color="auto"/>
              <w:left w:val="single" w:sz="4" w:space="0" w:color="auto"/>
              <w:bottom w:val="single" w:sz="4" w:space="0" w:color="auto"/>
              <w:right w:val="single" w:sz="4" w:space="0" w:color="auto"/>
            </w:tcBorders>
            <w:noWrap/>
            <w:vAlign w:val="center"/>
          </w:tcPr>
          <w:p w14:paraId="365E49FA" w14:textId="76897954" w:rsidR="00A27CD8" w:rsidRPr="00965B02" w:rsidRDefault="00A27CD8" w:rsidP="00A27CD8">
            <w:pPr>
              <w:jc w:val="right"/>
              <w:rPr>
                <w:rFonts w:cs="Arial"/>
                <w:szCs w:val="24"/>
                <w:lang w:eastAsia="en-GB"/>
              </w:rPr>
            </w:pPr>
            <w:r w:rsidRPr="00BD2C0D">
              <w:rPr>
                <w:rFonts w:cs="Arial"/>
                <w:szCs w:val="24"/>
                <w:lang w:eastAsia="en-GB"/>
              </w:rPr>
              <w:t>1,534</w:t>
            </w:r>
          </w:p>
        </w:tc>
      </w:tr>
      <w:tr w:rsidR="00A27CD8" w:rsidRPr="00D948C1" w14:paraId="3381C2B3"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338210E0" w14:textId="187572BA" w:rsidR="00A27CD8" w:rsidRPr="00D948C1" w:rsidRDefault="00A27CD8" w:rsidP="00A27CD8">
            <w:pPr>
              <w:ind w:left="175"/>
              <w:rPr>
                <w:rFonts w:cs="Arial"/>
                <w:szCs w:val="24"/>
                <w:lang w:eastAsia="en-GB"/>
              </w:rPr>
            </w:pPr>
            <w:r w:rsidRPr="00D948C1">
              <w:rPr>
                <w:rFonts w:cs="Arial"/>
                <w:szCs w:val="24"/>
                <w:lang w:eastAsia="en-GB"/>
              </w:rPr>
              <w:t>Revaluations</w:t>
            </w:r>
          </w:p>
        </w:tc>
        <w:tc>
          <w:tcPr>
            <w:tcW w:w="1565" w:type="dxa"/>
            <w:tcBorders>
              <w:top w:val="single" w:sz="4" w:space="0" w:color="auto"/>
              <w:left w:val="single" w:sz="4" w:space="0" w:color="auto"/>
              <w:bottom w:val="single" w:sz="4" w:space="0" w:color="auto"/>
              <w:right w:val="single" w:sz="4" w:space="0" w:color="auto"/>
            </w:tcBorders>
            <w:noWrap/>
            <w:vAlign w:val="center"/>
          </w:tcPr>
          <w:p w14:paraId="1FCE29C2" w14:textId="77999489" w:rsidR="00A27CD8" w:rsidRPr="00965B02" w:rsidRDefault="00A27CD8" w:rsidP="00A27CD8">
            <w:pPr>
              <w:jc w:val="right"/>
              <w:rPr>
                <w:rFonts w:cs="Arial"/>
                <w:szCs w:val="24"/>
                <w:lang w:eastAsia="en-GB"/>
              </w:rPr>
            </w:pPr>
            <w:r w:rsidRPr="00BD2C0D">
              <w:rPr>
                <w:rFonts w:cs="Arial"/>
                <w:szCs w:val="24"/>
              </w:rPr>
              <w:t>3,400</w:t>
            </w:r>
          </w:p>
        </w:tc>
        <w:tc>
          <w:tcPr>
            <w:tcW w:w="1565" w:type="dxa"/>
            <w:tcBorders>
              <w:top w:val="single" w:sz="4" w:space="0" w:color="auto"/>
              <w:left w:val="single" w:sz="4" w:space="0" w:color="auto"/>
              <w:bottom w:val="single" w:sz="4" w:space="0" w:color="auto"/>
              <w:right w:val="single" w:sz="4" w:space="0" w:color="auto"/>
            </w:tcBorders>
            <w:vAlign w:val="center"/>
          </w:tcPr>
          <w:p w14:paraId="4324BCC9" w14:textId="242139C7" w:rsidR="00A27CD8" w:rsidRPr="00965B02" w:rsidRDefault="00A27CD8" w:rsidP="00A27CD8">
            <w:pPr>
              <w:jc w:val="right"/>
              <w:rPr>
                <w:rFonts w:cs="Arial"/>
                <w:szCs w:val="24"/>
                <w:lang w:eastAsia="en-GB"/>
              </w:rPr>
            </w:pPr>
            <w:r w:rsidRPr="00BD2C0D">
              <w:rPr>
                <w:rFonts w:cs="Arial"/>
                <w:szCs w:val="24"/>
              </w:rPr>
              <w:t>1,068</w:t>
            </w:r>
          </w:p>
        </w:tc>
        <w:tc>
          <w:tcPr>
            <w:tcW w:w="1565" w:type="dxa"/>
            <w:tcBorders>
              <w:top w:val="single" w:sz="4" w:space="0" w:color="auto"/>
              <w:bottom w:val="single" w:sz="4" w:space="0" w:color="auto"/>
            </w:tcBorders>
            <w:vAlign w:val="center"/>
          </w:tcPr>
          <w:p w14:paraId="4A403115" w14:textId="38DB22D4" w:rsidR="00A27CD8" w:rsidRPr="00BD2C0D" w:rsidRDefault="00A27CD8" w:rsidP="00A27CD8">
            <w:pPr>
              <w:jc w:val="right"/>
              <w:rPr>
                <w:rFonts w:cs="Arial"/>
                <w:szCs w:val="24"/>
              </w:rPr>
            </w:pPr>
            <w:r>
              <w:rPr>
                <w:rFonts w:cs="Arial"/>
                <w:szCs w:val="24"/>
              </w:rPr>
              <w:t>-</w:t>
            </w:r>
          </w:p>
        </w:tc>
        <w:tc>
          <w:tcPr>
            <w:tcW w:w="1565" w:type="dxa"/>
            <w:tcBorders>
              <w:top w:val="single" w:sz="4" w:space="0" w:color="auto"/>
              <w:left w:val="single" w:sz="4" w:space="0" w:color="auto"/>
              <w:bottom w:val="single" w:sz="4" w:space="0" w:color="auto"/>
              <w:right w:val="single" w:sz="4" w:space="0" w:color="auto"/>
            </w:tcBorders>
            <w:vAlign w:val="center"/>
          </w:tcPr>
          <w:p w14:paraId="736B4588" w14:textId="647A55AB" w:rsidR="00A27CD8" w:rsidRPr="00965B02" w:rsidRDefault="00A27CD8" w:rsidP="00A27CD8">
            <w:pPr>
              <w:jc w:val="right"/>
              <w:rPr>
                <w:rFonts w:cs="Arial"/>
                <w:szCs w:val="24"/>
                <w:lang w:eastAsia="en-GB"/>
              </w:rPr>
            </w:pPr>
            <w:r w:rsidRPr="00BD2C0D">
              <w:rPr>
                <w:rFonts w:cs="Arial"/>
                <w:szCs w:val="24"/>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75575C6D" w14:textId="500EA899" w:rsidR="00A27CD8" w:rsidRPr="00965B02" w:rsidRDefault="00A27CD8" w:rsidP="00A27CD8">
            <w:pPr>
              <w:jc w:val="right"/>
              <w:rPr>
                <w:rFonts w:cs="Arial"/>
                <w:szCs w:val="24"/>
                <w:lang w:eastAsia="en-GB"/>
              </w:rPr>
            </w:pPr>
            <w:r w:rsidRPr="00BD2C0D">
              <w:rPr>
                <w:rFonts w:cs="Arial"/>
                <w:szCs w:val="24"/>
              </w:rPr>
              <w:t>4,468</w:t>
            </w:r>
          </w:p>
        </w:tc>
      </w:tr>
      <w:tr w:rsidR="00A27CD8" w:rsidRPr="00D948C1" w14:paraId="39D5CA07"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141725AC" w14:textId="4A6168BA" w:rsidR="00A27CD8" w:rsidRPr="00D948C1" w:rsidRDefault="00A27CD8" w:rsidP="00A27CD8">
            <w:pPr>
              <w:ind w:left="175"/>
              <w:rPr>
                <w:rFonts w:cs="Arial"/>
                <w:szCs w:val="24"/>
                <w:lang w:eastAsia="en-GB"/>
              </w:rPr>
            </w:pPr>
            <w:r w:rsidRPr="00D948C1">
              <w:rPr>
                <w:rFonts w:cs="Arial"/>
                <w:szCs w:val="24"/>
                <w:lang w:eastAsia="en-GB"/>
              </w:rPr>
              <w:t xml:space="preserve">As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tcBorders>
              <w:top w:val="single" w:sz="4" w:space="0" w:color="auto"/>
              <w:left w:val="single" w:sz="4" w:space="0" w:color="auto"/>
              <w:bottom w:val="single" w:sz="4" w:space="0" w:color="auto"/>
              <w:right w:val="single" w:sz="4" w:space="0" w:color="auto"/>
            </w:tcBorders>
            <w:noWrap/>
            <w:vAlign w:val="center"/>
          </w:tcPr>
          <w:p w14:paraId="570CE663" w14:textId="6E413810"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4EF58EE" w14:textId="34F53834"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492E9C02" w14:textId="6712986D" w:rsidR="00A27CD8" w:rsidRPr="00BD2C0D"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0D336AB2" w14:textId="5B23D29B" w:rsidR="00A27CD8" w:rsidRPr="00965B02" w:rsidRDefault="00A27CD8" w:rsidP="00A27CD8">
            <w:pPr>
              <w:jc w:val="right"/>
              <w:rPr>
                <w:rFonts w:cs="Arial"/>
                <w:szCs w:val="24"/>
                <w:lang w:eastAsia="en-GB"/>
              </w:rPr>
            </w:pPr>
            <w:r w:rsidRPr="00BD2C0D">
              <w:rPr>
                <w:rFonts w:cs="Arial"/>
                <w:szCs w:val="24"/>
                <w:lang w:eastAsia="en-GB"/>
              </w:rPr>
              <w:t>(18,025)</w:t>
            </w:r>
          </w:p>
        </w:tc>
        <w:tc>
          <w:tcPr>
            <w:tcW w:w="1563" w:type="dxa"/>
            <w:tcBorders>
              <w:top w:val="single" w:sz="4" w:space="0" w:color="auto"/>
              <w:left w:val="single" w:sz="4" w:space="0" w:color="auto"/>
              <w:bottom w:val="single" w:sz="4" w:space="0" w:color="auto"/>
              <w:right w:val="single" w:sz="4" w:space="0" w:color="auto"/>
            </w:tcBorders>
            <w:noWrap/>
            <w:vAlign w:val="center"/>
          </w:tcPr>
          <w:p w14:paraId="0890E60A" w14:textId="03AE2E31" w:rsidR="00A27CD8" w:rsidRPr="00965B02" w:rsidRDefault="00A27CD8" w:rsidP="00A27CD8">
            <w:pPr>
              <w:jc w:val="right"/>
              <w:rPr>
                <w:rFonts w:cs="Arial"/>
                <w:szCs w:val="24"/>
                <w:lang w:eastAsia="en-GB"/>
              </w:rPr>
            </w:pPr>
            <w:r w:rsidRPr="00BD2C0D">
              <w:rPr>
                <w:rFonts w:cs="Arial"/>
                <w:szCs w:val="24"/>
                <w:lang w:eastAsia="en-GB"/>
              </w:rPr>
              <w:t>(18,025)</w:t>
            </w:r>
          </w:p>
        </w:tc>
      </w:tr>
      <w:tr w:rsidR="00A27CD8" w:rsidRPr="00D948C1" w14:paraId="561B4F27" w14:textId="77777777" w:rsidTr="00F06E9F">
        <w:trPr>
          <w:trHeight w:val="253"/>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6EECC4A5" w14:textId="3A93DD20" w:rsidR="00A27CD8" w:rsidRPr="00D948C1" w:rsidRDefault="00A27CD8" w:rsidP="00A27CD8">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5</w:t>
            </w:r>
          </w:p>
        </w:tc>
        <w:tc>
          <w:tcPr>
            <w:tcW w:w="1565" w:type="dxa"/>
            <w:tcBorders>
              <w:top w:val="single" w:sz="4" w:space="0" w:color="auto"/>
              <w:left w:val="single" w:sz="4" w:space="0" w:color="auto"/>
              <w:bottom w:val="single" w:sz="4" w:space="0" w:color="auto"/>
              <w:right w:val="single" w:sz="4" w:space="0" w:color="auto"/>
            </w:tcBorders>
            <w:noWrap/>
            <w:vAlign w:val="center"/>
          </w:tcPr>
          <w:p w14:paraId="0C40D08D" w14:textId="1BCB2B72" w:rsidR="00A27CD8" w:rsidRPr="00965B02" w:rsidRDefault="00A27CD8" w:rsidP="00A27CD8">
            <w:pPr>
              <w:jc w:val="right"/>
              <w:rPr>
                <w:rFonts w:cs="Arial"/>
                <w:szCs w:val="24"/>
              </w:rPr>
            </w:pPr>
            <w:r w:rsidRPr="00BD2C0D">
              <w:rPr>
                <w:rFonts w:cs="Arial"/>
                <w:szCs w:val="24"/>
                <w:lang w:eastAsia="en-GB"/>
              </w:rPr>
              <w:t>80,6</w:t>
            </w:r>
            <w:r>
              <w:rPr>
                <w:rFonts w:cs="Arial"/>
                <w:szCs w:val="24"/>
                <w:lang w:eastAsia="en-GB"/>
              </w:rPr>
              <w:t>66</w:t>
            </w:r>
          </w:p>
        </w:tc>
        <w:tc>
          <w:tcPr>
            <w:tcW w:w="1565" w:type="dxa"/>
            <w:tcBorders>
              <w:top w:val="single" w:sz="4" w:space="0" w:color="auto"/>
              <w:left w:val="single" w:sz="4" w:space="0" w:color="auto"/>
              <w:bottom w:val="single" w:sz="4" w:space="0" w:color="auto"/>
              <w:right w:val="single" w:sz="4" w:space="0" w:color="auto"/>
            </w:tcBorders>
            <w:vAlign w:val="center"/>
          </w:tcPr>
          <w:p w14:paraId="2D8D6633" w14:textId="49C0274C" w:rsidR="00A27CD8" w:rsidRPr="00965B02" w:rsidRDefault="00A27CD8" w:rsidP="00A27CD8">
            <w:pPr>
              <w:jc w:val="right"/>
              <w:rPr>
                <w:rFonts w:cs="Arial"/>
                <w:szCs w:val="24"/>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1D167655" w14:textId="6B05658A" w:rsidR="00A27CD8" w:rsidRPr="00BD2C0D" w:rsidRDefault="00A27CD8" w:rsidP="00A27CD8">
            <w:pPr>
              <w:jc w:val="right"/>
              <w:rPr>
                <w:rFonts w:cs="Arial"/>
                <w:szCs w:val="24"/>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2496761D" w14:textId="52AF86BB" w:rsidR="00A27CD8" w:rsidRPr="00965B02" w:rsidRDefault="00A27CD8" w:rsidP="00A27CD8">
            <w:pPr>
              <w:jc w:val="right"/>
              <w:rPr>
                <w:rFonts w:cs="Arial"/>
                <w:szCs w:val="24"/>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3" w:type="dxa"/>
            <w:tcBorders>
              <w:top w:val="single" w:sz="4" w:space="0" w:color="auto"/>
              <w:left w:val="single" w:sz="4" w:space="0" w:color="auto"/>
              <w:bottom w:val="single" w:sz="4" w:space="0" w:color="auto"/>
              <w:right w:val="single" w:sz="4" w:space="0" w:color="auto"/>
            </w:tcBorders>
            <w:noWrap/>
            <w:vAlign w:val="center"/>
          </w:tcPr>
          <w:p w14:paraId="3B3E0A3B" w14:textId="083FFB0F" w:rsidR="00A27CD8" w:rsidRPr="00965B02" w:rsidRDefault="00A27CD8" w:rsidP="00A27CD8">
            <w:pPr>
              <w:jc w:val="right"/>
              <w:rPr>
                <w:rFonts w:cs="Arial"/>
                <w:szCs w:val="24"/>
              </w:rPr>
            </w:pPr>
            <w:r w:rsidRPr="00BD2C0D">
              <w:rPr>
                <w:rFonts w:cs="Arial"/>
                <w:szCs w:val="24"/>
                <w:lang w:eastAsia="en-GB"/>
              </w:rPr>
              <w:t>129,576</w:t>
            </w:r>
          </w:p>
        </w:tc>
      </w:tr>
      <w:tr w:rsidR="00A27CD8" w:rsidRPr="00D948C1" w14:paraId="7D52BC2C" w14:textId="77777777" w:rsidTr="00F06E9F">
        <w:trPr>
          <w:trHeight w:val="272"/>
          <w:tblHeader/>
        </w:trPr>
        <w:tc>
          <w:tcPr>
            <w:tcW w:w="5669" w:type="dxa"/>
            <w:tcBorders>
              <w:top w:val="single" w:sz="4" w:space="0" w:color="auto"/>
              <w:left w:val="single" w:sz="4" w:space="0" w:color="auto"/>
              <w:bottom w:val="single" w:sz="4" w:space="0" w:color="auto"/>
              <w:right w:val="single" w:sz="4" w:space="0" w:color="auto"/>
            </w:tcBorders>
            <w:noWrap/>
            <w:vAlign w:val="bottom"/>
          </w:tcPr>
          <w:p w14:paraId="22107452" w14:textId="23B36BA9" w:rsidR="00A27CD8" w:rsidRPr="00D948C1" w:rsidRDefault="00A27CD8" w:rsidP="00A27CD8">
            <w:pPr>
              <w:ind w:left="175"/>
              <w:rPr>
                <w:rFonts w:cs="Arial"/>
                <w:szCs w:val="24"/>
                <w:lang w:eastAsia="en-GB"/>
              </w:rPr>
            </w:pPr>
            <w:r w:rsidRPr="00D948C1">
              <w:rPr>
                <w:rFonts w:cs="Arial"/>
                <w:szCs w:val="24"/>
                <w:lang w:eastAsia="en-GB"/>
              </w:rPr>
              <w:t xml:space="preserve">Balance sheet </w:t>
            </w:r>
            <w:proofErr w:type="gramStart"/>
            <w:r w:rsidRPr="00D948C1">
              <w:rPr>
                <w:rFonts w:cs="Arial"/>
                <w:szCs w:val="24"/>
                <w:lang w:eastAsia="en-GB"/>
              </w:rPr>
              <w:t>at</w:t>
            </w:r>
            <w:proofErr w:type="gramEnd"/>
            <w:r w:rsidRPr="00D948C1">
              <w:rPr>
                <w:rFonts w:cs="Arial"/>
                <w:szCs w:val="24"/>
                <w:lang w:eastAsia="en-GB"/>
              </w:rPr>
              <w:t xml:space="preserve"> 31 March 202</w:t>
            </w:r>
            <w:r>
              <w:rPr>
                <w:rFonts w:cs="Arial"/>
                <w:szCs w:val="24"/>
                <w:lang w:eastAsia="en-GB"/>
              </w:rPr>
              <w:t>4</w:t>
            </w:r>
          </w:p>
        </w:tc>
        <w:tc>
          <w:tcPr>
            <w:tcW w:w="1565" w:type="dxa"/>
            <w:tcBorders>
              <w:top w:val="single" w:sz="4" w:space="0" w:color="auto"/>
              <w:left w:val="single" w:sz="4" w:space="0" w:color="auto"/>
              <w:bottom w:val="single" w:sz="4" w:space="0" w:color="auto"/>
              <w:right w:val="single" w:sz="4" w:space="0" w:color="auto"/>
            </w:tcBorders>
            <w:noWrap/>
            <w:vAlign w:val="center"/>
          </w:tcPr>
          <w:p w14:paraId="6C4B31BF" w14:textId="70364861" w:rsidR="00A27CD8" w:rsidRPr="00965B02" w:rsidRDefault="00A27CD8" w:rsidP="00A27CD8">
            <w:pPr>
              <w:jc w:val="right"/>
              <w:rPr>
                <w:rFonts w:cs="Arial"/>
                <w:szCs w:val="24"/>
              </w:rPr>
            </w:pPr>
            <w:r w:rsidRPr="00BD2C0D">
              <w:rPr>
                <w:rFonts w:cs="Arial"/>
                <w:szCs w:val="24"/>
                <w:lang w:eastAsia="en-GB"/>
              </w:rPr>
              <w:t>79,242</w:t>
            </w:r>
          </w:p>
        </w:tc>
        <w:tc>
          <w:tcPr>
            <w:tcW w:w="1565" w:type="dxa"/>
            <w:tcBorders>
              <w:top w:val="single" w:sz="4" w:space="0" w:color="auto"/>
              <w:left w:val="single" w:sz="4" w:space="0" w:color="auto"/>
              <w:bottom w:val="single" w:sz="4" w:space="0" w:color="auto"/>
              <w:right w:val="single" w:sz="4" w:space="0" w:color="auto"/>
            </w:tcBorders>
            <w:vAlign w:val="center"/>
          </w:tcPr>
          <w:p w14:paraId="1BC062ED" w14:textId="6DD6C96B" w:rsidR="00A27CD8" w:rsidRPr="00965B02" w:rsidRDefault="00A27CD8" w:rsidP="00A27CD8">
            <w:pPr>
              <w:jc w:val="right"/>
              <w:rPr>
                <w:rFonts w:cs="Arial"/>
                <w:szCs w:val="24"/>
              </w:rPr>
            </w:pPr>
            <w:r w:rsidRPr="00BD2C0D">
              <w:rPr>
                <w:rFonts w:cs="Arial"/>
                <w:szCs w:val="24"/>
                <w:lang w:eastAsia="en-GB"/>
              </w:rPr>
              <w:t>36,270</w:t>
            </w:r>
          </w:p>
        </w:tc>
        <w:tc>
          <w:tcPr>
            <w:tcW w:w="1565" w:type="dxa"/>
            <w:tcBorders>
              <w:top w:val="single" w:sz="4" w:space="0" w:color="auto"/>
              <w:bottom w:val="single" w:sz="4" w:space="0" w:color="auto"/>
            </w:tcBorders>
            <w:vAlign w:val="center"/>
          </w:tcPr>
          <w:p w14:paraId="62F83CFF" w14:textId="0693F359" w:rsidR="00A27CD8" w:rsidRPr="00BD2C0D" w:rsidRDefault="00A27CD8" w:rsidP="00A27CD8">
            <w:pPr>
              <w:jc w:val="right"/>
              <w:rPr>
                <w:rFonts w:cs="Arial"/>
                <w:szCs w:val="24"/>
              </w:rPr>
            </w:pPr>
            <w:r>
              <w:rPr>
                <w:rFonts w:cs="Arial"/>
                <w:szCs w:val="24"/>
                <w:lang w:eastAsia="en-GB"/>
              </w:rPr>
              <w:t>1,274</w:t>
            </w:r>
          </w:p>
        </w:tc>
        <w:tc>
          <w:tcPr>
            <w:tcW w:w="1565" w:type="dxa"/>
            <w:tcBorders>
              <w:top w:val="single" w:sz="4" w:space="0" w:color="auto"/>
              <w:left w:val="single" w:sz="4" w:space="0" w:color="auto"/>
              <w:bottom w:val="single" w:sz="4" w:space="0" w:color="auto"/>
              <w:right w:val="single" w:sz="4" w:space="0" w:color="auto"/>
            </w:tcBorders>
            <w:vAlign w:val="center"/>
          </w:tcPr>
          <w:p w14:paraId="3E9FDF5C" w14:textId="0422F462" w:rsidR="00A27CD8" w:rsidRPr="00965B02" w:rsidRDefault="00A27CD8" w:rsidP="00A27CD8">
            <w:pPr>
              <w:jc w:val="right"/>
              <w:rPr>
                <w:rFonts w:cs="Arial"/>
                <w:szCs w:val="24"/>
              </w:rPr>
            </w:pPr>
            <w:r w:rsidRPr="00BD2C0D">
              <w:rPr>
                <w:rFonts w:cs="Arial"/>
                <w:szCs w:val="24"/>
                <w:lang w:eastAsia="en-GB"/>
              </w:rPr>
              <w:t>1</w:t>
            </w:r>
            <w:r>
              <w:rPr>
                <w:rFonts w:cs="Arial"/>
                <w:szCs w:val="24"/>
                <w:lang w:eastAsia="en-GB"/>
              </w:rPr>
              <w:t>0</w:t>
            </w:r>
            <w:r w:rsidRPr="00BD2C0D">
              <w:rPr>
                <w:rFonts w:cs="Arial"/>
                <w:szCs w:val="24"/>
                <w:lang w:eastAsia="en-GB"/>
              </w:rPr>
              <w:t>,</w:t>
            </w:r>
            <w:r>
              <w:rPr>
                <w:rFonts w:cs="Arial"/>
                <w:szCs w:val="24"/>
                <w:lang w:eastAsia="en-GB"/>
              </w:rPr>
              <w:t>562</w:t>
            </w:r>
          </w:p>
        </w:tc>
        <w:tc>
          <w:tcPr>
            <w:tcW w:w="1563" w:type="dxa"/>
            <w:tcBorders>
              <w:top w:val="single" w:sz="4" w:space="0" w:color="auto"/>
              <w:left w:val="single" w:sz="4" w:space="0" w:color="auto"/>
              <w:bottom w:val="single" w:sz="4" w:space="0" w:color="auto"/>
              <w:right w:val="single" w:sz="4" w:space="0" w:color="auto"/>
            </w:tcBorders>
            <w:noWrap/>
            <w:vAlign w:val="center"/>
          </w:tcPr>
          <w:p w14:paraId="1648AE48" w14:textId="1C283483" w:rsidR="00A27CD8" w:rsidRPr="00965B02" w:rsidRDefault="00A27CD8" w:rsidP="00A27CD8">
            <w:pPr>
              <w:jc w:val="right"/>
              <w:rPr>
                <w:rFonts w:cs="Arial"/>
                <w:szCs w:val="24"/>
              </w:rPr>
            </w:pPr>
            <w:r w:rsidRPr="00BD2C0D">
              <w:rPr>
                <w:rFonts w:cs="Arial"/>
                <w:szCs w:val="24"/>
                <w:lang w:eastAsia="en-GB"/>
              </w:rPr>
              <w:t>127,349</w:t>
            </w:r>
          </w:p>
        </w:tc>
      </w:tr>
    </w:tbl>
    <w:p w14:paraId="3A6FCCCE" w14:textId="34321E7B" w:rsidR="00C503A2" w:rsidRDefault="00C503A2"/>
    <w:p w14:paraId="01C816A0" w14:textId="77777777" w:rsidR="00C503A2" w:rsidRDefault="00C503A2">
      <w:r>
        <w:br w:type="page"/>
      </w:r>
    </w:p>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B879C7" w:rsidRPr="00D948C1" w14:paraId="2A169FF5" w14:textId="77777777" w:rsidTr="00A47861">
        <w:trPr>
          <w:trHeight w:val="253"/>
        </w:trPr>
        <w:tc>
          <w:tcPr>
            <w:tcW w:w="5669" w:type="dxa"/>
            <w:tcBorders>
              <w:top w:val="single" w:sz="4" w:space="0" w:color="auto"/>
              <w:left w:val="single" w:sz="4" w:space="0" w:color="auto"/>
              <w:bottom w:val="single" w:sz="4" w:space="0" w:color="auto"/>
              <w:right w:val="single" w:sz="4" w:space="0" w:color="auto"/>
            </w:tcBorders>
            <w:shd w:val="clear" w:color="auto" w:fill="BD2716"/>
            <w:noWrap/>
            <w:vAlign w:val="bottom"/>
          </w:tcPr>
          <w:p w14:paraId="20AE13E5" w14:textId="77777777" w:rsidR="00B879C7" w:rsidRPr="00D948C1" w:rsidRDefault="00B879C7" w:rsidP="00C503A2">
            <w:pPr>
              <w:rPr>
                <w:rFonts w:cs="Arial"/>
                <w:b/>
                <w:bCs/>
                <w:szCs w:val="24"/>
                <w:lang w:eastAsia="en-GB"/>
              </w:rPr>
            </w:pP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010FAAB5"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Other Land &amp; Buildings</w:t>
            </w:r>
          </w:p>
          <w:p w14:paraId="513E02BF" w14:textId="51148665"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1B74A3B7"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PFI Assets – land &amp; buildings</w:t>
            </w:r>
          </w:p>
          <w:p w14:paraId="52FC28F6" w14:textId="64B96C4F"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5" w:type="dxa"/>
            <w:tcBorders>
              <w:bottom w:val="single" w:sz="4" w:space="0" w:color="auto"/>
            </w:tcBorders>
            <w:shd w:val="clear" w:color="auto" w:fill="BD2716"/>
            <w:vAlign w:val="center"/>
          </w:tcPr>
          <w:p w14:paraId="627430E7" w14:textId="30C82418" w:rsidR="00B879C7" w:rsidRPr="00D948C1" w:rsidRDefault="00A47861" w:rsidP="00A47861">
            <w:pPr>
              <w:jc w:val="right"/>
              <w:rPr>
                <w:rFonts w:cs="Arial"/>
                <w:color w:val="FFFFFF" w:themeColor="background1"/>
                <w:szCs w:val="24"/>
                <w:lang w:eastAsia="en-GB"/>
              </w:rPr>
            </w:pPr>
            <w:r>
              <w:rPr>
                <w:rFonts w:cs="Arial"/>
                <w:color w:val="FFFFFF" w:themeColor="background1"/>
                <w:szCs w:val="24"/>
                <w:lang w:eastAsia="en-GB"/>
              </w:rPr>
              <w:t>Assets Under Construction £000</w:t>
            </w:r>
          </w:p>
        </w:tc>
        <w:tc>
          <w:tcPr>
            <w:tcW w:w="1565" w:type="dxa"/>
            <w:tcBorders>
              <w:top w:val="single" w:sz="4" w:space="0" w:color="auto"/>
              <w:left w:val="single" w:sz="4" w:space="0" w:color="auto"/>
              <w:bottom w:val="single" w:sz="4" w:space="0" w:color="auto"/>
              <w:right w:val="single" w:sz="4" w:space="0" w:color="auto"/>
            </w:tcBorders>
            <w:shd w:val="clear" w:color="auto" w:fill="BD2716"/>
            <w:vAlign w:val="center"/>
          </w:tcPr>
          <w:p w14:paraId="387D01D2" w14:textId="2D0CE32E"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Vehicles, Plant &amp; Equipment</w:t>
            </w:r>
          </w:p>
          <w:p w14:paraId="2EBC3B76" w14:textId="2EBB9714"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c>
          <w:tcPr>
            <w:tcW w:w="1563" w:type="dxa"/>
            <w:tcBorders>
              <w:top w:val="single" w:sz="4" w:space="0" w:color="auto"/>
              <w:left w:val="single" w:sz="4" w:space="0" w:color="auto"/>
              <w:bottom w:val="single" w:sz="4" w:space="0" w:color="auto"/>
              <w:right w:val="single" w:sz="4" w:space="0" w:color="auto"/>
            </w:tcBorders>
            <w:shd w:val="clear" w:color="auto" w:fill="BD2716"/>
            <w:vAlign w:val="center"/>
          </w:tcPr>
          <w:p w14:paraId="6D9FA02C" w14:textId="77777777" w:rsidR="00B879C7" w:rsidRPr="00D948C1" w:rsidRDefault="00B879C7" w:rsidP="00A47861">
            <w:pPr>
              <w:jc w:val="right"/>
              <w:rPr>
                <w:rFonts w:cs="Arial"/>
                <w:color w:val="FFFFFF" w:themeColor="background1"/>
                <w:szCs w:val="24"/>
                <w:lang w:eastAsia="en-GB"/>
              </w:rPr>
            </w:pPr>
            <w:r w:rsidRPr="00D948C1">
              <w:rPr>
                <w:rFonts w:cs="Arial"/>
                <w:color w:val="FFFFFF" w:themeColor="background1"/>
                <w:szCs w:val="24"/>
                <w:lang w:eastAsia="en-GB"/>
              </w:rPr>
              <w:t>Total Property, Plant &amp; Equipment</w:t>
            </w:r>
          </w:p>
          <w:p w14:paraId="0641EC65" w14:textId="1FD0A3E2" w:rsidR="00B879C7" w:rsidRPr="00D948C1" w:rsidRDefault="00B879C7" w:rsidP="00A47861">
            <w:pPr>
              <w:jc w:val="right"/>
              <w:rPr>
                <w:rFonts w:cs="Arial"/>
                <w:szCs w:val="24"/>
                <w:lang w:eastAsia="en-GB"/>
              </w:rPr>
            </w:pPr>
            <w:r w:rsidRPr="00D948C1">
              <w:rPr>
                <w:rFonts w:cs="Arial"/>
                <w:color w:val="FFFFFF" w:themeColor="background1"/>
                <w:szCs w:val="24"/>
                <w:lang w:eastAsia="en-GB"/>
              </w:rPr>
              <w:t>£000</w:t>
            </w:r>
          </w:p>
        </w:tc>
      </w:tr>
      <w:tr w:rsidR="00A47861" w:rsidRPr="00D948C1" w14:paraId="45CE38FC" w14:textId="77777777" w:rsidTr="007973DA">
        <w:trPr>
          <w:trHeight w:val="253"/>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1D86602" w14:textId="0E4F2E4A" w:rsidR="00A47861" w:rsidRPr="00D948C1" w:rsidRDefault="00A47861" w:rsidP="00C503A2">
            <w:pPr>
              <w:rPr>
                <w:rFonts w:cs="Arial"/>
                <w:szCs w:val="24"/>
                <w:lang w:eastAsia="en-GB"/>
              </w:rPr>
            </w:pPr>
            <w:r w:rsidRPr="00D948C1">
              <w:rPr>
                <w:rFonts w:cs="Arial"/>
                <w:b/>
                <w:bCs/>
                <w:szCs w:val="24"/>
                <w:lang w:eastAsia="en-GB"/>
              </w:rPr>
              <w:t>Nature of asset holding</w:t>
            </w:r>
          </w:p>
        </w:tc>
      </w:tr>
      <w:tr w:rsidR="00A27CD8" w:rsidRPr="00D948C1" w14:paraId="40C94385" w14:textId="77777777" w:rsidTr="003B6720">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136D08B8" w14:textId="7F704704" w:rsidR="00A27CD8" w:rsidRPr="00965B02" w:rsidRDefault="00A27CD8" w:rsidP="00A27CD8">
            <w:pPr>
              <w:ind w:left="175"/>
              <w:rPr>
                <w:rFonts w:cs="Arial"/>
                <w:szCs w:val="24"/>
                <w:lang w:eastAsia="en-GB"/>
              </w:rPr>
            </w:pPr>
            <w:r w:rsidRPr="00543C89">
              <w:rPr>
                <w:rFonts w:cs="Arial"/>
                <w:szCs w:val="24"/>
                <w:lang w:eastAsia="en-GB"/>
              </w:rPr>
              <w:t>Owned</w:t>
            </w:r>
          </w:p>
        </w:tc>
        <w:tc>
          <w:tcPr>
            <w:tcW w:w="1565" w:type="dxa"/>
            <w:tcBorders>
              <w:top w:val="single" w:sz="4" w:space="0" w:color="auto"/>
              <w:left w:val="single" w:sz="4" w:space="0" w:color="auto"/>
              <w:bottom w:val="single" w:sz="4" w:space="0" w:color="auto"/>
              <w:right w:val="single" w:sz="4" w:space="0" w:color="auto"/>
            </w:tcBorders>
            <w:noWrap/>
            <w:vAlign w:val="center"/>
          </w:tcPr>
          <w:p w14:paraId="58F44745" w14:textId="61B84342" w:rsidR="00A27CD8" w:rsidRPr="00965B02" w:rsidRDefault="00A27CD8" w:rsidP="00A27CD8">
            <w:pPr>
              <w:jc w:val="right"/>
              <w:rPr>
                <w:rFonts w:cs="Arial"/>
                <w:szCs w:val="24"/>
              </w:rPr>
            </w:pPr>
            <w:r w:rsidRPr="00BD2C0D">
              <w:rPr>
                <w:rFonts w:cs="Arial"/>
                <w:szCs w:val="24"/>
                <w:lang w:eastAsia="en-GB"/>
              </w:rPr>
              <w:t>80,</w:t>
            </w:r>
            <w:r>
              <w:rPr>
                <w:rFonts w:cs="Arial"/>
                <w:szCs w:val="24"/>
                <w:lang w:eastAsia="en-GB"/>
              </w:rPr>
              <w:t>576</w:t>
            </w:r>
          </w:p>
        </w:tc>
        <w:tc>
          <w:tcPr>
            <w:tcW w:w="1565" w:type="dxa"/>
            <w:tcBorders>
              <w:top w:val="single" w:sz="4" w:space="0" w:color="auto"/>
              <w:left w:val="single" w:sz="4" w:space="0" w:color="auto"/>
              <w:bottom w:val="single" w:sz="4" w:space="0" w:color="auto"/>
              <w:right w:val="single" w:sz="4" w:space="0" w:color="auto"/>
            </w:tcBorders>
            <w:vAlign w:val="center"/>
          </w:tcPr>
          <w:p w14:paraId="2E5F0666" w14:textId="143B751B" w:rsidR="00A27CD8" w:rsidRPr="00965B02" w:rsidRDefault="00A27CD8" w:rsidP="00A27CD8">
            <w:pPr>
              <w:jc w:val="right"/>
              <w:rPr>
                <w:rFonts w:cs="Arial"/>
                <w:szCs w:val="24"/>
              </w:rPr>
            </w:pPr>
            <w:r w:rsidRPr="00BD2C0D">
              <w:rPr>
                <w:rFonts w:cs="Arial"/>
                <w:szCs w:val="24"/>
                <w:lang w:eastAsia="en-GB"/>
              </w:rPr>
              <w:t>-</w:t>
            </w:r>
          </w:p>
        </w:tc>
        <w:tc>
          <w:tcPr>
            <w:tcW w:w="1565" w:type="dxa"/>
            <w:tcBorders>
              <w:top w:val="single" w:sz="4" w:space="0" w:color="auto"/>
              <w:bottom w:val="single" w:sz="4" w:space="0" w:color="auto"/>
            </w:tcBorders>
            <w:vAlign w:val="center"/>
          </w:tcPr>
          <w:p w14:paraId="4162C1A7" w14:textId="0334988D" w:rsidR="00A27CD8" w:rsidRPr="00965B02" w:rsidRDefault="00A27CD8" w:rsidP="00A27CD8">
            <w:pPr>
              <w:jc w:val="right"/>
              <w:rPr>
                <w:rFonts w:cs="Arial"/>
                <w:szCs w:val="24"/>
                <w:lang w:eastAsia="en-GB"/>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0E8532DA" w14:textId="3EB76652" w:rsidR="00A27CD8" w:rsidRPr="00965B02" w:rsidRDefault="00A27CD8" w:rsidP="00A27CD8">
            <w:pPr>
              <w:jc w:val="right"/>
              <w:rPr>
                <w:rFonts w:cs="Arial"/>
                <w:szCs w:val="24"/>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3" w:type="dxa"/>
            <w:tcBorders>
              <w:top w:val="single" w:sz="4" w:space="0" w:color="auto"/>
              <w:left w:val="single" w:sz="4" w:space="0" w:color="auto"/>
              <w:bottom w:val="single" w:sz="4" w:space="0" w:color="auto"/>
              <w:right w:val="single" w:sz="4" w:space="0" w:color="auto"/>
            </w:tcBorders>
            <w:noWrap/>
            <w:vAlign w:val="center"/>
          </w:tcPr>
          <w:p w14:paraId="26FC86BA" w14:textId="6AE5B4C1" w:rsidR="00A27CD8" w:rsidRPr="00965B02" w:rsidRDefault="00A27CD8" w:rsidP="00A27CD8">
            <w:pPr>
              <w:jc w:val="right"/>
              <w:rPr>
                <w:rFonts w:cs="Arial"/>
                <w:szCs w:val="24"/>
              </w:rPr>
            </w:pPr>
            <w:r w:rsidRPr="00BD2C0D">
              <w:rPr>
                <w:rFonts w:cs="Arial"/>
                <w:szCs w:val="24"/>
                <w:lang w:eastAsia="en-GB"/>
              </w:rPr>
              <w:t>93,7</w:t>
            </w:r>
            <w:r>
              <w:rPr>
                <w:rFonts w:cs="Arial"/>
                <w:szCs w:val="24"/>
                <w:lang w:eastAsia="en-GB"/>
              </w:rPr>
              <w:t>55</w:t>
            </w:r>
          </w:p>
        </w:tc>
      </w:tr>
      <w:tr w:rsidR="00A27CD8" w:rsidRPr="00D948C1" w14:paraId="3D3CE784" w14:textId="77777777" w:rsidTr="003B6720">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043016C4" w14:textId="022FAA09" w:rsidR="00A27CD8" w:rsidRPr="00965B02" w:rsidRDefault="00A27CD8" w:rsidP="00A27CD8">
            <w:pPr>
              <w:ind w:left="175"/>
              <w:rPr>
                <w:rFonts w:cs="Arial"/>
                <w:szCs w:val="24"/>
                <w:lang w:eastAsia="en-GB"/>
              </w:rPr>
            </w:pPr>
            <w:r w:rsidRPr="00543C89">
              <w:rPr>
                <w:rFonts w:cs="Arial"/>
                <w:szCs w:val="24"/>
                <w:lang w:eastAsia="en-GB"/>
              </w:rPr>
              <w:t>Finance lease</w:t>
            </w:r>
          </w:p>
        </w:tc>
        <w:tc>
          <w:tcPr>
            <w:tcW w:w="1565" w:type="dxa"/>
            <w:tcBorders>
              <w:top w:val="single" w:sz="4" w:space="0" w:color="auto"/>
              <w:left w:val="single" w:sz="4" w:space="0" w:color="auto"/>
              <w:bottom w:val="single" w:sz="4" w:space="0" w:color="auto"/>
              <w:right w:val="single" w:sz="4" w:space="0" w:color="auto"/>
            </w:tcBorders>
            <w:noWrap/>
            <w:vAlign w:val="center"/>
          </w:tcPr>
          <w:p w14:paraId="43E621B0" w14:textId="44DA5177" w:rsidR="00A27CD8" w:rsidRPr="00965B02" w:rsidRDefault="00A27CD8" w:rsidP="00A27CD8">
            <w:pPr>
              <w:jc w:val="right"/>
              <w:rPr>
                <w:rFonts w:cs="Arial"/>
                <w:szCs w:val="24"/>
              </w:rPr>
            </w:pPr>
            <w:r w:rsidRPr="00BD2C0D">
              <w:rPr>
                <w:rFonts w:cs="Arial"/>
                <w:szCs w:val="24"/>
                <w:lang w:eastAsia="en-GB"/>
              </w:rPr>
              <w:t>90</w:t>
            </w:r>
          </w:p>
        </w:tc>
        <w:tc>
          <w:tcPr>
            <w:tcW w:w="1565" w:type="dxa"/>
            <w:tcBorders>
              <w:top w:val="single" w:sz="4" w:space="0" w:color="auto"/>
              <w:left w:val="single" w:sz="4" w:space="0" w:color="auto"/>
              <w:bottom w:val="single" w:sz="4" w:space="0" w:color="auto"/>
              <w:right w:val="single" w:sz="4" w:space="0" w:color="auto"/>
            </w:tcBorders>
            <w:vAlign w:val="center"/>
          </w:tcPr>
          <w:p w14:paraId="6EA73786" w14:textId="2D60477E" w:rsidR="00A27CD8" w:rsidRPr="00965B02" w:rsidRDefault="00A27CD8" w:rsidP="00A27CD8">
            <w:pPr>
              <w:jc w:val="right"/>
              <w:rPr>
                <w:rFonts w:cs="Arial"/>
                <w:szCs w:val="24"/>
              </w:rPr>
            </w:pPr>
            <w:r w:rsidRPr="00BD2C0D">
              <w:rPr>
                <w:rFonts w:cs="Arial"/>
                <w:szCs w:val="24"/>
                <w:lang w:eastAsia="en-GB"/>
              </w:rPr>
              <w:t>-</w:t>
            </w:r>
          </w:p>
        </w:tc>
        <w:tc>
          <w:tcPr>
            <w:tcW w:w="1565" w:type="dxa"/>
            <w:tcBorders>
              <w:top w:val="single" w:sz="4" w:space="0" w:color="auto"/>
              <w:bottom w:val="single" w:sz="4" w:space="0" w:color="auto"/>
            </w:tcBorders>
            <w:vAlign w:val="center"/>
          </w:tcPr>
          <w:p w14:paraId="02D3EAD4" w14:textId="558D7374" w:rsidR="00A27CD8" w:rsidRPr="00965B02" w:rsidRDefault="00A27CD8" w:rsidP="00A27CD8">
            <w:pPr>
              <w:jc w:val="right"/>
              <w:rPr>
                <w:rFonts w:cs="Arial"/>
                <w:szCs w:val="24"/>
                <w:lang w:eastAsia="en-GB"/>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00A00AC" w14:textId="59CC1E82" w:rsidR="00A27CD8" w:rsidRPr="00965B02" w:rsidRDefault="00A27CD8" w:rsidP="00A27CD8">
            <w:pPr>
              <w:jc w:val="right"/>
              <w:rPr>
                <w:rFonts w:cs="Arial"/>
                <w:szCs w:val="24"/>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3AC89D07" w14:textId="5A1A72B9" w:rsidR="00A27CD8" w:rsidRPr="00965B02" w:rsidRDefault="00A27CD8" w:rsidP="00A27CD8">
            <w:pPr>
              <w:jc w:val="right"/>
              <w:rPr>
                <w:rFonts w:cs="Arial"/>
                <w:szCs w:val="24"/>
              </w:rPr>
            </w:pPr>
            <w:r>
              <w:rPr>
                <w:rFonts w:cs="Arial"/>
                <w:szCs w:val="24"/>
                <w:lang w:eastAsia="en-GB"/>
              </w:rPr>
              <w:t>90</w:t>
            </w:r>
          </w:p>
        </w:tc>
      </w:tr>
      <w:tr w:rsidR="00A27CD8" w:rsidRPr="00D948C1" w14:paraId="23AD389A" w14:textId="77777777" w:rsidTr="003B6720">
        <w:trPr>
          <w:trHeight w:val="253"/>
        </w:trPr>
        <w:tc>
          <w:tcPr>
            <w:tcW w:w="5669" w:type="dxa"/>
            <w:tcBorders>
              <w:top w:val="single" w:sz="4" w:space="0" w:color="auto"/>
              <w:left w:val="single" w:sz="4" w:space="0" w:color="auto"/>
              <w:bottom w:val="single" w:sz="4" w:space="0" w:color="auto"/>
              <w:right w:val="single" w:sz="4" w:space="0" w:color="auto"/>
            </w:tcBorders>
            <w:noWrap/>
            <w:vAlign w:val="bottom"/>
          </w:tcPr>
          <w:p w14:paraId="648A81DA" w14:textId="5334F3E4" w:rsidR="00A27CD8" w:rsidRPr="00965B02" w:rsidRDefault="00A27CD8" w:rsidP="00A27CD8">
            <w:pPr>
              <w:ind w:left="175"/>
              <w:rPr>
                <w:rFonts w:cs="Arial"/>
                <w:szCs w:val="24"/>
                <w:lang w:eastAsia="en-GB"/>
              </w:rPr>
            </w:pPr>
            <w:r w:rsidRPr="00543C89">
              <w:rPr>
                <w:rFonts w:cs="Arial"/>
                <w:szCs w:val="24"/>
                <w:lang w:eastAsia="en-GB"/>
              </w:rPr>
              <w:t>PFI</w:t>
            </w:r>
          </w:p>
        </w:tc>
        <w:tc>
          <w:tcPr>
            <w:tcW w:w="1565" w:type="dxa"/>
            <w:tcBorders>
              <w:top w:val="single" w:sz="4" w:space="0" w:color="auto"/>
              <w:left w:val="single" w:sz="4" w:space="0" w:color="auto"/>
              <w:bottom w:val="single" w:sz="4" w:space="0" w:color="auto"/>
              <w:right w:val="single" w:sz="4" w:space="0" w:color="auto"/>
            </w:tcBorders>
            <w:noWrap/>
            <w:vAlign w:val="center"/>
          </w:tcPr>
          <w:p w14:paraId="30A46C4D" w14:textId="2F50EAD8" w:rsidR="00A27CD8" w:rsidRPr="00965B02" w:rsidRDefault="00A27CD8" w:rsidP="00A27CD8">
            <w:pPr>
              <w:jc w:val="right"/>
              <w:rPr>
                <w:rFonts w:cs="Arial"/>
                <w:szCs w:val="24"/>
              </w:rPr>
            </w:pPr>
            <w:r w:rsidRPr="00BD2C0D">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2EDB933A" w14:textId="2A64B745" w:rsidR="00A27CD8" w:rsidRPr="00965B02" w:rsidRDefault="00A27CD8" w:rsidP="00A27CD8">
            <w:pPr>
              <w:jc w:val="right"/>
              <w:rPr>
                <w:rFonts w:cs="Arial"/>
                <w:szCs w:val="24"/>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3FED4935" w14:textId="0D869C03" w:rsidR="00A27CD8" w:rsidRPr="00965B02"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38ABD5F6" w14:textId="48E239E5" w:rsidR="00A27CD8" w:rsidRPr="00965B02" w:rsidRDefault="00A27CD8" w:rsidP="00A27CD8">
            <w:pPr>
              <w:jc w:val="right"/>
              <w:rPr>
                <w:rFonts w:cs="Arial"/>
                <w:szCs w:val="24"/>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333C198E" w14:textId="42519B6D" w:rsidR="00A27CD8" w:rsidRPr="00965B02" w:rsidRDefault="00A27CD8" w:rsidP="00A27CD8">
            <w:pPr>
              <w:jc w:val="right"/>
              <w:rPr>
                <w:rFonts w:cs="Arial"/>
                <w:szCs w:val="24"/>
              </w:rPr>
            </w:pPr>
            <w:r w:rsidRPr="00BD2C0D">
              <w:rPr>
                <w:rFonts w:cs="Arial"/>
                <w:szCs w:val="24"/>
                <w:lang w:eastAsia="en-GB"/>
              </w:rPr>
              <w:t>35,732</w:t>
            </w:r>
          </w:p>
        </w:tc>
      </w:tr>
      <w:tr w:rsidR="00A27CD8" w:rsidRPr="00D948C1" w14:paraId="66371742" w14:textId="77777777" w:rsidTr="003B6720">
        <w:trPr>
          <w:trHeight w:val="171"/>
        </w:trPr>
        <w:tc>
          <w:tcPr>
            <w:tcW w:w="5669" w:type="dxa"/>
            <w:tcBorders>
              <w:top w:val="single" w:sz="4" w:space="0" w:color="auto"/>
              <w:left w:val="single" w:sz="4" w:space="0" w:color="auto"/>
              <w:bottom w:val="single" w:sz="4" w:space="0" w:color="auto"/>
              <w:right w:val="single" w:sz="4" w:space="0" w:color="auto"/>
            </w:tcBorders>
            <w:noWrap/>
            <w:vAlign w:val="bottom"/>
          </w:tcPr>
          <w:p w14:paraId="47612185" w14:textId="41FF4BAB" w:rsidR="00A27CD8" w:rsidRPr="00965B02" w:rsidRDefault="00A27CD8" w:rsidP="00A27CD8">
            <w:pPr>
              <w:ind w:left="175"/>
              <w:rPr>
                <w:rFonts w:cs="Arial"/>
                <w:szCs w:val="24"/>
                <w:lang w:eastAsia="en-GB"/>
              </w:rPr>
            </w:pPr>
            <w:r w:rsidRPr="00543C89">
              <w:rPr>
                <w:rFonts w:cs="Arial"/>
                <w:szCs w:val="24"/>
                <w:lang w:eastAsia="en-GB"/>
              </w:rPr>
              <w:t>Total</w:t>
            </w:r>
          </w:p>
        </w:tc>
        <w:tc>
          <w:tcPr>
            <w:tcW w:w="1565" w:type="dxa"/>
            <w:tcBorders>
              <w:top w:val="single" w:sz="4" w:space="0" w:color="auto"/>
              <w:left w:val="single" w:sz="4" w:space="0" w:color="auto"/>
              <w:bottom w:val="single" w:sz="4" w:space="0" w:color="auto"/>
              <w:right w:val="single" w:sz="4" w:space="0" w:color="auto"/>
            </w:tcBorders>
            <w:noWrap/>
            <w:vAlign w:val="center"/>
          </w:tcPr>
          <w:p w14:paraId="744FC048" w14:textId="6DCD543A" w:rsidR="00A27CD8" w:rsidRPr="00965B02" w:rsidRDefault="00A27CD8" w:rsidP="00A27CD8">
            <w:pPr>
              <w:pStyle w:val="CommentText"/>
              <w:jc w:val="right"/>
              <w:rPr>
                <w:rFonts w:cs="Arial"/>
                <w:sz w:val="24"/>
                <w:szCs w:val="24"/>
                <w:lang w:eastAsia="en-GB"/>
              </w:rPr>
            </w:pPr>
            <w:r w:rsidRPr="00BD2C0D">
              <w:rPr>
                <w:rFonts w:cs="Arial"/>
                <w:sz w:val="24"/>
                <w:szCs w:val="24"/>
                <w:lang w:eastAsia="en-GB"/>
              </w:rPr>
              <w:t>80,6</w:t>
            </w:r>
            <w:r>
              <w:rPr>
                <w:rFonts w:cs="Arial"/>
                <w:sz w:val="24"/>
                <w:szCs w:val="24"/>
                <w:lang w:eastAsia="en-GB"/>
              </w:rPr>
              <w:t>66</w:t>
            </w:r>
          </w:p>
        </w:tc>
        <w:tc>
          <w:tcPr>
            <w:tcW w:w="1565" w:type="dxa"/>
            <w:tcBorders>
              <w:top w:val="single" w:sz="4" w:space="0" w:color="auto"/>
              <w:left w:val="single" w:sz="4" w:space="0" w:color="auto"/>
              <w:bottom w:val="single" w:sz="4" w:space="0" w:color="auto"/>
              <w:right w:val="single" w:sz="4" w:space="0" w:color="auto"/>
            </w:tcBorders>
            <w:vAlign w:val="center"/>
          </w:tcPr>
          <w:p w14:paraId="3290899C" w14:textId="232913CD" w:rsidR="00A27CD8" w:rsidRPr="00965B02" w:rsidRDefault="00A27CD8" w:rsidP="00A27CD8">
            <w:pPr>
              <w:jc w:val="right"/>
              <w:rPr>
                <w:rFonts w:cs="Arial"/>
                <w:szCs w:val="24"/>
                <w:lang w:eastAsia="en-GB"/>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7C08C58F" w14:textId="08287A0E" w:rsidR="00A27CD8" w:rsidRPr="00965B02" w:rsidRDefault="00A27CD8" w:rsidP="00A27CD8">
            <w:pPr>
              <w:jc w:val="right"/>
              <w:rPr>
                <w:rFonts w:cs="Arial"/>
                <w:szCs w:val="24"/>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6DFBFE76" w14:textId="724544BD" w:rsidR="00A27CD8" w:rsidRPr="00965B02" w:rsidRDefault="00A27CD8" w:rsidP="00A27CD8">
            <w:pPr>
              <w:jc w:val="right"/>
              <w:rPr>
                <w:rFonts w:cs="Arial"/>
                <w:szCs w:val="24"/>
                <w:lang w:eastAsia="en-GB"/>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3" w:type="dxa"/>
            <w:tcBorders>
              <w:top w:val="single" w:sz="4" w:space="0" w:color="auto"/>
              <w:left w:val="single" w:sz="4" w:space="0" w:color="auto"/>
              <w:bottom w:val="single" w:sz="4" w:space="0" w:color="auto"/>
              <w:right w:val="single" w:sz="4" w:space="0" w:color="auto"/>
            </w:tcBorders>
            <w:noWrap/>
            <w:vAlign w:val="center"/>
          </w:tcPr>
          <w:p w14:paraId="775DD812" w14:textId="32CADFD8" w:rsidR="00A27CD8" w:rsidRPr="00965B02" w:rsidRDefault="00A27CD8" w:rsidP="00A27CD8">
            <w:pPr>
              <w:jc w:val="right"/>
              <w:rPr>
                <w:rFonts w:cs="Arial"/>
                <w:szCs w:val="24"/>
                <w:lang w:eastAsia="en-GB"/>
              </w:rPr>
            </w:pPr>
            <w:r w:rsidRPr="00BD2C0D">
              <w:rPr>
                <w:rFonts w:cs="Arial"/>
                <w:szCs w:val="24"/>
                <w:lang w:eastAsia="en-GB"/>
              </w:rPr>
              <w:t>129,576</w:t>
            </w:r>
          </w:p>
        </w:tc>
      </w:tr>
    </w:tbl>
    <w:p w14:paraId="7C9DA949" w14:textId="77777777" w:rsidR="00372872" w:rsidRPr="00D948C1" w:rsidRDefault="00372872"/>
    <w:tbl>
      <w:tblPr>
        <w:tblW w:w="13494" w:type="dxa"/>
        <w:tblInd w:w="534" w:type="dxa"/>
        <w:tblLayout w:type="fixed"/>
        <w:tblLook w:val="0000" w:firstRow="0" w:lastRow="0" w:firstColumn="0" w:lastColumn="0" w:noHBand="0" w:noVBand="0"/>
      </w:tblPr>
      <w:tblGrid>
        <w:gridCol w:w="5669"/>
        <w:gridCol w:w="1565"/>
        <w:gridCol w:w="1565"/>
        <w:gridCol w:w="1565"/>
        <w:gridCol w:w="1565"/>
        <w:gridCol w:w="1565"/>
      </w:tblGrid>
      <w:tr w:rsidR="00A47861" w:rsidRPr="00D948C1" w14:paraId="4DF5BA03" w14:textId="77777777" w:rsidTr="006C4BB1">
        <w:trPr>
          <w:trHeight w:val="268"/>
        </w:trPr>
        <w:tc>
          <w:tcPr>
            <w:tcW w:w="134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F465E4" w14:textId="42BC2696" w:rsidR="00A47861" w:rsidRPr="00D948C1" w:rsidRDefault="00A47861" w:rsidP="00372872">
            <w:pPr>
              <w:rPr>
                <w:rFonts w:cs="Arial"/>
                <w:b/>
                <w:bCs/>
                <w:szCs w:val="24"/>
              </w:rPr>
            </w:pPr>
            <w:r w:rsidRPr="00D948C1">
              <w:rPr>
                <w:rFonts w:cs="Arial"/>
                <w:b/>
                <w:bCs/>
                <w:szCs w:val="24"/>
              </w:rPr>
              <w:t>Historical cost</w:t>
            </w:r>
          </w:p>
        </w:tc>
      </w:tr>
      <w:tr w:rsidR="00A27CD8" w:rsidRPr="00D948C1" w14:paraId="09CF493C" w14:textId="77777777" w:rsidTr="00DD1D6B">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521CC157" w14:textId="77777777" w:rsidR="00A27CD8" w:rsidRPr="00965B02" w:rsidRDefault="00A27CD8" w:rsidP="00A27CD8">
            <w:pPr>
              <w:ind w:left="175"/>
              <w:rPr>
                <w:rFonts w:cs="Arial"/>
                <w:szCs w:val="24"/>
                <w:lang w:eastAsia="en-GB"/>
              </w:rPr>
            </w:pPr>
            <w:r w:rsidRPr="00965B02">
              <w:rPr>
                <w:rFonts w:cs="Arial"/>
                <w:szCs w:val="24"/>
                <w:lang w:eastAsia="en-GB"/>
              </w:rPr>
              <w:t>Carried at historical cost</w:t>
            </w:r>
          </w:p>
        </w:tc>
        <w:tc>
          <w:tcPr>
            <w:tcW w:w="1565" w:type="dxa"/>
            <w:tcBorders>
              <w:top w:val="single" w:sz="4" w:space="0" w:color="auto"/>
              <w:left w:val="single" w:sz="4" w:space="0" w:color="auto"/>
              <w:bottom w:val="single" w:sz="4" w:space="0" w:color="auto"/>
              <w:right w:val="single" w:sz="4" w:space="0" w:color="auto"/>
            </w:tcBorders>
            <w:noWrap/>
            <w:vAlign w:val="center"/>
          </w:tcPr>
          <w:p w14:paraId="343216C6" w14:textId="6D735113" w:rsidR="00A27CD8" w:rsidRPr="00965B02" w:rsidRDefault="00A27CD8" w:rsidP="00A27CD8">
            <w:pPr>
              <w:pStyle w:val="CommentText"/>
              <w:jc w:val="right"/>
              <w:rPr>
                <w:rFonts w:cs="Arial"/>
                <w:sz w:val="24"/>
                <w:szCs w:val="24"/>
                <w:lang w:eastAsia="en-GB"/>
              </w:rPr>
            </w:pPr>
            <w:r w:rsidRPr="00BD2C0D">
              <w:rPr>
                <w:rFonts w:cs="Arial"/>
                <w:sz w:val="24"/>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00A0808D" w14:textId="4A047B47" w:rsidR="00A27CD8" w:rsidRPr="00965B02" w:rsidRDefault="00A27CD8" w:rsidP="00A27CD8">
            <w:pPr>
              <w:jc w:val="right"/>
              <w:rPr>
                <w:rFonts w:cs="Arial"/>
                <w:szCs w:val="24"/>
                <w:lang w:eastAsia="en-GB"/>
              </w:rPr>
            </w:pPr>
            <w:r w:rsidRPr="00BD2C0D">
              <w:rPr>
                <w:rFonts w:cs="Arial"/>
                <w:szCs w:val="24"/>
                <w:lang w:eastAsia="en-GB"/>
              </w:rPr>
              <w:t>-</w:t>
            </w:r>
          </w:p>
        </w:tc>
        <w:tc>
          <w:tcPr>
            <w:tcW w:w="1565" w:type="dxa"/>
            <w:tcBorders>
              <w:top w:val="single" w:sz="4" w:space="0" w:color="auto"/>
              <w:bottom w:val="single" w:sz="4" w:space="0" w:color="auto"/>
            </w:tcBorders>
            <w:vAlign w:val="center"/>
          </w:tcPr>
          <w:p w14:paraId="61ED544D" w14:textId="22947D3F" w:rsidR="00A27CD8" w:rsidRPr="00965B02" w:rsidRDefault="00A27CD8" w:rsidP="00A27CD8">
            <w:pPr>
              <w:jc w:val="right"/>
              <w:rPr>
                <w:rFonts w:cs="Arial"/>
                <w:szCs w:val="24"/>
                <w:lang w:eastAsia="en-GB"/>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287053CD" w14:textId="491D0F43" w:rsidR="00A27CD8" w:rsidRPr="00965B02" w:rsidRDefault="00A27CD8" w:rsidP="00A27CD8">
            <w:pPr>
              <w:jc w:val="right"/>
              <w:rPr>
                <w:rFonts w:cs="Arial"/>
                <w:szCs w:val="24"/>
                <w:lang w:eastAsia="en-GB"/>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5" w:type="dxa"/>
            <w:tcBorders>
              <w:top w:val="single" w:sz="4" w:space="0" w:color="auto"/>
              <w:left w:val="single" w:sz="4" w:space="0" w:color="auto"/>
              <w:bottom w:val="single" w:sz="4" w:space="0" w:color="auto"/>
              <w:right w:val="single" w:sz="4" w:space="0" w:color="auto"/>
            </w:tcBorders>
            <w:noWrap/>
            <w:vAlign w:val="center"/>
          </w:tcPr>
          <w:p w14:paraId="784BAA40" w14:textId="65C14A23" w:rsidR="00A27CD8" w:rsidRPr="00965B02" w:rsidRDefault="00A27CD8" w:rsidP="00A27CD8">
            <w:pPr>
              <w:jc w:val="right"/>
              <w:rPr>
                <w:rFonts w:cs="Arial"/>
                <w:szCs w:val="24"/>
                <w:lang w:eastAsia="en-GB"/>
              </w:rPr>
            </w:pPr>
            <w:r w:rsidRPr="00BD2C0D">
              <w:rPr>
                <w:rFonts w:cs="Arial"/>
                <w:szCs w:val="24"/>
                <w:lang w:eastAsia="en-GB"/>
              </w:rPr>
              <w:t>1</w:t>
            </w:r>
            <w:r>
              <w:rPr>
                <w:rFonts w:cs="Arial"/>
                <w:szCs w:val="24"/>
                <w:lang w:eastAsia="en-GB"/>
              </w:rPr>
              <w:t>3</w:t>
            </w:r>
            <w:r w:rsidRPr="00BD2C0D">
              <w:rPr>
                <w:rFonts w:cs="Arial"/>
                <w:szCs w:val="24"/>
                <w:lang w:eastAsia="en-GB"/>
              </w:rPr>
              <w:t>,</w:t>
            </w:r>
            <w:r>
              <w:rPr>
                <w:rFonts w:cs="Arial"/>
                <w:szCs w:val="24"/>
                <w:lang w:eastAsia="en-GB"/>
              </w:rPr>
              <w:t>178</w:t>
            </w:r>
          </w:p>
        </w:tc>
      </w:tr>
    </w:tbl>
    <w:p w14:paraId="4F425E50" w14:textId="77777777" w:rsidR="00372872" w:rsidRPr="00D948C1" w:rsidRDefault="00372872"/>
    <w:tbl>
      <w:tblPr>
        <w:tblW w:w="13492" w:type="dxa"/>
        <w:tblInd w:w="534" w:type="dxa"/>
        <w:tblLayout w:type="fixed"/>
        <w:tblLook w:val="0000" w:firstRow="0" w:lastRow="0" w:firstColumn="0" w:lastColumn="0" w:noHBand="0" w:noVBand="0"/>
      </w:tblPr>
      <w:tblGrid>
        <w:gridCol w:w="5669"/>
        <w:gridCol w:w="1565"/>
        <w:gridCol w:w="1565"/>
        <w:gridCol w:w="1565"/>
        <w:gridCol w:w="1565"/>
        <w:gridCol w:w="1563"/>
      </w:tblGrid>
      <w:tr w:rsidR="00A47861" w:rsidRPr="00D948C1" w14:paraId="5891E77F" w14:textId="77777777" w:rsidTr="00601EA8">
        <w:trPr>
          <w:trHeight w:val="268"/>
        </w:trPr>
        <w:tc>
          <w:tcPr>
            <w:tcW w:w="134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50A334" w14:textId="0E4CCA2B" w:rsidR="00A47861" w:rsidRPr="00D948C1" w:rsidRDefault="00A47861" w:rsidP="00BC6C4F">
            <w:pPr>
              <w:rPr>
                <w:rFonts w:cs="Arial"/>
                <w:b/>
                <w:bCs/>
                <w:szCs w:val="24"/>
                <w:lang w:eastAsia="en-GB"/>
              </w:rPr>
            </w:pPr>
            <w:r w:rsidRPr="00D948C1">
              <w:rPr>
                <w:rFonts w:cs="Arial"/>
                <w:b/>
                <w:bCs/>
                <w:szCs w:val="24"/>
                <w:lang w:eastAsia="en-GB"/>
              </w:rPr>
              <w:t>Valued at current value as at:</w:t>
            </w:r>
          </w:p>
        </w:tc>
      </w:tr>
      <w:tr w:rsidR="00A27CD8" w:rsidRPr="00D948C1" w14:paraId="5268D23D" w14:textId="77777777" w:rsidTr="00521871">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706AC94D" w14:textId="523B38CA" w:rsidR="00A27CD8" w:rsidRPr="00965B02" w:rsidRDefault="00A27CD8" w:rsidP="00A27CD8">
            <w:pPr>
              <w:ind w:left="175"/>
              <w:rPr>
                <w:rFonts w:cs="Arial"/>
                <w:szCs w:val="24"/>
                <w:lang w:eastAsia="en-GB"/>
              </w:rPr>
            </w:pPr>
            <w:r w:rsidRPr="00543C89">
              <w:rPr>
                <w:rFonts w:cs="Arial"/>
                <w:szCs w:val="24"/>
                <w:lang w:eastAsia="en-GB"/>
              </w:rPr>
              <w:t>31 March 2025</w:t>
            </w:r>
          </w:p>
        </w:tc>
        <w:tc>
          <w:tcPr>
            <w:tcW w:w="1565" w:type="dxa"/>
            <w:tcBorders>
              <w:top w:val="single" w:sz="4" w:space="0" w:color="auto"/>
              <w:left w:val="single" w:sz="4" w:space="0" w:color="auto"/>
              <w:bottom w:val="single" w:sz="4" w:space="0" w:color="auto"/>
              <w:right w:val="single" w:sz="4" w:space="0" w:color="auto"/>
            </w:tcBorders>
            <w:noWrap/>
            <w:vAlign w:val="center"/>
          </w:tcPr>
          <w:p w14:paraId="4BB98AD4" w14:textId="7030C2E3" w:rsidR="00A27CD8" w:rsidRPr="00965B02" w:rsidRDefault="00A27CD8" w:rsidP="00A27CD8">
            <w:pPr>
              <w:pStyle w:val="CommentText"/>
              <w:jc w:val="right"/>
              <w:rPr>
                <w:rFonts w:cs="Arial"/>
                <w:sz w:val="24"/>
                <w:szCs w:val="24"/>
                <w:lang w:eastAsia="en-GB"/>
              </w:rPr>
            </w:pPr>
            <w:r w:rsidRPr="00BD2C0D">
              <w:rPr>
                <w:rFonts w:cs="Arial"/>
                <w:sz w:val="24"/>
                <w:szCs w:val="24"/>
                <w:lang w:eastAsia="en-GB"/>
              </w:rPr>
              <w:t>80,6</w:t>
            </w:r>
            <w:r>
              <w:rPr>
                <w:rFonts w:cs="Arial"/>
                <w:sz w:val="24"/>
                <w:szCs w:val="24"/>
                <w:lang w:eastAsia="en-GB"/>
              </w:rPr>
              <w:t>66</w:t>
            </w:r>
          </w:p>
        </w:tc>
        <w:tc>
          <w:tcPr>
            <w:tcW w:w="1565" w:type="dxa"/>
            <w:tcBorders>
              <w:top w:val="single" w:sz="4" w:space="0" w:color="auto"/>
              <w:left w:val="single" w:sz="4" w:space="0" w:color="auto"/>
              <w:bottom w:val="single" w:sz="4" w:space="0" w:color="auto"/>
              <w:right w:val="single" w:sz="4" w:space="0" w:color="auto"/>
            </w:tcBorders>
            <w:vAlign w:val="center"/>
          </w:tcPr>
          <w:p w14:paraId="280FCA99" w14:textId="46BD35AB" w:rsidR="00A27CD8" w:rsidRPr="00965B02" w:rsidRDefault="00A27CD8" w:rsidP="00A27CD8">
            <w:pPr>
              <w:jc w:val="right"/>
              <w:rPr>
                <w:rFonts w:cs="Arial"/>
                <w:szCs w:val="24"/>
                <w:lang w:eastAsia="en-GB"/>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620AFEAD" w14:textId="72AEEE19" w:rsidR="00A27CD8" w:rsidRPr="00965B02" w:rsidRDefault="00A27CD8" w:rsidP="00A27CD8">
            <w:pPr>
              <w:jc w:val="right"/>
              <w:rPr>
                <w:rFonts w:cs="Arial"/>
                <w:szCs w:val="24"/>
              </w:rPr>
            </w:pPr>
            <w:r>
              <w:rPr>
                <w:rFonts w:cs="Arial"/>
                <w:szCs w:val="24"/>
                <w:lang w:eastAsia="en-GB"/>
              </w:rPr>
              <w:t>-</w:t>
            </w:r>
          </w:p>
        </w:tc>
        <w:tc>
          <w:tcPr>
            <w:tcW w:w="1565" w:type="dxa"/>
            <w:tcBorders>
              <w:top w:val="single" w:sz="4" w:space="0" w:color="auto"/>
              <w:left w:val="single" w:sz="4" w:space="0" w:color="auto"/>
              <w:bottom w:val="single" w:sz="4" w:space="0" w:color="auto"/>
              <w:right w:val="single" w:sz="4" w:space="0" w:color="auto"/>
            </w:tcBorders>
            <w:vAlign w:val="center"/>
          </w:tcPr>
          <w:p w14:paraId="00DC126C" w14:textId="2EA76DED" w:rsidR="00A27CD8" w:rsidRPr="00965B02" w:rsidRDefault="00A27CD8" w:rsidP="00A27CD8">
            <w:pPr>
              <w:jc w:val="right"/>
              <w:rPr>
                <w:rFonts w:cs="Arial"/>
                <w:szCs w:val="24"/>
                <w:lang w:eastAsia="en-GB"/>
              </w:rPr>
            </w:pPr>
            <w:r w:rsidRPr="00BD2C0D">
              <w:rPr>
                <w:rFonts w:cs="Arial"/>
                <w:szCs w:val="24"/>
                <w:lang w:eastAsia="en-GB"/>
              </w:rPr>
              <w:t>-</w:t>
            </w:r>
          </w:p>
        </w:tc>
        <w:tc>
          <w:tcPr>
            <w:tcW w:w="1563" w:type="dxa"/>
            <w:tcBorders>
              <w:top w:val="single" w:sz="4" w:space="0" w:color="auto"/>
              <w:left w:val="single" w:sz="4" w:space="0" w:color="auto"/>
              <w:bottom w:val="single" w:sz="4" w:space="0" w:color="auto"/>
              <w:right w:val="single" w:sz="4" w:space="0" w:color="auto"/>
            </w:tcBorders>
            <w:noWrap/>
            <w:vAlign w:val="center"/>
          </w:tcPr>
          <w:p w14:paraId="15BB6D9D" w14:textId="38F14D32" w:rsidR="00A27CD8" w:rsidRPr="00965B02" w:rsidRDefault="00A27CD8" w:rsidP="00A27CD8">
            <w:pPr>
              <w:jc w:val="right"/>
              <w:rPr>
                <w:rFonts w:cs="Arial"/>
                <w:szCs w:val="24"/>
                <w:lang w:eastAsia="en-GB"/>
              </w:rPr>
            </w:pPr>
            <w:r w:rsidRPr="00BD2C0D">
              <w:rPr>
                <w:rFonts w:cs="Arial"/>
                <w:szCs w:val="24"/>
                <w:lang w:eastAsia="en-GB"/>
              </w:rPr>
              <w:t>11</w:t>
            </w:r>
            <w:r>
              <w:rPr>
                <w:rFonts w:cs="Arial"/>
                <w:szCs w:val="24"/>
                <w:lang w:eastAsia="en-GB"/>
              </w:rPr>
              <w:t>6</w:t>
            </w:r>
            <w:r w:rsidRPr="00BD2C0D">
              <w:rPr>
                <w:rFonts w:cs="Arial"/>
                <w:szCs w:val="24"/>
                <w:lang w:eastAsia="en-GB"/>
              </w:rPr>
              <w:t>,</w:t>
            </w:r>
            <w:r>
              <w:rPr>
                <w:rFonts w:cs="Arial"/>
                <w:szCs w:val="24"/>
                <w:lang w:eastAsia="en-GB"/>
              </w:rPr>
              <w:t>398</w:t>
            </w:r>
          </w:p>
        </w:tc>
      </w:tr>
      <w:tr w:rsidR="00A27CD8" w:rsidRPr="00D948C1" w14:paraId="21C57D4B" w14:textId="77777777" w:rsidTr="00521871">
        <w:trPr>
          <w:trHeight w:val="268"/>
        </w:trPr>
        <w:tc>
          <w:tcPr>
            <w:tcW w:w="5669" w:type="dxa"/>
            <w:tcBorders>
              <w:top w:val="single" w:sz="4" w:space="0" w:color="auto"/>
              <w:left w:val="single" w:sz="4" w:space="0" w:color="auto"/>
              <w:bottom w:val="single" w:sz="4" w:space="0" w:color="auto"/>
              <w:right w:val="single" w:sz="4" w:space="0" w:color="auto"/>
            </w:tcBorders>
            <w:noWrap/>
            <w:vAlign w:val="bottom"/>
          </w:tcPr>
          <w:p w14:paraId="2AB521D3" w14:textId="4642345A" w:rsidR="00A27CD8" w:rsidRPr="00965B02" w:rsidRDefault="00A27CD8" w:rsidP="00A27CD8">
            <w:pPr>
              <w:ind w:left="175"/>
              <w:rPr>
                <w:rFonts w:cs="Arial"/>
                <w:szCs w:val="24"/>
                <w:lang w:eastAsia="en-GB"/>
              </w:rPr>
            </w:pPr>
            <w:r w:rsidRPr="00543C89">
              <w:rPr>
                <w:rFonts w:cs="Arial"/>
                <w:szCs w:val="24"/>
                <w:lang w:eastAsia="en-GB"/>
              </w:rPr>
              <w:t>Total cost or valuation</w:t>
            </w:r>
          </w:p>
        </w:tc>
        <w:tc>
          <w:tcPr>
            <w:tcW w:w="1565" w:type="dxa"/>
            <w:tcBorders>
              <w:top w:val="single" w:sz="4" w:space="0" w:color="auto"/>
              <w:left w:val="single" w:sz="4" w:space="0" w:color="auto"/>
              <w:bottom w:val="single" w:sz="4" w:space="0" w:color="auto"/>
              <w:right w:val="single" w:sz="4" w:space="0" w:color="auto"/>
            </w:tcBorders>
            <w:noWrap/>
            <w:vAlign w:val="center"/>
          </w:tcPr>
          <w:p w14:paraId="01DF7665" w14:textId="339602C7" w:rsidR="00A27CD8" w:rsidRPr="00965B02" w:rsidRDefault="00A27CD8" w:rsidP="00A27CD8">
            <w:pPr>
              <w:pStyle w:val="CommentText"/>
              <w:jc w:val="right"/>
              <w:rPr>
                <w:rFonts w:cs="Arial"/>
                <w:sz w:val="24"/>
                <w:szCs w:val="24"/>
                <w:lang w:eastAsia="en-GB"/>
              </w:rPr>
            </w:pPr>
            <w:r w:rsidRPr="00BD2C0D">
              <w:rPr>
                <w:rFonts w:cs="Arial"/>
                <w:sz w:val="24"/>
                <w:szCs w:val="24"/>
                <w:lang w:eastAsia="en-GB"/>
              </w:rPr>
              <w:t>80,6</w:t>
            </w:r>
            <w:r>
              <w:rPr>
                <w:rFonts w:cs="Arial"/>
                <w:sz w:val="24"/>
                <w:szCs w:val="24"/>
                <w:lang w:eastAsia="en-GB"/>
              </w:rPr>
              <w:t>66</w:t>
            </w:r>
          </w:p>
        </w:tc>
        <w:tc>
          <w:tcPr>
            <w:tcW w:w="1565" w:type="dxa"/>
            <w:tcBorders>
              <w:top w:val="single" w:sz="4" w:space="0" w:color="auto"/>
              <w:left w:val="single" w:sz="4" w:space="0" w:color="auto"/>
              <w:bottom w:val="single" w:sz="4" w:space="0" w:color="auto"/>
              <w:right w:val="single" w:sz="4" w:space="0" w:color="auto"/>
            </w:tcBorders>
            <w:vAlign w:val="center"/>
          </w:tcPr>
          <w:p w14:paraId="74CDB2E4" w14:textId="0C2B45BC" w:rsidR="00A27CD8" w:rsidRPr="00965B02" w:rsidRDefault="00A27CD8" w:rsidP="00A27CD8">
            <w:pPr>
              <w:jc w:val="right"/>
              <w:rPr>
                <w:rFonts w:cs="Arial"/>
                <w:szCs w:val="24"/>
                <w:lang w:eastAsia="en-GB"/>
              </w:rPr>
            </w:pPr>
            <w:r w:rsidRPr="00BD2C0D">
              <w:rPr>
                <w:rFonts w:cs="Arial"/>
                <w:szCs w:val="24"/>
                <w:lang w:eastAsia="en-GB"/>
              </w:rPr>
              <w:t>35,732</w:t>
            </w:r>
          </w:p>
        </w:tc>
        <w:tc>
          <w:tcPr>
            <w:tcW w:w="1565" w:type="dxa"/>
            <w:tcBorders>
              <w:top w:val="single" w:sz="4" w:space="0" w:color="auto"/>
              <w:bottom w:val="single" w:sz="4" w:space="0" w:color="auto"/>
            </w:tcBorders>
            <w:vAlign w:val="center"/>
          </w:tcPr>
          <w:p w14:paraId="50A887D8" w14:textId="072F94C6" w:rsidR="00A27CD8" w:rsidRPr="00965B02" w:rsidRDefault="00A27CD8" w:rsidP="00A27CD8">
            <w:pPr>
              <w:jc w:val="right"/>
              <w:rPr>
                <w:rFonts w:cs="Arial"/>
                <w:szCs w:val="24"/>
                <w:lang w:eastAsia="en-GB"/>
              </w:rPr>
            </w:pPr>
            <w:r>
              <w:rPr>
                <w:rFonts w:cs="Arial"/>
                <w:szCs w:val="24"/>
                <w:lang w:eastAsia="en-GB"/>
              </w:rPr>
              <w:t>2,136</w:t>
            </w:r>
          </w:p>
        </w:tc>
        <w:tc>
          <w:tcPr>
            <w:tcW w:w="1565" w:type="dxa"/>
            <w:tcBorders>
              <w:top w:val="single" w:sz="4" w:space="0" w:color="auto"/>
              <w:left w:val="single" w:sz="4" w:space="0" w:color="auto"/>
              <w:bottom w:val="single" w:sz="4" w:space="0" w:color="auto"/>
              <w:right w:val="single" w:sz="4" w:space="0" w:color="auto"/>
            </w:tcBorders>
            <w:vAlign w:val="center"/>
          </w:tcPr>
          <w:p w14:paraId="1254C97F" w14:textId="76568623" w:rsidR="00A27CD8" w:rsidRPr="00965B02" w:rsidRDefault="00A27CD8" w:rsidP="00A27CD8">
            <w:pPr>
              <w:jc w:val="right"/>
              <w:rPr>
                <w:rFonts w:cs="Arial"/>
                <w:szCs w:val="24"/>
                <w:lang w:eastAsia="en-GB"/>
              </w:rPr>
            </w:pPr>
            <w:r w:rsidRPr="00BD2C0D">
              <w:rPr>
                <w:rFonts w:cs="Arial"/>
                <w:szCs w:val="24"/>
                <w:lang w:eastAsia="en-GB"/>
              </w:rPr>
              <w:t>1</w:t>
            </w:r>
            <w:r>
              <w:rPr>
                <w:rFonts w:cs="Arial"/>
                <w:szCs w:val="24"/>
                <w:lang w:eastAsia="en-GB"/>
              </w:rPr>
              <w:t>1</w:t>
            </w:r>
            <w:r w:rsidRPr="00BD2C0D">
              <w:rPr>
                <w:rFonts w:cs="Arial"/>
                <w:szCs w:val="24"/>
                <w:lang w:eastAsia="en-GB"/>
              </w:rPr>
              <w:t>,</w:t>
            </w:r>
            <w:r>
              <w:rPr>
                <w:rFonts w:cs="Arial"/>
                <w:szCs w:val="24"/>
                <w:lang w:eastAsia="en-GB"/>
              </w:rPr>
              <w:t>042</w:t>
            </w:r>
          </w:p>
        </w:tc>
        <w:tc>
          <w:tcPr>
            <w:tcW w:w="1563" w:type="dxa"/>
            <w:tcBorders>
              <w:top w:val="single" w:sz="4" w:space="0" w:color="auto"/>
              <w:left w:val="single" w:sz="4" w:space="0" w:color="auto"/>
              <w:bottom w:val="single" w:sz="4" w:space="0" w:color="auto"/>
              <w:right w:val="single" w:sz="4" w:space="0" w:color="auto"/>
            </w:tcBorders>
            <w:noWrap/>
            <w:vAlign w:val="center"/>
          </w:tcPr>
          <w:p w14:paraId="59C2D07F" w14:textId="69B112D3" w:rsidR="00A27CD8" w:rsidRPr="00965B02" w:rsidRDefault="00A27CD8" w:rsidP="00A27CD8">
            <w:pPr>
              <w:jc w:val="right"/>
              <w:rPr>
                <w:rFonts w:cs="Arial"/>
                <w:szCs w:val="24"/>
                <w:lang w:eastAsia="en-GB"/>
              </w:rPr>
            </w:pPr>
            <w:r w:rsidRPr="00BD2C0D">
              <w:rPr>
                <w:rFonts w:cs="Arial"/>
                <w:szCs w:val="24"/>
                <w:lang w:eastAsia="en-GB"/>
              </w:rPr>
              <w:t>129,576</w:t>
            </w:r>
          </w:p>
        </w:tc>
      </w:tr>
    </w:tbl>
    <w:p w14:paraId="1F7981F6" w14:textId="77777777" w:rsidR="00E91290" w:rsidRDefault="00E91290" w:rsidP="00A729E6">
      <w:pPr>
        <w:pStyle w:val="BodyTextIndent"/>
        <w:ind w:left="709" w:right="425"/>
        <w:rPr>
          <w:lang w:val="en-GB"/>
        </w:rPr>
      </w:pPr>
    </w:p>
    <w:p w14:paraId="47B0BE01" w14:textId="5B83EDAE" w:rsidR="003178F3" w:rsidRDefault="003178F3" w:rsidP="00A729E6">
      <w:pPr>
        <w:pStyle w:val="BodyTextIndent"/>
        <w:ind w:left="709" w:right="425"/>
        <w:rPr>
          <w:lang w:val="en-GB"/>
        </w:rPr>
        <w:sectPr w:rsidR="003178F3" w:rsidSect="003178F3">
          <w:pgSz w:w="16840" w:h="11907" w:orient="landscape" w:code="9"/>
          <w:pgMar w:top="567" w:right="454" w:bottom="567" w:left="397" w:header="720" w:footer="720" w:gutter="0"/>
          <w:cols w:space="720"/>
          <w:docGrid w:linePitch="326"/>
        </w:sectPr>
      </w:pPr>
    </w:p>
    <w:p w14:paraId="6968CE45" w14:textId="4DC4F713" w:rsidR="00C5659D" w:rsidRPr="00C23813" w:rsidRDefault="00C5659D" w:rsidP="003278CF">
      <w:pPr>
        <w:ind w:firstLine="709"/>
        <w:rPr>
          <w:b/>
        </w:rPr>
      </w:pPr>
      <w:r w:rsidRPr="3754D491">
        <w:rPr>
          <w:b/>
        </w:rPr>
        <w:lastRenderedPageBreak/>
        <w:t>Heritage Assets</w:t>
      </w:r>
    </w:p>
    <w:p w14:paraId="74BE22A0" w14:textId="77777777" w:rsidR="00C5659D" w:rsidRPr="00C23813" w:rsidRDefault="00C5659D" w:rsidP="00BC6C4F">
      <w:pPr>
        <w:pStyle w:val="BodyTextIndent"/>
        <w:rPr>
          <w:b/>
          <w:lang w:val="en-GB"/>
        </w:rPr>
      </w:pPr>
    </w:p>
    <w:p w14:paraId="517A1625" w14:textId="5AF27D81" w:rsidR="00F74E7D" w:rsidRPr="00C23813" w:rsidRDefault="00C5659D" w:rsidP="00BC6C4F">
      <w:pPr>
        <w:pStyle w:val="BodyTextIndent"/>
        <w:ind w:left="709" w:right="425"/>
        <w:rPr>
          <w:lang w:val="en-GB"/>
        </w:rPr>
      </w:pPr>
      <w:r w:rsidRPr="3754D491">
        <w:rPr>
          <w:lang w:val="en-GB"/>
        </w:rPr>
        <w:t xml:space="preserve">The Authority holds several heritage assets, in the form of both fire memorabilia such as antique fire extinguishers, </w:t>
      </w:r>
      <w:r w:rsidR="00DF2B00" w:rsidRPr="3754D491">
        <w:rPr>
          <w:lang w:val="en-GB"/>
        </w:rPr>
        <w:t>and</w:t>
      </w:r>
      <w:r w:rsidRPr="3754D491">
        <w:rPr>
          <w:lang w:val="en-GB"/>
        </w:rPr>
        <w:t xml:space="preserve"> two vintage fire appliances. Due to the nature of these assets, it is not possible to market test the value of these, therefore they are not included in the Property, Plant and Equipment note.</w:t>
      </w:r>
    </w:p>
    <w:p w14:paraId="6DE6AB3C" w14:textId="77777777" w:rsidR="00372872" w:rsidRPr="00C23813" w:rsidRDefault="00372872" w:rsidP="00BC6C4F">
      <w:pPr>
        <w:pStyle w:val="BodyTextIndent"/>
        <w:ind w:left="709" w:right="425"/>
        <w:rPr>
          <w:szCs w:val="24"/>
          <w:highlight w:val="green"/>
          <w:lang w:val="en-GB"/>
        </w:rPr>
      </w:pPr>
    </w:p>
    <w:p w14:paraId="09B690A3" w14:textId="4E531AC1" w:rsidR="00D90216" w:rsidRPr="00D948C1" w:rsidRDefault="00D90216" w:rsidP="003278CF">
      <w:pPr>
        <w:ind w:firstLine="709"/>
        <w:rPr>
          <w:b/>
          <w:bCs/>
        </w:rPr>
      </w:pPr>
      <w:r w:rsidRPr="413366D6">
        <w:rPr>
          <w:b/>
        </w:rPr>
        <w:t>Capital Expenditure</w:t>
      </w:r>
    </w:p>
    <w:p w14:paraId="3BD76D2B" w14:textId="77777777" w:rsidR="00D90216" w:rsidRPr="00D948C1" w:rsidRDefault="00D90216" w:rsidP="00210760">
      <w:pPr>
        <w:pStyle w:val="BodyTextIndent"/>
        <w:rPr>
          <w:lang w:val="en-GB"/>
        </w:rPr>
      </w:pPr>
    </w:p>
    <w:p w14:paraId="5283EE0D" w14:textId="60E9F130" w:rsidR="00D90216" w:rsidRPr="00D948C1" w:rsidRDefault="00D90216" w:rsidP="00210760">
      <w:pPr>
        <w:tabs>
          <w:tab w:val="left" w:pos="720"/>
          <w:tab w:val="right" w:pos="7200"/>
        </w:tabs>
        <w:ind w:left="720"/>
      </w:pPr>
      <w:r>
        <w:t xml:space="preserve">The total capital expenditure in </w:t>
      </w:r>
      <w:r w:rsidR="001A42DD">
        <w:t>2025-26</w:t>
      </w:r>
      <w:r>
        <w:t xml:space="preserve">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 The CFR is analysed in the second part of this note.</w:t>
      </w:r>
    </w:p>
    <w:p w14:paraId="2A5043FD" w14:textId="77777777" w:rsidR="00D90216" w:rsidRPr="00D948C1" w:rsidRDefault="00D90216" w:rsidP="00D90216">
      <w:pPr>
        <w:tabs>
          <w:tab w:val="left" w:pos="720"/>
          <w:tab w:val="right" w:pos="7200"/>
        </w:tabs>
        <w:ind w:left="720"/>
        <w:jc w:val="both"/>
        <w:rPr>
          <w:sz w:val="22"/>
        </w:rPr>
      </w:pPr>
    </w:p>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174738" w:rsidRPr="00D948C1" w14:paraId="0E929259" w14:textId="77777777" w:rsidTr="009D308D">
        <w:trPr>
          <w:trHeight w:hRule="exact" w:val="867"/>
          <w:tblHeader/>
        </w:trPr>
        <w:tc>
          <w:tcPr>
            <w:tcW w:w="5342" w:type="dxa"/>
            <w:shd w:val="clear" w:color="auto" w:fill="BD2716"/>
          </w:tcPr>
          <w:p w14:paraId="644CFD86" w14:textId="77777777" w:rsidR="00174738" w:rsidRPr="00D948C1" w:rsidRDefault="00174738" w:rsidP="00174738">
            <w:pPr>
              <w:rPr>
                <w:color w:val="FFFFFF" w:themeColor="background1"/>
                <w:szCs w:val="24"/>
              </w:rPr>
            </w:pPr>
          </w:p>
        </w:tc>
        <w:tc>
          <w:tcPr>
            <w:tcW w:w="1512" w:type="dxa"/>
            <w:shd w:val="clear" w:color="auto" w:fill="BD2716"/>
            <w:vAlign w:val="center"/>
          </w:tcPr>
          <w:p w14:paraId="006AD34C" w14:textId="0AFE120D" w:rsidR="00174738" w:rsidRPr="00D948C1" w:rsidRDefault="001A42DD" w:rsidP="00611673">
            <w:pPr>
              <w:pStyle w:val="BodyTextIndent"/>
              <w:ind w:left="0"/>
              <w:jc w:val="right"/>
              <w:rPr>
                <w:color w:val="FFFFFF" w:themeColor="background1"/>
                <w:szCs w:val="24"/>
                <w:lang w:val="en-GB"/>
              </w:rPr>
            </w:pPr>
            <w:r>
              <w:rPr>
                <w:color w:val="FFFFFF" w:themeColor="background1"/>
                <w:szCs w:val="24"/>
                <w:lang w:val="en-GB"/>
              </w:rPr>
              <w:t>2025-26</w:t>
            </w:r>
          </w:p>
          <w:p w14:paraId="78A6FBDB" w14:textId="091B57B2" w:rsidR="00DC7A16" w:rsidRPr="00D948C1" w:rsidRDefault="00DC7A16"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465" w:type="dxa"/>
            <w:shd w:val="clear" w:color="auto" w:fill="BD2716"/>
            <w:vAlign w:val="center"/>
          </w:tcPr>
          <w:p w14:paraId="54BF472C" w14:textId="01CCE762" w:rsidR="00C23813" w:rsidRPr="00D948C1" w:rsidRDefault="001A42DD" w:rsidP="00C23813">
            <w:pPr>
              <w:pStyle w:val="BodyTextIndent"/>
              <w:ind w:left="0"/>
              <w:jc w:val="right"/>
              <w:rPr>
                <w:color w:val="FFFFFF" w:themeColor="background1"/>
                <w:szCs w:val="24"/>
                <w:lang w:val="en-GB"/>
              </w:rPr>
            </w:pPr>
            <w:r>
              <w:rPr>
                <w:color w:val="FFFFFF" w:themeColor="background1"/>
                <w:szCs w:val="24"/>
                <w:lang w:val="en-GB"/>
              </w:rPr>
              <w:t>2024-25</w:t>
            </w:r>
          </w:p>
          <w:p w14:paraId="3FB3C2CD" w14:textId="491A4344" w:rsidR="00DC7A16" w:rsidRPr="00D948C1" w:rsidRDefault="00C23813" w:rsidP="00C23813">
            <w:pPr>
              <w:pStyle w:val="BodyTextIndent"/>
              <w:ind w:left="0"/>
              <w:jc w:val="right"/>
              <w:rPr>
                <w:color w:val="FFFFFF" w:themeColor="background1"/>
                <w:szCs w:val="24"/>
                <w:lang w:val="en-GB"/>
              </w:rPr>
            </w:pPr>
            <w:r w:rsidRPr="00D948C1">
              <w:rPr>
                <w:color w:val="FFFFFF" w:themeColor="background1"/>
                <w:szCs w:val="24"/>
                <w:lang w:val="en-GB"/>
              </w:rPr>
              <w:t>£000</w:t>
            </w:r>
          </w:p>
        </w:tc>
      </w:tr>
      <w:tr w:rsidR="00B62CD2" w:rsidRPr="00D948C1" w14:paraId="5C01EC35" w14:textId="77777777" w:rsidTr="008B00BF">
        <w:trPr>
          <w:trHeight w:hRule="exact" w:val="300"/>
        </w:trPr>
        <w:tc>
          <w:tcPr>
            <w:tcW w:w="5342" w:type="dxa"/>
          </w:tcPr>
          <w:p w14:paraId="5038A3EC" w14:textId="77777777" w:rsidR="00B62CD2" w:rsidRPr="00D948C1" w:rsidRDefault="00B62CD2" w:rsidP="00B62CD2">
            <w:pPr>
              <w:rPr>
                <w:szCs w:val="24"/>
              </w:rPr>
            </w:pPr>
            <w:r w:rsidRPr="00D948C1">
              <w:rPr>
                <w:szCs w:val="24"/>
              </w:rPr>
              <w:t>Opening Capital Financing Requirement</w:t>
            </w:r>
          </w:p>
        </w:tc>
        <w:tc>
          <w:tcPr>
            <w:tcW w:w="1512" w:type="dxa"/>
            <w:vAlign w:val="center"/>
          </w:tcPr>
          <w:p w14:paraId="27F58282" w14:textId="0AF486AF" w:rsidR="00B62CD2" w:rsidRPr="0026417B" w:rsidRDefault="008F4EE0" w:rsidP="00B62CD2">
            <w:pPr>
              <w:pStyle w:val="Footer"/>
              <w:tabs>
                <w:tab w:val="clear" w:pos="4153"/>
                <w:tab w:val="clear" w:pos="8306"/>
                <w:tab w:val="decimal" w:pos="1026"/>
              </w:tabs>
              <w:jc w:val="right"/>
              <w:rPr>
                <w:szCs w:val="24"/>
              </w:rPr>
            </w:pPr>
            <w:r>
              <w:rPr>
                <w:szCs w:val="24"/>
              </w:rPr>
              <w:t>12,440</w:t>
            </w:r>
          </w:p>
        </w:tc>
        <w:tc>
          <w:tcPr>
            <w:tcW w:w="1465" w:type="dxa"/>
            <w:vAlign w:val="center"/>
          </w:tcPr>
          <w:p w14:paraId="2B564051" w14:textId="398574AA" w:rsidR="00B62CD2" w:rsidRPr="002004D2" w:rsidRDefault="00B62CD2" w:rsidP="00B62CD2">
            <w:pPr>
              <w:pStyle w:val="Footer"/>
              <w:tabs>
                <w:tab w:val="clear" w:pos="4153"/>
                <w:tab w:val="clear" w:pos="8306"/>
                <w:tab w:val="decimal" w:pos="1026"/>
              </w:tabs>
              <w:jc w:val="right"/>
              <w:rPr>
                <w:szCs w:val="24"/>
              </w:rPr>
            </w:pPr>
            <w:r w:rsidRPr="00F46B17">
              <w:rPr>
                <w:szCs w:val="24"/>
              </w:rPr>
              <w:t>11,766</w:t>
            </w:r>
          </w:p>
        </w:tc>
      </w:tr>
      <w:tr w:rsidR="00B62CD2" w:rsidRPr="00D948C1" w14:paraId="2E104F2E" w14:textId="77777777" w:rsidTr="002004D2">
        <w:trPr>
          <w:trHeight w:hRule="exact" w:val="300"/>
        </w:trPr>
        <w:tc>
          <w:tcPr>
            <w:tcW w:w="5342" w:type="dxa"/>
          </w:tcPr>
          <w:p w14:paraId="3C1852D0" w14:textId="6441AAC5" w:rsidR="00B62CD2" w:rsidRDefault="00B62CD2" w:rsidP="00B62CD2">
            <w:pPr>
              <w:rPr>
                <w:szCs w:val="24"/>
              </w:rPr>
            </w:pPr>
            <w:r>
              <w:rPr>
                <w:szCs w:val="24"/>
              </w:rPr>
              <w:t xml:space="preserve">IFRS 16 transition &amp; PFI indexation </w:t>
            </w:r>
          </w:p>
        </w:tc>
        <w:tc>
          <w:tcPr>
            <w:tcW w:w="1512" w:type="dxa"/>
            <w:vAlign w:val="center"/>
          </w:tcPr>
          <w:p w14:paraId="0C2DCA4F" w14:textId="082DEDFE" w:rsidR="00B62CD2" w:rsidRPr="00886131" w:rsidRDefault="00F07954" w:rsidP="00B62CD2">
            <w:pPr>
              <w:pStyle w:val="Footer"/>
              <w:tabs>
                <w:tab w:val="clear" w:pos="4153"/>
                <w:tab w:val="clear" w:pos="8306"/>
                <w:tab w:val="decimal" w:pos="1026"/>
              </w:tabs>
              <w:jc w:val="right"/>
              <w:rPr>
                <w:szCs w:val="24"/>
              </w:rPr>
            </w:pPr>
            <w:r>
              <w:rPr>
                <w:szCs w:val="24"/>
              </w:rPr>
              <w:t>62</w:t>
            </w:r>
          </w:p>
        </w:tc>
        <w:tc>
          <w:tcPr>
            <w:tcW w:w="1465" w:type="dxa"/>
            <w:vAlign w:val="center"/>
          </w:tcPr>
          <w:p w14:paraId="53B6FCE2" w14:textId="639A6817" w:rsidR="00B62CD2" w:rsidRPr="00965B02" w:rsidRDefault="00B62CD2" w:rsidP="00B62CD2">
            <w:pPr>
              <w:pStyle w:val="Footer"/>
              <w:tabs>
                <w:tab w:val="clear" w:pos="4153"/>
                <w:tab w:val="clear" w:pos="8306"/>
                <w:tab w:val="decimal" w:pos="1026"/>
              </w:tabs>
              <w:jc w:val="right"/>
              <w:rPr>
                <w:szCs w:val="24"/>
              </w:rPr>
            </w:pPr>
            <w:r w:rsidRPr="0026417B">
              <w:rPr>
                <w:szCs w:val="24"/>
              </w:rPr>
              <w:t>1,280</w:t>
            </w:r>
          </w:p>
        </w:tc>
      </w:tr>
    </w:tbl>
    <w:p w14:paraId="71DBA62D" w14:textId="06339D69" w:rsidR="000F5E3B" w:rsidRPr="00D948C1" w:rsidRDefault="000F5E3B"/>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210760" w:rsidRPr="00D948C1" w14:paraId="7690EDAF" w14:textId="77777777" w:rsidTr="22FF31C3">
        <w:trPr>
          <w:trHeight w:hRule="exact" w:val="300"/>
        </w:trPr>
        <w:tc>
          <w:tcPr>
            <w:tcW w:w="8319" w:type="dxa"/>
            <w:gridSpan w:val="3"/>
            <w:shd w:val="clear" w:color="auto" w:fill="D9D9D9" w:themeFill="background1" w:themeFillShade="D9"/>
          </w:tcPr>
          <w:p w14:paraId="1A1089A4" w14:textId="4CBF5E2E" w:rsidR="00210760" w:rsidRPr="00D948C1" w:rsidRDefault="00210760" w:rsidP="00BC6C4F">
            <w:pPr>
              <w:pStyle w:val="Footer"/>
              <w:tabs>
                <w:tab w:val="clear" w:pos="4153"/>
                <w:tab w:val="clear" w:pos="8306"/>
                <w:tab w:val="decimal" w:pos="1121"/>
              </w:tabs>
              <w:rPr>
                <w:b/>
                <w:bCs/>
                <w:szCs w:val="24"/>
              </w:rPr>
            </w:pPr>
            <w:r w:rsidRPr="00D948C1">
              <w:rPr>
                <w:b/>
                <w:bCs/>
                <w:szCs w:val="24"/>
              </w:rPr>
              <w:t>Capital investment:</w:t>
            </w:r>
          </w:p>
        </w:tc>
      </w:tr>
      <w:tr w:rsidR="00B62CD2" w:rsidRPr="00D948C1" w14:paraId="0C727D8C" w14:textId="77777777" w:rsidTr="22FF31C3">
        <w:trPr>
          <w:trHeight w:hRule="exact" w:val="300"/>
        </w:trPr>
        <w:tc>
          <w:tcPr>
            <w:tcW w:w="5342" w:type="dxa"/>
          </w:tcPr>
          <w:p w14:paraId="30FB4A03" w14:textId="77777777" w:rsidR="00B62CD2" w:rsidRPr="00D948C1" w:rsidRDefault="00B62CD2" w:rsidP="00B62CD2">
            <w:pPr>
              <w:rPr>
                <w:szCs w:val="24"/>
              </w:rPr>
            </w:pPr>
            <w:r w:rsidRPr="00D948C1">
              <w:rPr>
                <w:szCs w:val="24"/>
              </w:rPr>
              <w:t>Property, Plant &amp; Equipment*</w:t>
            </w:r>
          </w:p>
        </w:tc>
        <w:tc>
          <w:tcPr>
            <w:tcW w:w="1512" w:type="dxa"/>
            <w:vAlign w:val="center"/>
          </w:tcPr>
          <w:p w14:paraId="33531D3F" w14:textId="0E25C2FB" w:rsidR="00B62CD2" w:rsidRPr="00886131" w:rsidRDefault="00163091" w:rsidP="00B62CD2">
            <w:pPr>
              <w:pStyle w:val="Footer"/>
              <w:tabs>
                <w:tab w:val="clear" w:pos="4153"/>
                <w:tab w:val="clear" w:pos="8306"/>
                <w:tab w:val="decimal" w:pos="1026"/>
              </w:tabs>
              <w:jc w:val="right"/>
              <w:rPr>
                <w:szCs w:val="24"/>
              </w:rPr>
            </w:pPr>
            <w:r w:rsidRPr="00163091">
              <w:rPr>
                <w:szCs w:val="24"/>
              </w:rPr>
              <w:t>6,040</w:t>
            </w:r>
          </w:p>
        </w:tc>
        <w:tc>
          <w:tcPr>
            <w:tcW w:w="1465" w:type="dxa"/>
            <w:vAlign w:val="center"/>
          </w:tcPr>
          <w:p w14:paraId="63FC3E7B" w14:textId="6E0DA7D4" w:rsidR="00B62CD2" w:rsidRPr="002004D2" w:rsidRDefault="00B62CD2" w:rsidP="00B62CD2">
            <w:pPr>
              <w:pStyle w:val="Footer"/>
              <w:tabs>
                <w:tab w:val="clear" w:pos="4153"/>
                <w:tab w:val="clear" w:pos="8306"/>
                <w:tab w:val="decimal" w:pos="1026"/>
              </w:tabs>
              <w:jc w:val="right"/>
              <w:rPr>
                <w:szCs w:val="24"/>
              </w:rPr>
            </w:pPr>
            <w:r w:rsidRPr="0026417B">
              <w:rPr>
                <w:szCs w:val="24"/>
              </w:rPr>
              <w:t>4,02</w:t>
            </w:r>
            <w:r w:rsidRPr="00886131">
              <w:rPr>
                <w:szCs w:val="24"/>
              </w:rPr>
              <w:t>8</w:t>
            </w:r>
          </w:p>
        </w:tc>
      </w:tr>
      <w:tr w:rsidR="00B62CD2" w:rsidRPr="00D948C1" w14:paraId="5798D909" w14:textId="77777777" w:rsidTr="22FF31C3">
        <w:trPr>
          <w:trHeight w:hRule="exact" w:val="300"/>
        </w:trPr>
        <w:tc>
          <w:tcPr>
            <w:tcW w:w="5342" w:type="dxa"/>
          </w:tcPr>
          <w:p w14:paraId="1F472666" w14:textId="77777777" w:rsidR="00B62CD2" w:rsidRPr="00D948C1" w:rsidRDefault="00B62CD2" w:rsidP="00B62CD2">
            <w:pPr>
              <w:rPr>
                <w:szCs w:val="24"/>
              </w:rPr>
            </w:pPr>
            <w:r w:rsidRPr="00D948C1">
              <w:rPr>
                <w:szCs w:val="24"/>
              </w:rPr>
              <w:t>Intangible assets*</w:t>
            </w:r>
          </w:p>
        </w:tc>
        <w:tc>
          <w:tcPr>
            <w:tcW w:w="1512" w:type="dxa"/>
            <w:vAlign w:val="center"/>
          </w:tcPr>
          <w:p w14:paraId="0798D5EC" w14:textId="09A44757" w:rsidR="00B62CD2" w:rsidRPr="00886131" w:rsidRDefault="001F0FDF" w:rsidP="00B62CD2">
            <w:pPr>
              <w:pStyle w:val="Footer"/>
              <w:tabs>
                <w:tab w:val="clear" w:pos="4153"/>
                <w:tab w:val="clear" w:pos="8306"/>
                <w:tab w:val="decimal" w:pos="1026"/>
              </w:tabs>
              <w:jc w:val="right"/>
              <w:rPr>
                <w:szCs w:val="24"/>
              </w:rPr>
            </w:pPr>
            <w:r>
              <w:rPr>
                <w:szCs w:val="24"/>
              </w:rPr>
              <w:t>173</w:t>
            </w:r>
          </w:p>
        </w:tc>
        <w:tc>
          <w:tcPr>
            <w:tcW w:w="1465" w:type="dxa"/>
            <w:vAlign w:val="center"/>
          </w:tcPr>
          <w:p w14:paraId="17A774DA" w14:textId="31C5B244" w:rsidR="00B62CD2" w:rsidRPr="002004D2" w:rsidRDefault="00B62CD2" w:rsidP="00B62CD2">
            <w:pPr>
              <w:pStyle w:val="Footer"/>
              <w:tabs>
                <w:tab w:val="clear" w:pos="4153"/>
                <w:tab w:val="clear" w:pos="8306"/>
                <w:tab w:val="decimal" w:pos="1026"/>
              </w:tabs>
              <w:jc w:val="right"/>
              <w:rPr>
                <w:szCs w:val="24"/>
              </w:rPr>
            </w:pPr>
            <w:r w:rsidRPr="0026417B">
              <w:rPr>
                <w:szCs w:val="24"/>
              </w:rPr>
              <w:t>233</w:t>
            </w:r>
          </w:p>
        </w:tc>
      </w:tr>
      <w:tr w:rsidR="005D5986" w:rsidRPr="00D948C1" w14:paraId="6B3177D3" w14:textId="77777777" w:rsidTr="22FF31C3">
        <w:trPr>
          <w:trHeight w:hRule="exact" w:val="300"/>
        </w:trPr>
        <w:tc>
          <w:tcPr>
            <w:tcW w:w="5342" w:type="dxa"/>
          </w:tcPr>
          <w:p w14:paraId="00384B93" w14:textId="5B392CF4" w:rsidR="005D5986" w:rsidRPr="00D948C1" w:rsidRDefault="001D50A4" w:rsidP="00B62CD2">
            <w:pPr>
              <w:rPr>
                <w:szCs w:val="24"/>
              </w:rPr>
            </w:pPr>
            <w:r w:rsidRPr="001D50A4">
              <w:rPr>
                <w:szCs w:val="24"/>
              </w:rPr>
              <w:t>NWFC Intangible opening balance correction</w:t>
            </w:r>
          </w:p>
        </w:tc>
        <w:tc>
          <w:tcPr>
            <w:tcW w:w="1512" w:type="dxa"/>
            <w:vAlign w:val="center"/>
          </w:tcPr>
          <w:p w14:paraId="0AB80904" w14:textId="6CF997FD" w:rsidR="005D5986" w:rsidRDefault="005D5986" w:rsidP="00B62CD2">
            <w:pPr>
              <w:pStyle w:val="Footer"/>
              <w:tabs>
                <w:tab w:val="clear" w:pos="4153"/>
                <w:tab w:val="clear" w:pos="8306"/>
                <w:tab w:val="decimal" w:pos="1026"/>
              </w:tabs>
              <w:jc w:val="right"/>
              <w:rPr>
                <w:szCs w:val="24"/>
              </w:rPr>
            </w:pPr>
            <w:r w:rsidRPr="005D5986">
              <w:rPr>
                <w:szCs w:val="24"/>
              </w:rPr>
              <w:t>(108)</w:t>
            </w:r>
          </w:p>
        </w:tc>
        <w:tc>
          <w:tcPr>
            <w:tcW w:w="1465" w:type="dxa"/>
            <w:vAlign w:val="center"/>
          </w:tcPr>
          <w:p w14:paraId="513EA449" w14:textId="3E48C364" w:rsidR="005D5986" w:rsidRPr="0026417B" w:rsidRDefault="005D5986" w:rsidP="00B62CD2">
            <w:pPr>
              <w:pStyle w:val="Footer"/>
              <w:tabs>
                <w:tab w:val="clear" w:pos="4153"/>
                <w:tab w:val="clear" w:pos="8306"/>
                <w:tab w:val="decimal" w:pos="1026"/>
              </w:tabs>
              <w:jc w:val="right"/>
              <w:rPr>
                <w:szCs w:val="24"/>
              </w:rPr>
            </w:pPr>
            <w:r>
              <w:rPr>
                <w:szCs w:val="24"/>
              </w:rPr>
              <w:t>-</w:t>
            </w:r>
          </w:p>
        </w:tc>
      </w:tr>
    </w:tbl>
    <w:p w14:paraId="1282F82C" w14:textId="31EDF97A" w:rsidR="00372872" w:rsidRPr="00D948C1" w:rsidRDefault="00372872"/>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210760" w:rsidRPr="00D948C1" w14:paraId="3B476701" w14:textId="77777777" w:rsidTr="007641BA">
        <w:trPr>
          <w:trHeight w:hRule="exact" w:val="300"/>
        </w:trPr>
        <w:tc>
          <w:tcPr>
            <w:tcW w:w="8319" w:type="dxa"/>
            <w:gridSpan w:val="3"/>
            <w:shd w:val="clear" w:color="auto" w:fill="D9D9D9" w:themeFill="background1" w:themeFillShade="D9"/>
          </w:tcPr>
          <w:p w14:paraId="7A0F1FF9" w14:textId="32599159" w:rsidR="00210760" w:rsidRPr="00D948C1" w:rsidRDefault="00210760" w:rsidP="00BC6C4F">
            <w:pPr>
              <w:pStyle w:val="Footer"/>
              <w:tabs>
                <w:tab w:val="clear" w:pos="4153"/>
                <w:tab w:val="clear" w:pos="8306"/>
                <w:tab w:val="decimal" w:pos="1121"/>
              </w:tabs>
              <w:rPr>
                <w:b/>
                <w:bCs/>
                <w:szCs w:val="24"/>
              </w:rPr>
            </w:pPr>
            <w:r w:rsidRPr="00D948C1">
              <w:rPr>
                <w:b/>
                <w:bCs/>
                <w:szCs w:val="24"/>
              </w:rPr>
              <w:t>Sources of Finance:</w:t>
            </w:r>
          </w:p>
        </w:tc>
      </w:tr>
      <w:tr w:rsidR="001D2C05" w:rsidRPr="00D948C1" w14:paraId="742CCF4D" w14:textId="77777777" w:rsidTr="00C42769">
        <w:trPr>
          <w:trHeight w:hRule="exact" w:val="300"/>
        </w:trPr>
        <w:tc>
          <w:tcPr>
            <w:tcW w:w="5342" w:type="dxa"/>
          </w:tcPr>
          <w:p w14:paraId="6B1C30AB" w14:textId="6DFA1916" w:rsidR="001D2C05" w:rsidRPr="00D948C1" w:rsidRDefault="001D2C05" w:rsidP="001D2C05">
            <w:pPr>
              <w:pStyle w:val="Footer"/>
              <w:tabs>
                <w:tab w:val="clear" w:pos="4153"/>
                <w:tab w:val="clear" w:pos="8306"/>
              </w:tabs>
              <w:rPr>
                <w:szCs w:val="24"/>
              </w:rPr>
            </w:pPr>
            <w:r w:rsidRPr="00D948C1">
              <w:rPr>
                <w:szCs w:val="24"/>
              </w:rPr>
              <w:t>Revenue contributions to capital</w:t>
            </w:r>
          </w:p>
        </w:tc>
        <w:tc>
          <w:tcPr>
            <w:tcW w:w="1512" w:type="dxa"/>
            <w:vAlign w:val="center"/>
          </w:tcPr>
          <w:p w14:paraId="33840250" w14:textId="780901AF" w:rsidR="001D2C05" w:rsidRPr="00886131" w:rsidRDefault="00FF4BCA" w:rsidP="001D2C05">
            <w:pPr>
              <w:pStyle w:val="Footer"/>
              <w:tabs>
                <w:tab w:val="clear" w:pos="4153"/>
                <w:tab w:val="clear" w:pos="8306"/>
                <w:tab w:val="decimal" w:pos="1026"/>
              </w:tabs>
              <w:jc w:val="right"/>
              <w:rPr>
                <w:szCs w:val="24"/>
              </w:rPr>
            </w:pPr>
            <w:r>
              <w:rPr>
                <w:szCs w:val="24"/>
              </w:rPr>
              <w:t>(3,079)</w:t>
            </w:r>
          </w:p>
        </w:tc>
        <w:tc>
          <w:tcPr>
            <w:tcW w:w="1465" w:type="dxa"/>
            <w:vAlign w:val="center"/>
          </w:tcPr>
          <w:p w14:paraId="27A90FD5" w14:textId="783667B6" w:rsidR="001D2C05" w:rsidRPr="002004D2" w:rsidRDefault="001D2C05" w:rsidP="001D2C05">
            <w:pPr>
              <w:pStyle w:val="Footer"/>
              <w:tabs>
                <w:tab w:val="clear" w:pos="4153"/>
                <w:tab w:val="clear" w:pos="8306"/>
                <w:tab w:val="decimal" w:pos="1026"/>
              </w:tabs>
              <w:jc w:val="right"/>
              <w:rPr>
                <w:szCs w:val="24"/>
              </w:rPr>
            </w:pPr>
            <w:r w:rsidRPr="0026417B">
              <w:rPr>
                <w:szCs w:val="24"/>
              </w:rPr>
              <w:t>(3,000)</w:t>
            </w:r>
          </w:p>
        </w:tc>
      </w:tr>
      <w:tr w:rsidR="001D2C05" w:rsidRPr="00D948C1" w14:paraId="44787C09" w14:textId="77777777" w:rsidTr="00C42769">
        <w:trPr>
          <w:trHeight w:hRule="exact" w:val="300"/>
        </w:trPr>
        <w:tc>
          <w:tcPr>
            <w:tcW w:w="5342" w:type="dxa"/>
          </w:tcPr>
          <w:p w14:paraId="443EEAFA" w14:textId="2413B158" w:rsidR="001D2C05" w:rsidRPr="00D948C1" w:rsidRDefault="001D2C05" w:rsidP="001D2C05">
            <w:pPr>
              <w:pStyle w:val="Footer"/>
              <w:tabs>
                <w:tab w:val="clear" w:pos="4153"/>
                <w:tab w:val="clear" w:pos="8306"/>
              </w:tabs>
              <w:rPr>
                <w:szCs w:val="24"/>
              </w:rPr>
            </w:pPr>
            <w:r w:rsidRPr="00D948C1">
              <w:rPr>
                <w:szCs w:val="24"/>
              </w:rPr>
              <w:t>Funding from earmarked reserves</w:t>
            </w:r>
          </w:p>
        </w:tc>
        <w:tc>
          <w:tcPr>
            <w:tcW w:w="1512" w:type="dxa"/>
            <w:vAlign w:val="center"/>
          </w:tcPr>
          <w:p w14:paraId="3CC95881" w14:textId="5BB47BB5" w:rsidR="001D2C05" w:rsidRPr="00886131" w:rsidRDefault="00FF4BCA" w:rsidP="001D2C05">
            <w:pPr>
              <w:pStyle w:val="Footer"/>
              <w:tabs>
                <w:tab w:val="clear" w:pos="4153"/>
                <w:tab w:val="clear" w:pos="8306"/>
                <w:tab w:val="decimal" w:pos="1026"/>
              </w:tabs>
              <w:jc w:val="right"/>
              <w:rPr>
                <w:szCs w:val="24"/>
              </w:rPr>
            </w:pPr>
            <w:r>
              <w:rPr>
                <w:szCs w:val="24"/>
              </w:rPr>
              <w:t>(3,026)</w:t>
            </w:r>
          </w:p>
        </w:tc>
        <w:tc>
          <w:tcPr>
            <w:tcW w:w="1465" w:type="dxa"/>
            <w:vAlign w:val="center"/>
          </w:tcPr>
          <w:p w14:paraId="135524FB" w14:textId="5A8CB531" w:rsidR="001D2C05" w:rsidRPr="002004D2" w:rsidRDefault="001D2C05" w:rsidP="001D2C05">
            <w:pPr>
              <w:pStyle w:val="Footer"/>
              <w:tabs>
                <w:tab w:val="clear" w:pos="4153"/>
                <w:tab w:val="clear" w:pos="8306"/>
                <w:tab w:val="decimal" w:pos="1026"/>
              </w:tabs>
              <w:jc w:val="right"/>
              <w:rPr>
                <w:szCs w:val="24"/>
              </w:rPr>
            </w:pPr>
            <w:r>
              <w:rPr>
                <w:szCs w:val="24"/>
              </w:rPr>
              <w:t>(1,261)</w:t>
            </w:r>
          </w:p>
        </w:tc>
      </w:tr>
      <w:tr w:rsidR="001D2C05" w:rsidRPr="00D948C1" w14:paraId="7F7B5646" w14:textId="77777777" w:rsidTr="00C42769">
        <w:trPr>
          <w:trHeight w:hRule="exact" w:val="300"/>
        </w:trPr>
        <w:tc>
          <w:tcPr>
            <w:tcW w:w="5342" w:type="dxa"/>
          </w:tcPr>
          <w:p w14:paraId="4CC4F6CC" w14:textId="76727B99" w:rsidR="001D2C05" w:rsidRPr="00D948C1" w:rsidRDefault="001D2C05" w:rsidP="001D2C05">
            <w:pPr>
              <w:pStyle w:val="Footer"/>
              <w:tabs>
                <w:tab w:val="clear" w:pos="4153"/>
                <w:tab w:val="clear" w:pos="8306"/>
              </w:tabs>
              <w:rPr>
                <w:szCs w:val="24"/>
              </w:rPr>
            </w:pPr>
            <w:r w:rsidRPr="00D948C1">
              <w:rPr>
                <w:szCs w:val="24"/>
              </w:rPr>
              <w:t>Capital receipts</w:t>
            </w:r>
          </w:p>
        </w:tc>
        <w:tc>
          <w:tcPr>
            <w:tcW w:w="1512" w:type="dxa"/>
            <w:vAlign w:val="center"/>
          </w:tcPr>
          <w:p w14:paraId="3B3CCC46" w14:textId="35FAB688" w:rsidR="001D2C05" w:rsidRPr="00886131" w:rsidRDefault="00FF4BCA" w:rsidP="001D2C05">
            <w:pPr>
              <w:pStyle w:val="Footer"/>
              <w:tabs>
                <w:tab w:val="clear" w:pos="4153"/>
                <w:tab w:val="clear" w:pos="8306"/>
                <w:tab w:val="decimal" w:pos="1026"/>
              </w:tabs>
              <w:jc w:val="right"/>
              <w:rPr>
                <w:szCs w:val="24"/>
              </w:rPr>
            </w:pPr>
            <w:r>
              <w:rPr>
                <w:szCs w:val="24"/>
              </w:rPr>
              <w:t>-</w:t>
            </w:r>
          </w:p>
        </w:tc>
        <w:tc>
          <w:tcPr>
            <w:tcW w:w="1465" w:type="dxa"/>
            <w:vAlign w:val="center"/>
          </w:tcPr>
          <w:p w14:paraId="26755CF1" w14:textId="75C27069" w:rsidR="001D2C05" w:rsidRPr="002004D2" w:rsidRDefault="001D2C05" w:rsidP="001D2C05">
            <w:pPr>
              <w:pStyle w:val="Footer"/>
              <w:tabs>
                <w:tab w:val="clear" w:pos="4153"/>
                <w:tab w:val="clear" w:pos="8306"/>
                <w:tab w:val="decimal" w:pos="1026"/>
              </w:tabs>
              <w:jc w:val="right"/>
              <w:rPr>
                <w:szCs w:val="24"/>
              </w:rPr>
            </w:pPr>
            <w:r w:rsidRPr="0026417B">
              <w:rPr>
                <w:szCs w:val="24"/>
              </w:rPr>
              <w:t>-</w:t>
            </w:r>
          </w:p>
        </w:tc>
      </w:tr>
      <w:tr w:rsidR="001D2C05" w:rsidRPr="00D948C1" w14:paraId="74DEB076" w14:textId="77777777" w:rsidTr="008B00BF">
        <w:trPr>
          <w:trHeight w:hRule="exact" w:val="300"/>
        </w:trPr>
        <w:tc>
          <w:tcPr>
            <w:tcW w:w="5342" w:type="dxa"/>
          </w:tcPr>
          <w:p w14:paraId="7619B574" w14:textId="20B972EF" w:rsidR="001D2C05" w:rsidRPr="00D948C1" w:rsidRDefault="001D2C05" w:rsidP="001D2C05">
            <w:pPr>
              <w:pStyle w:val="Footer"/>
              <w:tabs>
                <w:tab w:val="clear" w:pos="4153"/>
                <w:tab w:val="clear" w:pos="8306"/>
              </w:tabs>
              <w:rPr>
                <w:szCs w:val="24"/>
              </w:rPr>
            </w:pPr>
            <w:r w:rsidRPr="00D948C1">
              <w:rPr>
                <w:szCs w:val="24"/>
              </w:rPr>
              <w:t>MRP</w:t>
            </w:r>
          </w:p>
        </w:tc>
        <w:tc>
          <w:tcPr>
            <w:tcW w:w="1512" w:type="dxa"/>
            <w:vAlign w:val="center"/>
          </w:tcPr>
          <w:p w14:paraId="53532657" w14:textId="64F5C046" w:rsidR="001D2C05" w:rsidRPr="00886131" w:rsidRDefault="007B4B7F" w:rsidP="001D2C05">
            <w:pPr>
              <w:pStyle w:val="Footer"/>
              <w:tabs>
                <w:tab w:val="clear" w:pos="4153"/>
                <w:tab w:val="clear" w:pos="8306"/>
                <w:tab w:val="decimal" w:pos="1026"/>
              </w:tabs>
              <w:jc w:val="right"/>
              <w:rPr>
                <w:szCs w:val="24"/>
              </w:rPr>
            </w:pPr>
            <w:r>
              <w:rPr>
                <w:szCs w:val="24"/>
              </w:rPr>
              <w:t>(670)</w:t>
            </w:r>
          </w:p>
        </w:tc>
        <w:tc>
          <w:tcPr>
            <w:tcW w:w="1465" w:type="dxa"/>
            <w:vAlign w:val="center"/>
          </w:tcPr>
          <w:p w14:paraId="3F72E70C" w14:textId="4A8A46FA" w:rsidR="001D2C05" w:rsidRPr="002004D2" w:rsidRDefault="001D2C05" w:rsidP="001D2C05">
            <w:pPr>
              <w:pStyle w:val="Footer"/>
              <w:tabs>
                <w:tab w:val="clear" w:pos="4153"/>
                <w:tab w:val="clear" w:pos="8306"/>
                <w:tab w:val="decimal" w:pos="1026"/>
              </w:tabs>
              <w:jc w:val="right"/>
              <w:rPr>
                <w:szCs w:val="24"/>
              </w:rPr>
            </w:pPr>
            <w:r w:rsidRPr="0026417B">
              <w:rPr>
                <w:szCs w:val="24"/>
              </w:rPr>
              <w:t>(606)</w:t>
            </w:r>
          </w:p>
        </w:tc>
      </w:tr>
      <w:tr w:rsidR="001D2C05" w:rsidRPr="00D948C1" w14:paraId="4A4BAED0" w14:textId="77777777" w:rsidTr="008B00BF">
        <w:trPr>
          <w:trHeight w:hRule="exact" w:val="300"/>
        </w:trPr>
        <w:tc>
          <w:tcPr>
            <w:tcW w:w="5342" w:type="dxa"/>
          </w:tcPr>
          <w:p w14:paraId="1E249E53" w14:textId="7F12B756" w:rsidR="001D2C05" w:rsidRPr="00D948C1" w:rsidRDefault="001D2C05" w:rsidP="001D2C05">
            <w:pPr>
              <w:rPr>
                <w:szCs w:val="24"/>
              </w:rPr>
            </w:pPr>
            <w:r w:rsidRPr="00D948C1">
              <w:rPr>
                <w:szCs w:val="24"/>
              </w:rPr>
              <w:t>Closing Capital Financing Requirement</w:t>
            </w:r>
          </w:p>
        </w:tc>
        <w:tc>
          <w:tcPr>
            <w:tcW w:w="1512" w:type="dxa"/>
            <w:vAlign w:val="center"/>
          </w:tcPr>
          <w:p w14:paraId="7DDA8893" w14:textId="343BEE35" w:rsidR="001D2C05" w:rsidRPr="0026417B" w:rsidRDefault="007B4B7F" w:rsidP="001D2C05">
            <w:pPr>
              <w:pStyle w:val="Footer"/>
              <w:tabs>
                <w:tab w:val="clear" w:pos="4153"/>
                <w:tab w:val="clear" w:pos="8306"/>
                <w:tab w:val="decimal" w:pos="1026"/>
              </w:tabs>
              <w:jc w:val="right"/>
              <w:rPr>
                <w:szCs w:val="24"/>
              </w:rPr>
            </w:pPr>
            <w:r>
              <w:rPr>
                <w:szCs w:val="24"/>
              </w:rPr>
              <w:t>11,832</w:t>
            </w:r>
          </w:p>
        </w:tc>
        <w:tc>
          <w:tcPr>
            <w:tcW w:w="1465" w:type="dxa"/>
            <w:vAlign w:val="center"/>
          </w:tcPr>
          <w:p w14:paraId="1CE0EB47" w14:textId="4D2FACAD" w:rsidR="001D2C05" w:rsidRPr="002004D2" w:rsidRDefault="001D2C05" w:rsidP="001D2C05">
            <w:pPr>
              <w:pStyle w:val="Footer"/>
              <w:tabs>
                <w:tab w:val="clear" w:pos="4153"/>
                <w:tab w:val="clear" w:pos="8306"/>
                <w:tab w:val="decimal" w:pos="1026"/>
              </w:tabs>
              <w:jc w:val="right"/>
              <w:rPr>
                <w:szCs w:val="24"/>
              </w:rPr>
            </w:pPr>
            <w:r w:rsidRPr="00F46B17">
              <w:rPr>
                <w:szCs w:val="24"/>
              </w:rPr>
              <w:t>12,440</w:t>
            </w:r>
          </w:p>
        </w:tc>
      </w:tr>
    </w:tbl>
    <w:p w14:paraId="45777225" w14:textId="77777777" w:rsidR="00372872" w:rsidRPr="00D948C1" w:rsidRDefault="00372872"/>
    <w:tbl>
      <w:tblPr>
        <w:tblW w:w="831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12"/>
        <w:gridCol w:w="1465"/>
      </w:tblGrid>
      <w:tr w:rsidR="00210760" w:rsidRPr="00D948C1" w14:paraId="15B2B2CA" w14:textId="77777777" w:rsidTr="007641BA">
        <w:trPr>
          <w:trHeight w:hRule="exact" w:val="300"/>
        </w:trPr>
        <w:tc>
          <w:tcPr>
            <w:tcW w:w="8319" w:type="dxa"/>
            <w:gridSpan w:val="3"/>
            <w:shd w:val="clear" w:color="auto" w:fill="D9D9D9" w:themeFill="background1" w:themeFillShade="D9"/>
          </w:tcPr>
          <w:p w14:paraId="78750EDA" w14:textId="617CD4EC" w:rsidR="00210760" w:rsidRPr="00D948C1" w:rsidRDefault="00210760" w:rsidP="00BC6C4F">
            <w:pPr>
              <w:pStyle w:val="Footer"/>
              <w:tabs>
                <w:tab w:val="clear" w:pos="4153"/>
                <w:tab w:val="clear" w:pos="8306"/>
                <w:tab w:val="decimal" w:pos="1026"/>
              </w:tabs>
              <w:rPr>
                <w:b/>
                <w:bCs/>
                <w:szCs w:val="24"/>
              </w:rPr>
            </w:pPr>
            <w:r w:rsidRPr="00D948C1">
              <w:rPr>
                <w:b/>
                <w:bCs/>
                <w:szCs w:val="24"/>
              </w:rPr>
              <w:t>Explanation of movements in year</w:t>
            </w:r>
          </w:p>
        </w:tc>
      </w:tr>
      <w:tr w:rsidR="003356CB" w:rsidRPr="00D948C1" w14:paraId="202D62FF" w14:textId="77777777" w:rsidTr="00C42769">
        <w:trPr>
          <w:trHeight w:hRule="exact" w:val="856"/>
        </w:trPr>
        <w:tc>
          <w:tcPr>
            <w:tcW w:w="5342" w:type="dxa"/>
          </w:tcPr>
          <w:p w14:paraId="65CC8381" w14:textId="54ED57AC" w:rsidR="003356CB" w:rsidRPr="00D948C1" w:rsidRDefault="003356CB" w:rsidP="003356CB">
            <w:pPr>
              <w:pStyle w:val="Footer"/>
              <w:tabs>
                <w:tab w:val="clear" w:pos="4153"/>
                <w:tab w:val="clear" w:pos="8306"/>
              </w:tabs>
              <w:rPr>
                <w:szCs w:val="24"/>
              </w:rPr>
            </w:pPr>
            <w:r w:rsidRPr="00D948C1">
              <w:rPr>
                <w:szCs w:val="24"/>
              </w:rPr>
              <w:t>(Decrease)</w:t>
            </w:r>
            <w:r w:rsidR="007022F7">
              <w:rPr>
                <w:szCs w:val="24"/>
              </w:rPr>
              <w:t xml:space="preserve"> or i</w:t>
            </w:r>
            <w:r w:rsidRPr="00D948C1">
              <w:rPr>
                <w:szCs w:val="24"/>
              </w:rPr>
              <w:t>ncrease in underlying need to borrow (supported by Government financial assistance)</w:t>
            </w:r>
          </w:p>
        </w:tc>
        <w:tc>
          <w:tcPr>
            <w:tcW w:w="1512" w:type="dxa"/>
            <w:vAlign w:val="center"/>
          </w:tcPr>
          <w:p w14:paraId="71DDD908" w14:textId="7173A273" w:rsidR="003356CB" w:rsidRPr="00886131" w:rsidRDefault="00555315" w:rsidP="003356CB">
            <w:pPr>
              <w:pStyle w:val="Footer"/>
              <w:tabs>
                <w:tab w:val="clear" w:pos="4153"/>
                <w:tab w:val="clear" w:pos="8306"/>
                <w:tab w:val="decimal" w:pos="1121"/>
              </w:tabs>
              <w:jc w:val="right"/>
              <w:rPr>
                <w:szCs w:val="24"/>
              </w:rPr>
            </w:pPr>
            <w:r>
              <w:rPr>
                <w:szCs w:val="24"/>
              </w:rPr>
              <w:t>(670)</w:t>
            </w:r>
          </w:p>
        </w:tc>
        <w:tc>
          <w:tcPr>
            <w:tcW w:w="1465" w:type="dxa"/>
            <w:vAlign w:val="center"/>
          </w:tcPr>
          <w:p w14:paraId="34A860CE" w14:textId="2D051D82" w:rsidR="003356CB" w:rsidRPr="002004D2" w:rsidRDefault="003356CB" w:rsidP="003356CB">
            <w:pPr>
              <w:pStyle w:val="Footer"/>
              <w:tabs>
                <w:tab w:val="clear" w:pos="4153"/>
                <w:tab w:val="clear" w:pos="8306"/>
                <w:tab w:val="decimal" w:pos="1121"/>
              </w:tabs>
              <w:jc w:val="right"/>
              <w:rPr>
                <w:szCs w:val="24"/>
              </w:rPr>
            </w:pPr>
            <w:r w:rsidRPr="0026417B">
              <w:rPr>
                <w:szCs w:val="24"/>
              </w:rPr>
              <w:t>(606)</w:t>
            </w:r>
          </w:p>
        </w:tc>
      </w:tr>
      <w:tr w:rsidR="003356CB" w:rsidRPr="00D948C1" w14:paraId="24C0FB82" w14:textId="77777777" w:rsidTr="00C42769">
        <w:trPr>
          <w:trHeight w:hRule="exact" w:val="300"/>
        </w:trPr>
        <w:tc>
          <w:tcPr>
            <w:tcW w:w="5342" w:type="dxa"/>
          </w:tcPr>
          <w:p w14:paraId="6016CF86" w14:textId="3981ED08" w:rsidR="003356CB" w:rsidRPr="00D948C1" w:rsidRDefault="003356CB" w:rsidP="003356CB">
            <w:pPr>
              <w:pStyle w:val="Footer"/>
              <w:tabs>
                <w:tab w:val="clear" w:pos="4153"/>
                <w:tab w:val="clear" w:pos="8306"/>
              </w:tabs>
              <w:rPr>
                <w:szCs w:val="24"/>
              </w:rPr>
            </w:pPr>
            <w:r w:rsidRPr="00D948C1">
              <w:rPr>
                <w:szCs w:val="24"/>
              </w:rPr>
              <w:t>Total</w:t>
            </w:r>
          </w:p>
        </w:tc>
        <w:tc>
          <w:tcPr>
            <w:tcW w:w="1512" w:type="dxa"/>
            <w:vAlign w:val="center"/>
          </w:tcPr>
          <w:p w14:paraId="6624257D" w14:textId="083D1F9B" w:rsidR="003356CB" w:rsidRPr="0026417B" w:rsidRDefault="00555315" w:rsidP="003356CB">
            <w:pPr>
              <w:pStyle w:val="Footer"/>
              <w:tabs>
                <w:tab w:val="clear" w:pos="4153"/>
                <w:tab w:val="clear" w:pos="8306"/>
                <w:tab w:val="decimal" w:pos="1026"/>
              </w:tabs>
              <w:jc w:val="right"/>
              <w:rPr>
                <w:szCs w:val="24"/>
              </w:rPr>
            </w:pPr>
            <w:r>
              <w:rPr>
                <w:szCs w:val="24"/>
              </w:rPr>
              <w:t>(670)</w:t>
            </w:r>
          </w:p>
        </w:tc>
        <w:tc>
          <w:tcPr>
            <w:tcW w:w="1465" w:type="dxa"/>
            <w:vAlign w:val="center"/>
          </w:tcPr>
          <w:p w14:paraId="13BF1623" w14:textId="301AF63B" w:rsidR="003356CB" w:rsidRPr="002004D2" w:rsidRDefault="003356CB" w:rsidP="003356CB">
            <w:pPr>
              <w:pStyle w:val="Footer"/>
              <w:tabs>
                <w:tab w:val="clear" w:pos="4153"/>
                <w:tab w:val="clear" w:pos="8306"/>
                <w:tab w:val="decimal" w:pos="1026"/>
              </w:tabs>
              <w:jc w:val="right"/>
              <w:rPr>
                <w:szCs w:val="24"/>
              </w:rPr>
            </w:pPr>
            <w:r w:rsidRPr="00F46B17">
              <w:rPr>
                <w:szCs w:val="24"/>
              </w:rPr>
              <w:t>(606)</w:t>
            </w:r>
          </w:p>
        </w:tc>
      </w:tr>
    </w:tbl>
    <w:p w14:paraId="1E6AF6A1" w14:textId="0FEE729B" w:rsidR="00073CDA" w:rsidRPr="00B62CD2" w:rsidRDefault="00891EA6" w:rsidP="00B62CD2">
      <w:pPr>
        <w:ind w:left="720"/>
        <w:rPr>
          <w:szCs w:val="24"/>
        </w:rPr>
      </w:pPr>
      <w:r>
        <w:rPr>
          <w:szCs w:val="24"/>
        </w:rPr>
        <w:t>*</w:t>
      </w:r>
      <w:r w:rsidR="004F149A" w:rsidRPr="00891EA6">
        <w:rPr>
          <w:szCs w:val="24"/>
        </w:rPr>
        <w:t xml:space="preserve">Includes NWFC </w:t>
      </w:r>
      <w:r w:rsidR="005436A9" w:rsidRPr="00891EA6">
        <w:rPr>
          <w:szCs w:val="24"/>
        </w:rPr>
        <w:t>balances.</w:t>
      </w:r>
      <w:r w:rsidR="00073CDA">
        <w:rPr>
          <w:b/>
          <w:bCs/>
        </w:rPr>
        <w:br w:type="page"/>
      </w:r>
    </w:p>
    <w:p w14:paraId="38B09E12" w14:textId="592C39EA" w:rsidR="00D90216" w:rsidRPr="007B45BF" w:rsidRDefault="00D90216" w:rsidP="003278CF">
      <w:pPr>
        <w:ind w:firstLine="720"/>
        <w:rPr>
          <w:b/>
        </w:rPr>
      </w:pPr>
      <w:r w:rsidRPr="413366D6">
        <w:rPr>
          <w:b/>
        </w:rPr>
        <w:lastRenderedPageBreak/>
        <w:t>Details of Assets Held</w:t>
      </w:r>
    </w:p>
    <w:p w14:paraId="6AACFDD7" w14:textId="77777777" w:rsidR="00D90216" w:rsidRPr="007B45BF" w:rsidRDefault="00D90216" w:rsidP="00210760">
      <w:pPr>
        <w:ind w:left="720"/>
      </w:pPr>
    </w:p>
    <w:p w14:paraId="09931120" w14:textId="77777777" w:rsidR="00D90216" w:rsidRPr="00D948C1" w:rsidRDefault="00D90216" w:rsidP="00210760">
      <w:pPr>
        <w:ind w:left="720"/>
      </w:pPr>
      <w:r>
        <w:t>The number of main assets held by the Authority are shown below:</w:t>
      </w:r>
    </w:p>
    <w:p w14:paraId="6A04C14E" w14:textId="77777777" w:rsidR="00D90216" w:rsidRPr="00D948C1" w:rsidRDefault="00D90216" w:rsidP="00D90216">
      <w:pPr>
        <w:ind w:left="720"/>
        <w:rPr>
          <w:sz w:val="22"/>
        </w:rPr>
      </w:pPr>
    </w:p>
    <w:tbl>
      <w:tblPr>
        <w:tblW w:w="86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5"/>
        <w:gridCol w:w="1560"/>
        <w:gridCol w:w="1417"/>
      </w:tblGrid>
      <w:tr w:rsidR="00174738" w:rsidRPr="00D948C1" w14:paraId="63715B59" w14:textId="77777777" w:rsidTr="00611673">
        <w:trPr>
          <w:trHeight w:hRule="exact" w:val="608"/>
          <w:tblHeader/>
        </w:trPr>
        <w:tc>
          <w:tcPr>
            <w:tcW w:w="5625" w:type="dxa"/>
            <w:shd w:val="clear" w:color="auto" w:fill="BD2716"/>
          </w:tcPr>
          <w:p w14:paraId="5378AE84" w14:textId="77777777" w:rsidR="00174738" w:rsidRPr="00D948C1" w:rsidRDefault="00174738" w:rsidP="00174738">
            <w:pPr>
              <w:rPr>
                <w:color w:val="FFFFFF" w:themeColor="background1"/>
                <w:szCs w:val="24"/>
              </w:rPr>
            </w:pPr>
          </w:p>
        </w:tc>
        <w:tc>
          <w:tcPr>
            <w:tcW w:w="1560" w:type="dxa"/>
            <w:shd w:val="clear" w:color="auto" w:fill="BD2716"/>
            <w:vAlign w:val="center"/>
          </w:tcPr>
          <w:p w14:paraId="74013D40" w14:textId="400D17F9" w:rsidR="00C93FB3" w:rsidRPr="00D948C1" w:rsidRDefault="001A42DD" w:rsidP="00C93FB3">
            <w:pPr>
              <w:pStyle w:val="BodyTextIndent"/>
              <w:ind w:left="0"/>
              <w:jc w:val="right"/>
              <w:rPr>
                <w:color w:val="FFFFFF" w:themeColor="background1"/>
                <w:szCs w:val="24"/>
                <w:lang w:val="en-GB"/>
              </w:rPr>
            </w:pPr>
            <w:r>
              <w:rPr>
                <w:color w:val="FFFFFF" w:themeColor="background1"/>
                <w:szCs w:val="24"/>
                <w:lang w:val="en-GB"/>
              </w:rPr>
              <w:t>2025-26</w:t>
            </w:r>
          </w:p>
          <w:p w14:paraId="57CBEE58" w14:textId="4FD418A8" w:rsidR="00AA6973" w:rsidRPr="00D948C1" w:rsidRDefault="00AA6973" w:rsidP="00611673">
            <w:pPr>
              <w:pStyle w:val="BodyTextIndent"/>
              <w:ind w:left="0"/>
              <w:jc w:val="right"/>
              <w:rPr>
                <w:color w:val="FFFFFF" w:themeColor="background1"/>
                <w:szCs w:val="24"/>
                <w:lang w:val="en-GB"/>
              </w:rPr>
            </w:pPr>
            <w:r w:rsidRPr="00D948C1">
              <w:rPr>
                <w:color w:val="FFFFFF" w:themeColor="background1"/>
                <w:szCs w:val="24"/>
                <w:lang w:val="en-GB"/>
              </w:rPr>
              <w:t>No.</w:t>
            </w:r>
          </w:p>
        </w:tc>
        <w:tc>
          <w:tcPr>
            <w:tcW w:w="1417" w:type="dxa"/>
            <w:shd w:val="clear" w:color="auto" w:fill="BD2716"/>
            <w:vAlign w:val="center"/>
          </w:tcPr>
          <w:p w14:paraId="34B3108A" w14:textId="0CD975B0" w:rsidR="007B45BF" w:rsidRPr="00D948C1" w:rsidRDefault="001A42DD" w:rsidP="007B45BF">
            <w:pPr>
              <w:pStyle w:val="BodyTextIndent"/>
              <w:ind w:left="0"/>
              <w:jc w:val="right"/>
              <w:rPr>
                <w:color w:val="FFFFFF" w:themeColor="background1"/>
                <w:szCs w:val="24"/>
                <w:lang w:val="en-GB"/>
              </w:rPr>
            </w:pPr>
            <w:r>
              <w:rPr>
                <w:color w:val="FFFFFF" w:themeColor="background1"/>
                <w:szCs w:val="24"/>
                <w:lang w:val="en-GB"/>
              </w:rPr>
              <w:t>2024-25</w:t>
            </w:r>
          </w:p>
          <w:p w14:paraId="5C8D1D8E" w14:textId="548E3DAC" w:rsidR="00AA6973" w:rsidRPr="00D948C1" w:rsidRDefault="007B45BF" w:rsidP="007B45BF">
            <w:pPr>
              <w:pStyle w:val="BodyTextIndent"/>
              <w:ind w:left="0"/>
              <w:jc w:val="right"/>
              <w:rPr>
                <w:color w:val="FFFFFF" w:themeColor="background1"/>
                <w:szCs w:val="24"/>
                <w:lang w:val="en-GB"/>
              </w:rPr>
            </w:pPr>
            <w:r w:rsidRPr="00D948C1">
              <w:rPr>
                <w:color w:val="FFFFFF" w:themeColor="background1"/>
                <w:szCs w:val="24"/>
                <w:lang w:val="en-GB"/>
              </w:rPr>
              <w:t>No.</w:t>
            </w:r>
          </w:p>
        </w:tc>
      </w:tr>
      <w:tr w:rsidR="007B45BF" w:rsidRPr="00D948C1" w14:paraId="75ECF98F" w14:textId="77777777" w:rsidTr="00372872">
        <w:trPr>
          <w:trHeight w:hRule="exact" w:val="300"/>
        </w:trPr>
        <w:tc>
          <w:tcPr>
            <w:tcW w:w="5625" w:type="dxa"/>
          </w:tcPr>
          <w:p w14:paraId="0ECA579A" w14:textId="77777777" w:rsidR="007B45BF" w:rsidRPr="00D948C1" w:rsidRDefault="007B45BF" w:rsidP="007B45BF">
            <w:pPr>
              <w:rPr>
                <w:szCs w:val="24"/>
              </w:rPr>
            </w:pPr>
            <w:r w:rsidRPr="00D948C1">
              <w:rPr>
                <w:szCs w:val="24"/>
              </w:rPr>
              <w:t>Headquarters</w:t>
            </w:r>
          </w:p>
        </w:tc>
        <w:tc>
          <w:tcPr>
            <w:tcW w:w="1560" w:type="dxa"/>
            <w:vAlign w:val="center"/>
          </w:tcPr>
          <w:p w14:paraId="038F6280" w14:textId="29363320" w:rsidR="007B45BF" w:rsidRPr="00886131" w:rsidRDefault="00B24ED6" w:rsidP="007B45BF">
            <w:pPr>
              <w:pStyle w:val="Footer"/>
              <w:tabs>
                <w:tab w:val="clear" w:pos="4153"/>
                <w:tab w:val="clear" w:pos="8306"/>
                <w:tab w:val="decimal" w:pos="979"/>
              </w:tabs>
              <w:jc w:val="right"/>
              <w:rPr>
                <w:szCs w:val="24"/>
              </w:rPr>
            </w:pPr>
            <w:r>
              <w:rPr>
                <w:szCs w:val="24"/>
              </w:rPr>
              <w:t>1</w:t>
            </w:r>
          </w:p>
        </w:tc>
        <w:tc>
          <w:tcPr>
            <w:tcW w:w="1417" w:type="dxa"/>
            <w:vAlign w:val="center"/>
          </w:tcPr>
          <w:p w14:paraId="0455E0FF" w14:textId="66A2A65A" w:rsidR="007B45BF" w:rsidRPr="002004D2" w:rsidRDefault="007B45BF" w:rsidP="007B45BF">
            <w:pPr>
              <w:pStyle w:val="Footer"/>
              <w:tabs>
                <w:tab w:val="clear" w:pos="4153"/>
                <w:tab w:val="clear" w:pos="8306"/>
                <w:tab w:val="decimal" w:pos="979"/>
              </w:tabs>
              <w:jc w:val="right"/>
              <w:rPr>
                <w:szCs w:val="24"/>
              </w:rPr>
            </w:pPr>
            <w:r w:rsidRPr="0026417B">
              <w:rPr>
                <w:szCs w:val="24"/>
              </w:rPr>
              <w:t>1</w:t>
            </w:r>
          </w:p>
        </w:tc>
      </w:tr>
      <w:tr w:rsidR="007B45BF" w:rsidRPr="00D948C1" w14:paraId="20428ED7" w14:textId="77777777" w:rsidTr="00372872">
        <w:trPr>
          <w:trHeight w:hRule="exact" w:val="300"/>
        </w:trPr>
        <w:tc>
          <w:tcPr>
            <w:tcW w:w="5625" w:type="dxa"/>
          </w:tcPr>
          <w:p w14:paraId="1F2ED7EA" w14:textId="77777777" w:rsidR="007B45BF" w:rsidRPr="00D948C1" w:rsidRDefault="007B45BF" w:rsidP="007B45BF">
            <w:pPr>
              <w:pStyle w:val="Footer"/>
              <w:tabs>
                <w:tab w:val="clear" w:pos="4153"/>
                <w:tab w:val="clear" w:pos="8306"/>
              </w:tabs>
              <w:rPr>
                <w:szCs w:val="24"/>
              </w:rPr>
            </w:pPr>
            <w:r w:rsidRPr="00D948C1">
              <w:rPr>
                <w:szCs w:val="24"/>
              </w:rPr>
              <w:t>Fire Stations (including Area Headquarters)</w:t>
            </w:r>
          </w:p>
        </w:tc>
        <w:tc>
          <w:tcPr>
            <w:tcW w:w="1560" w:type="dxa"/>
            <w:vAlign w:val="center"/>
          </w:tcPr>
          <w:p w14:paraId="631DF450" w14:textId="7891618D" w:rsidR="007B45BF" w:rsidRPr="00886131" w:rsidRDefault="00B24ED6" w:rsidP="007B45BF">
            <w:pPr>
              <w:pStyle w:val="Footer"/>
              <w:tabs>
                <w:tab w:val="clear" w:pos="4153"/>
                <w:tab w:val="clear" w:pos="8306"/>
                <w:tab w:val="decimal" w:pos="979"/>
              </w:tabs>
              <w:jc w:val="right"/>
              <w:rPr>
                <w:szCs w:val="24"/>
              </w:rPr>
            </w:pPr>
            <w:r>
              <w:rPr>
                <w:szCs w:val="24"/>
              </w:rPr>
              <w:t>39</w:t>
            </w:r>
          </w:p>
        </w:tc>
        <w:tc>
          <w:tcPr>
            <w:tcW w:w="1417" w:type="dxa"/>
            <w:vAlign w:val="center"/>
          </w:tcPr>
          <w:p w14:paraId="79BFC4B4" w14:textId="6547F8EF" w:rsidR="007B45BF" w:rsidRPr="002004D2" w:rsidRDefault="007B45BF" w:rsidP="007B45BF">
            <w:pPr>
              <w:pStyle w:val="Footer"/>
              <w:tabs>
                <w:tab w:val="clear" w:pos="4153"/>
                <w:tab w:val="clear" w:pos="8306"/>
                <w:tab w:val="decimal" w:pos="979"/>
              </w:tabs>
              <w:jc w:val="right"/>
              <w:rPr>
                <w:szCs w:val="24"/>
              </w:rPr>
            </w:pPr>
            <w:r w:rsidRPr="0026417B">
              <w:rPr>
                <w:szCs w:val="24"/>
              </w:rPr>
              <w:t>39</w:t>
            </w:r>
          </w:p>
        </w:tc>
      </w:tr>
      <w:tr w:rsidR="007B45BF" w:rsidRPr="00D948C1" w14:paraId="3347464C" w14:textId="77777777" w:rsidTr="00372872">
        <w:trPr>
          <w:trHeight w:hRule="exact" w:val="300"/>
        </w:trPr>
        <w:tc>
          <w:tcPr>
            <w:tcW w:w="5625" w:type="dxa"/>
          </w:tcPr>
          <w:p w14:paraId="346E9164" w14:textId="77777777" w:rsidR="007B45BF" w:rsidRPr="00D948C1" w:rsidRDefault="007B45BF" w:rsidP="007B45BF">
            <w:pPr>
              <w:rPr>
                <w:szCs w:val="24"/>
              </w:rPr>
            </w:pPr>
            <w:r w:rsidRPr="00D948C1">
              <w:rPr>
                <w:szCs w:val="24"/>
              </w:rPr>
              <w:t>Training School</w:t>
            </w:r>
          </w:p>
        </w:tc>
        <w:tc>
          <w:tcPr>
            <w:tcW w:w="1560" w:type="dxa"/>
          </w:tcPr>
          <w:p w14:paraId="10CC8784" w14:textId="7C584938" w:rsidR="007B45BF" w:rsidRPr="00886131" w:rsidRDefault="00B24ED6" w:rsidP="007B45BF">
            <w:pPr>
              <w:pStyle w:val="Footer"/>
              <w:tabs>
                <w:tab w:val="clear" w:pos="4153"/>
                <w:tab w:val="clear" w:pos="8306"/>
                <w:tab w:val="decimal" w:pos="979"/>
              </w:tabs>
              <w:jc w:val="right"/>
              <w:rPr>
                <w:szCs w:val="24"/>
              </w:rPr>
            </w:pPr>
            <w:r>
              <w:rPr>
                <w:szCs w:val="24"/>
              </w:rPr>
              <w:t>1</w:t>
            </w:r>
          </w:p>
        </w:tc>
        <w:tc>
          <w:tcPr>
            <w:tcW w:w="1417" w:type="dxa"/>
          </w:tcPr>
          <w:p w14:paraId="4D7F8200" w14:textId="66D1AC99" w:rsidR="007B45BF" w:rsidRPr="002004D2" w:rsidRDefault="007B45BF" w:rsidP="007B45BF">
            <w:pPr>
              <w:pStyle w:val="Footer"/>
              <w:tabs>
                <w:tab w:val="clear" w:pos="4153"/>
                <w:tab w:val="clear" w:pos="8306"/>
                <w:tab w:val="decimal" w:pos="979"/>
              </w:tabs>
              <w:jc w:val="right"/>
              <w:rPr>
                <w:szCs w:val="24"/>
              </w:rPr>
            </w:pPr>
            <w:r w:rsidRPr="0026417B">
              <w:rPr>
                <w:szCs w:val="24"/>
              </w:rPr>
              <w:t>1</w:t>
            </w:r>
          </w:p>
        </w:tc>
      </w:tr>
      <w:tr w:rsidR="007B45BF" w:rsidRPr="00D948C1" w14:paraId="46695067" w14:textId="77777777" w:rsidTr="00372872">
        <w:trPr>
          <w:trHeight w:hRule="exact" w:val="300"/>
        </w:trPr>
        <w:tc>
          <w:tcPr>
            <w:tcW w:w="5625" w:type="dxa"/>
          </w:tcPr>
          <w:p w14:paraId="50608F33" w14:textId="77777777" w:rsidR="007B45BF" w:rsidRPr="00D948C1" w:rsidRDefault="007B45BF" w:rsidP="007B45BF">
            <w:pPr>
              <w:rPr>
                <w:szCs w:val="24"/>
              </w:rPr>
            </w:pPr>
            <w:r w:rsidRPr="00D948C1">
              <w:rPr>
                <w:szCs w:val="24"/>
              </w:rPr>
              <w:t>Fire houses</w:t>
            </w:r>
          </w:p>
        </w:tc>
        <w:tc>
          <w:tcPr>
            <w:tcW w:w="1560" w:type="dxa"/>
          </w:tcPr>
          <w:p w14:paraId="23627D35" w14:textId="61FDD1DE" w:rsidR="007B45BF" w:rsidRPr="00886131" w:rsidRDefault="00B24ED6" w:rsidP="007B45BF">
            <w:pPr>
              <w:pStyle w:val="Footer"/>
              <w:tabs>
                <w:tab w:val="clear" w:pos="4153"/>
                <w:tab w:val="clear" w:pos="8306"/>
                <w:tab w:val="decimal" w:pos="979"/>
              </w:tabs>
              <w:jc w:val="right"/>
              <w:rPr>
                <w:szCs w:val="24"/>
              </w:rPr>
            </w:pPr>
            <w:r>
              <w:rPr>
                <w:szCs w:val="24"/>
              </w:rPr>
              <w:t>1</w:t>
            </w:r>
          </w:p>
        </w:tc>
        <w:tc>
          <w:tcPr>
            <w:tcW w:w="1417" w:type="dxa"/>
          </w:tcPr>
          <w:p w14:paraId="53F67051" w14:textId="2358FFDB" w:rsidR="007B45BF" w:rsidRPr="002004D2" w:rsidRDefault="007B45BF" w:rsidP="007B45BF">
            <w:pPr>
              <w:pStyle w:val="Footer"/>
              <w:tabs>
                <w:tab w:val="clear" w:pos="4153"/>
                <w:tab w:val="clear" w:pos="8306"/>
                <w:tab w:val="decimal" w:pos="979"/>
              </w:tabs>
              <w:jc w:val="right"/>
              <w:rPr>
                <w:szCs w:val="24"/>
              </w:rPr>
            </w:pPr>
            <w:r w:rsidRPr="0026417B">
              <w:rPr>
                <w:szCs w:val="24"/>
              </w:rPr>
              <w:t>1</w:t>
            </w:r>
          </w:p>
        </w:tc>
      </w:tr>
    </w:tbl>
    <w:p w14:paraId="48165667" w14:textId="77777777" w:rsidR="00DF2B00" w:rsidRPr="00D948C1" w:rsidRDefault="00DF2B00" w:rsidP="00D90216">
      <w:pPr>
        <w:rPr>
          <w:b/>
          <w:szCs w:val="24"/>
        </w:rPr>
      </w:pPr>
      <w:bookmarkStart w:id="32" w:name="_Hlk140236889"/>
    </w:p>
    <w:p w14:paraId="61549ABD" w14:textId="51E2FB60" w:rsidR="00D90216" w:rsidRPr="00D948C1" w:rsidRDefault="00D90216" w:rsidP="003278CF">
      <w:pPr>
        <w:ind w:firstLine="720"/>
        <w:rPr>
          <w:b/>
          <w:bCs/>
        </w:rPr>
      </w:pPr>
      <w:r w:rsidRPr="7D72473F">
        <w:rPr>
          <w:b/>
        </w:rPr>
        <w:t>Capital Commitments</w:t>
      </w:r>
      <w:r w:rsidRPr="00D948C1">
        <w:rPr>
          <w:b/>
          <w:bCs/>
        </w:rPr>
        <w:t xml:space="preserve"> </w:t>
      </w:r>
    </w:p>
    <w:p w14:paraId="05C13C40" w14:textId="77777777" w:rsidR="00D90216" w:rsidRPr="00D948C1" w:rsidRDefault="00D90216" w:rsidP="00210760">
      <w:pPr>
        <w:ind w:left="720"/>
      </w:pPr>
    </w:p>
    <w:p w14:paraId="613112D4" w14:textId="314A232C" w:rsidR="00D90216" w:rsidRPr="004C1C83" w:rsidRDefault="00D90216" w:rsidP="77119DA7">
      <w:pPr>
        <w:pStyle w:val="BodyTextIndent"/>
        <w:rPr>
          <w:lang w:val="en-GB"/>
        </w:rPr>
      </w:pPr>
      <w:r>
        <w:t xml:space="preserve">Capital projects often take several years to complete, which means that the Authority is committed to capital expenditure in following years arising from contracts </w:t>
      </w:r>
      <w:proofErr w:type="gramStart"/>
      <w:r>
        <w:t>entered into</w:t>
      </w:r>
      <w:proofErr w:type="gramEnd"/>
      <w:r>
        <w:t xml:space="preserve"> at the Balance Sheet date, but on which all or part of the capital work has yet to be undertaken.</w:t>
      </w:r>
      <w:r w:rsidR="0059581D">
        <w:t xml:space="preserve"> </w:t>
      </w:r>
      <w:r w:rsidRPr="7D72473F">
        <w:rPr>
          <w:lang w:val="en-GB"/>
        </w:rPr>
        <w:t>The</w:t>
      </w:r>
      <w:r w:rsidRPr="00803380">
        <w:rPr>
          <w:highlight w:val="green"/>
          <w:lang w:val="en-GB"/>
        </w:rPr>
        <w:t xml:space="preserve"> </w:t>
      </w:r>
      <w:r w:rsidRPr="00E25E2C">
        <w:rPr>
          <w:lang w:val="en-GB"/>
        </w:rPr>
        <w:t>estimated capital expen</w:t>
      </w:r>
      <w:r w:rsidR="002A57D5" w:rsidRPr="00E25E2C">
        <w:rPr>
          <w:lang w:val="en-GB"/>
        </w:rPr>
        <w:t xml:space="preserve">diture committed </w:t>
      </w:r>
      <w:proofErr w:type="gramStart"/>
      <w:r w:rsidR="002A57D5" w:rsidRPr="00E25E2C">
        <w:rPr>
          <w:lang w:val="en-GB"/>
        </w:rPr>
        <w:t>at</w:t>
      </w:r>
      <w:proofErr w:type="gramEnd"/>
      <w:r w:rsidR="002A57D5" w:rsidRPr="00E25E2C">
        <w:rPr>
          <w:lang w:val="en-GB"/>
        </w:rPr>
        <w:t xml:space="preserve"> 31 March 202</w:t>
      </w:r>
      <w:r w:rsidR="00803380" w:rsidRPr="00E25E2C">
        <w:rPr>
          <w:lang w:val="en-GB"/>
        </w:rPr>
        <w:t>6</w:t>
      </w:r>
      <w:r w:rsidRPr="00E25E2C">
        <w:rPr>
          <w:lang w:val="en-GB"/>
        </w:rPr>
        <w:t xml:space="preserve"> is £</w:t>
      </w:r>
      <w:r w:rsidR="00CA55E7" w:rsidRPr="00E25E2C">
        <w:rPr>
          <w:lang w:val="en-GB"/>
        </w:rPr>
        <w:t>3.858</w:t>
      </w:r>
      <w:r w:rsidR="007B2114">
        <w:rPr>
          <w:lang w:val="en-GB"/>
        </w:rPr>
        <w:t xml:space="preserve"> million</w:t>
      </w:r>
      <w:r w:rsidRPr="00E25E2C">
        <w:rPr>
          <w:lang w:val="en-GB"/>
        </w:rPr>
        <w:t xml:space="preserve"> (</w:t>
      </w:r>
      <w:r w:rsidR="001A42DD">
        <w:rPr>
          <w:lang w:val="en-GB"/>
        </w:rPr>
        <w:t>2024-25</w:t>
      </w:r>
      <w:r w:rsidRPr="00E25E2C">
        <w:rPr>
          <w:lang w:val="en-GB"/>
        </w:rPr>
        <w:t>: £</w:t>
      </w:r>
      <w:r w:rsidR="00C80DFC" w:rsidRPr="00E25E2C">
        <w:rPr>
          <w:lang w:val="en-GB"/>
        </w:rPr>
        <w:t>1.</w:t>
      </w:r>
      <w:r w:rsidR="00803380" w:rsidRPr="00E25E2C">
        <w:rPr>
          <w:lang w:val="en-GB"/>
        </w:rPr>
        <w:t>017</w:t>
      </w:r>
      <w:r w:rsidR="00D732F6">
        <w:rPr>
          <w:lang w:val="en-GB"/>
        </w:rPr>
        <w:t xml:space="preserve"> </w:t>
      </w:r>
      <w:r w:rsidR="00C80DFC" w:rsidRPr="00E25E2C">
        <w:rPr>
          <w:lang w:val="en-GB"/>
        </w:rPr>
        <w:t>m</w:t>
      </w:r>
      <w:r w:rsidR="00D732F6">
        <w:rPr>
          <w:lang w:val="en-GB"/>
        </w:rPr>
        <w:t>illion</w:t>
      </w:r>
      <w:r w:rsidRPr="00E25E2C">
        <w:rPr>
          <w:lang w:val="en-GB"/>
        </w:rPr>
        <w:t>).</w:t>
      </w:r>
    </w:p>
    <w:bookmarkEnd w:id="32"/>
    <w:p w14:paraId="5D98DB8F" w14:textId="77777777" w:rsidR="00DF2B00" w:rsidRPr="004C1C83" w:rsidRDefault="00DF2B00" w:rsidP="77119DA7">
      <w:pPr>
        <w:pStyle w:val="Footer"/>
        <w:tabs>
          <w:tab w:val="clear" w:pos="4153"/>
          <w:tab w:val="clear" w:pos="8306"/>
        </w:tabs>
        <w:rPr>
          <w:b/>
          <w:bCs/>
          <w:sz w:val="22"/>
          <w:szCs w:val="22"/>
        </w:rPr>
      </w:pPr>
    </w:p>
    <w:p w14:paraId="32AC35F8" w14:textId="5DAADC46" w:rsidR="00D90216" w:rsidRPr="003B132D" w:rsidRDefault="007C6DCB" w:rsidP="00210760">
      <w:pPr>
        <w:pStyle w:val="Heading2"/>
        <w:jc w:val="left"/>
        <w:rPr>
          <w:sz w:val="24"/>
          <w:szCs w:val="24"/>
        </w:rPr>
      </w:pPr>
      <w:bookmarkStart w:id="33" w:name="_Toc233717526"/>
      <w:r w:rsidRPr="6DAA9A67">
        <w:rPr>
          <w:sz w:val="24"/>
          <w:szCs w:val="24"/>
        </w:rPr>
        <w:t>7</w:t>
      </w:r>
      <w:r w:rsidR="00355430">
        <w:tab/>
      </w:r>
      <w:bookmarkStart w:id="34" w:name="N7"/>
      <w:bookmarkEnd w:id="34"/>
      <w:r w:rsidR="00D90216" w:rsidRPr="6DAA9A67">
        <w:rPr>
          <w:sz w:val="24"/>
          <w:szCs w:val="24"/>
        </w:rPr>
        <w:t>Intangible Assets</w:t>
      </w:r>
      <w:bookmarkEnd w:id="33"/>
    </w:p>
    <w:p w14:paraId="139F349A" w14:textId="77777777" w:rsidR="00D90216" w:rsidRPr="003B132D" w:rsidRDefault="00D90216" w:rsidP="00210760">
      <w:pPr>
        <w:pStyle w:val="BodyTextIndent"/>
      </w:pPr>
    </w:p>
    <w:p w14:paraId="5DB1B2B0" w14:textId="370F4249" w:rsidR="00D90216" w:rsidRPr="00D948C1" w:rsidRDefault="00D90216" w:rsidP="00210760">
      <w:pPr>
        <w:pStyle w:val="BodyTextIndent"/>
      </w:pPr>
      <w:r>
        <w:t xml:space="preserve">The Authority accounts for its software as </w:t>
      </w:r>
      <w:proofErr w:type="gramStart"/>
      <w:r>
        <w:t>intangible assets</w:t>
      </w:r>
      <w:proofErr w:type="gramEnd"/>
      <w:r>
        <w:t>. All software is given a finite useful life, based on assessments of the period that the software is expected to be of use to the Authority.</w:t>
      </w:r>
    </w:p>
    <w:p w14:paraId="0520F35E" w14:textId="77777777" w:rsidR="00D90216" w:rsidRPr="00D948C1" w:rsidRDefault="00D90216" w:rsidP="00D90216">
      <w:pPr>
        <w:pStyle w:val="BodyTextIndent"/>
        <w:jc w:val="both"/>
        <w:rPr>
          <w:sz w:val="22"/>
        </w:rPr>
      </w:pPr>
    </w:p>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C93FB3" w:rsidRPr="00D948C1" w14:paraId="72E251E9" w14:textId="77777777" w:rsidTr="22FF31C3">
        <w:trPr>
          <w:trHeight w:val="255"/>
          <w:tblHeader/>
        </w:trPr>
        <w:tc>
          <w:tcPr>
            <w:tcW w:w="4111" w:type="dxa"/>
            <w:shd w:val="clear" w:color="auto" w:fill="BD2716"/>
            <w:noWrap/>
            <w:vAlign w:val="bottom"/>
          </w:tcPr>
          <w:p w14:paraId="5C250010" w14:textId="6969BDA3" w:rsidR="00C93FB3" w:rsidRPr="00D948C1" w:rsidRDefault="00C93FB3" w:rsidP="00C93FB3">
            <w:pPr>
              <w:ind w:firstLine="34"/>
              <w:rPr>
                <w:rFonts w:cs="Arial"/>
                <w:b/>
                <w:bCs/>
                <w:color w:val="FFFFFF" w:themeColor="background1"/>
                <w:szCs w:val="24"/>
                <w:lang w:eastAsia="en-GB"/>
              </w:rPr>
            </w:pPr>
          </w:p>
        </w:tc>
        <w:tc>
          <w:tcPr>
            <w:tcW w:w="1418" w:type="dxa"/>
            <w:shd w:val="clear" w:color="auto" w:fill="BD2716"/>
            <w:noWrap/>
            <w:vAlign w:val="center"/>
          </w:tcPr>
          <w:p w14:paraId="38925EF1" w14:textId="0CCC7AE7" w:rsidR="00C93FB3" w:rsidRPr="00D948C1" w:rsidRDefault="001A42DD" w:rsidP="00C93FB3">
            <w:pPr>
              <w:pStyle w:val="BodyTextIndent"/>
              <w:ind w:left="0"/>
              <w:jc w:val="right"/>
              <w:rPr>
                <w:color w:val="FFFFFF" w:themeColor="background1"/>
                <w:szCs w:val="24"/>
                <w:lang w:val="en-GB"/>
              </w:rPr>
            </w:pPr>
            <w:r>
              <w:rPr>
                <w:color w:val="FFFFFF" w:themeColor="background1"/>
                <w:szCs w:val="24"/>
                <w:lang w:val="en-GB"/>
              </w:rPr>
              <w:t>2025-26</w:t>
            </w:r>
          </w:p>
          <w:p w14:paraId="12805862" w14:textId="625112F9" w:rsidR="00C93FB3" w:rsidRPr="00D948C1" w:rsidRDefault="00C93FB3" w:rsidP="00C93FB3">
            <w:pPr>
              <w:pStyle w:val="BodyTextIndent"/>
              <w:ind w:left="0"/>
              <w:jc w:val="right"/>
              <w:rPr>
                <w:color w:val="FFFFFF" w:themeColor="background1"/>
                <w:szCs w:val="24"/>
                <w:lang w:val="en-GB"/>
              </w:rPr>
            </w:pPr>
            <w:r w:rsidRPr="00D948C1">
              <w:rPr>
                <w:color w:val="FFFFFF" w:themeColor="background1"/>
                <w:szCs w:val="24"/>
                <w:lang w:val="en-GB"/>
              </w:rPr>
              <w:t>£000</w:t>
            </w:r>
          </w:p>
        </w:tc>
        <w:tc>
          <w:tcPr>
            <w:tcW w:w="1418" w:type="dxa"/>
            <w:shd w:val="clear" w:color="auto" w:fill="BD2716"/>
            <w:vAlign w:val="center"/>
          </w:tcPr>
          <w:p w14:paraId="5BB463FF" w14:textId="64F733C3" w:rsidR="003B132D" w:rsidRPr="00D948C1" w:rsidRDefault="001A42DD" w:rsidP="003B132D">
            <w:pPr>
              <w:pStyle w:val="BodyTextIndent"/>
              <w:ind w:left="0"/>
              <w:jc w:val="right"/>
              <w:rPr>
                <w:color w:val="FFFFFF" w:themeColor="background1"/>
                <w:szCs w:val="24"/>
                <w:lang w:val="en-GB"/>
              </w:rPr>
            </w:pPr>
            <w:r>
              <w:rPr>
                <w:color w:val="FFFFFF" w:themeColor="background1"/>
                <w:szCs w:val="24"/>
                <w:lang w:val="en-GB"/>
              </w:rPr>
              <w:t>2024-25</w:t>
            </w:r>
          </w:p>
          <w:p w14:paraId="236902F6" w14:textId="326D0E38" w:rsidR="00C93FB3" w:rsidRPr="00D948C1" w:rsidRDefault="003B132D" w:rsidP="003B132D">
            <w:pPr>
              <w:pStyle w:val="BodyTextIndent"/>
              <w:ind w:left="0"/>
              <w:jc w:val="right"/>
              <w:rPr>
                <w:color w:val="FFFFFF" w:themeColor="background1"/>
                <w:szCs w:val="24"/>
                <w:lang w:val="en-GB"/>
              </w:rPr>
            </w:pPr>
            <w:r w:rsidRPr="00D948C1">
              <w:rPr>
                <w:color w:val="FFFFFF" w:themeColor="background1"/>
                <w:szCs w:val="24"/>
                <w:lang w:val="en-GB"/>
              </w:rPr>
              <w:t>£000</w:t>
            </w:r>
          </w:p>
        </w:tc>
      </w:tr>
      <w:tr w:rsidR="00210760" w:rsidRPr="00D948C1" w14:paraId="22916A94" w14:textId="77777777" w:rsidTr="22FF31C3">
        <w:trPr>
          <w:trHeight w:val="255"/>
        </w:trPr>
        <w:tc>
          <w:tcPr>
            <w:tcW w:w="6947" w:type="dxa"/>
            <w:gridSpan w:val="3"/>
            <w:shd w:val="clear" w:color="auto" w:fill="D9D9D9" w:themeFill="background1" w:themeFillShade="D9"/>
            <w:noWrap/>
            <w:vAlign w:val="bottom"/>
          </w:tcPr>
          <w:p w14:paraId="11909244" w14:textId="00D66C29" w:rsidR="00210760" w:rsidRPr="00D948C1" w:rsidRDefault="00210760" w:rsidP="00BA53E7">
            <w:pPr>
              <w:rPr>
                <w:rFonts w:cs="Arial"/>
                <w:szCs w:val="24"/>
                <w:lang w:eastAsia="en-GB"/>
              </w:rPr>
            </w:pPr>
            <w:r w:rsidRPr="00D948C1">
              <w:rPr>
                <w:rFonts w:cs="Arial"/>
                <w:b/>
                <w:bCs/>
                <w:szCs w:val="24"/>
                <w:lang w:eastAsia="en-GB"/>
              </w:rPr>
              <w:t>Cost or valuation</w:t>
            </w:r>
          </w:p>
        </w:tc>
      </w:tr>
      <w:tr w:rsidR="003B132D" w:rsidRPr="00D915BB" w14:paraId="7FF84931" w14:textId="77777777" w:rsidTr="22FF31C3">
        <w:trPr>
          <w:trHeight w:val="255"/>
        </w:trPr>
        <w:tc>
          <w:tcPr>
            <w:tcW w:w="4111" w:type="dxa"/>
            <w:noWrap/>
            <w:vAlign w:val="bottom"/>
          </w:tcPr>
          <w:p w14:paraId="3FB26830" w14:textId="77777777" w:rsidR="003B132D" w:rsidRPr="00D915BB" w:rsidRDefault="003B132D" w:rsidP="003B132D">
            <w:pPr>
              <w:rPr>
                <w:rFonts w:cs="Arial"/>
                <w:szCs w:val="24"/>
                <w:lang w:eastAsia="en-GB"/>
              </w:rPr>
            </w:pPr>
            <w:proofErr w:type="gramStart"/>
            <w:r w:rsidRPr="00D915BB">
              <w:rPr>
                <w:rFonts w:cs="Arial"/>
                <w:szCs w:val="24"/>
                <w:lang w:eastAsia="en-GB"/>
              </w:rPr>
              <w:t>At</w:t>
            </w:r>
            <w:proofErr w:type="gramEnd"/>
            <w:r w:rsidRPr="00D915BB">
              <w:rPr>
                <w:rFonts w:cs="Arial"/>
                <w:szCs w:val="24"/>
                <w:lang w:eastAsia="en-GB"/>
              </w:rPr>
              <w:t xml:space="preserve"> 1 April </w:t>
            </w:r>
          </w:p>
        </w:tc>
        <w:tc>
          <w:tcPr>
            <w:tcW w:w="1418" w:type="dxa"/>
            <w:noWrap/>
            <w:vAlign w:val="center"/>
          </w:tcPr>
          <w:p w14:paraId="3A53CAA9" w14:textId="6CC9A7BF" w:rsidR="003B132D" w:rsidRPr="004C1C83" w:rsidRDefault="008F4EE0" w:rsidP="003B132D">
            <w:pPr>
              <w:jc w:val="right"/>
              <w:rPr>
                <w:rFonts w:cs="Arial"/>
                <w:lang w:eastAsia="en-GB"/>
              </w:rPr>
            </w:pPr>
            <w:r w:rsidRPr="004C1C83">
              <w:rPr>
                <w:rFonts w:cs="Arial"/>
                <w:lang w:eastAsia="en-GB"/>
              </w:rPr>
              <w:t>2,141</w:t>
            </w:r>
          </w:p>
        </w:tc>
        <w:tc>
          <w:tcPr>
            <w:tcW w:w="1418" w:type="dxa"/>
            <w:vAlign w:val="center"/>
          </w:tcPr>
          <w:p w14:paraId="4C38B001" w14:textId="03CEF8C0" w:rsidR="003B132D" w:rsidRPr="00D915BB" w:rsidRDefault="003B132D" w:rsidP="003B132D">
            <w:pPr>
              <w:jc w:val="right"/>
              <w:rPr>
                <w:rFonts w:cs="Arial"/>
                <w:szCs w:val="24"/>
                <w:lang w:eastAsia="en-GB"/>
              </w:rPr>
            </w:pPr>
            <w:r w:rsidRPr="004C1C83">
              <w:rPr>
                <w:rFonts w:cs="Arial"/>
                <w:lang w:eastAsia="en-GB"/>
              </w:rPr>
              <w:t>1,909</w:t>
            </w:r>
          </w:p>
        </w:tc>
      </w:tr>
      <w:tr w:rsidR="003B132D" w:rsidRPr="00D915BB" w14:paraId="7D617ABB" w14:textId="77777777" w:rsidTr="22FF31C3">
        <w:trPr>
          <w:trHeight w:val="255"/>
        </w:trPr>
        <w:tc>
          <w:tcPr>
            <w:tcW w:w="4111" w:type="dxa"/>
            <w:noWrap/>
            <w:vAlign w:val="bottom"/>
          </w:tcPr>
          <w:p w14:paraId="1AC943D2" w14:textId="68848A33" w:rsidR="003B132D" w:rsidRPr="00D915BB" w:rsidRDefault="00996892" w:rsidP="003B132D">
            <w:pPr>
              <w:pStyle w:val="CommentText"/>
              <w:rPr>
                <w:rFonts w:cs="Arial"/>
                <w:sz w:val="24"/>
                <w:szCs w:val="24"/>
                <w:lang w:eastAsia="en-GB"/>
              </w:rPr>
            </w:pPr>
            <w:r>
              <w:rPr>
                <w:rFonts w:cs="Arial"/>
                <w:sz w:val="24"/>
                <w:szCs w:val="24"/>
                <w:lang w:eastAsia="en-GB"/>
              </w:rPr>
              <w:t xml:space="preserve">NWFC </w:t>
            </w:r>
            <w:r w:rsidR="00D93EED">
              <w:rPr>
                <w:rFonts w:cs="Arial"/>
                <w:sz w:val="24"/>
                <w:szCs w:val="24"/>
                <w:lang w:eastAsia="en-GB"/>
              </w:rPr>
              <w:t>a</w:t>
            </w:r>
            <w:r w:rsidR="003B132D" w:rsidRPr="00D915BB">
              <w:rPr>
                <w:rFonts w:cs="Arial"/>
                <w:sz w:val="24"/>
                <w:szCs w:val="24"/>
                <w:lang w:eastAsia="en-GB"/>
              </w:rPr>
              <w:t>djustment to opening balance</w:t>
            </w:r>
          </w:p>
        </w:tc>
        <w:tc>
          <w:tcPr>
            <w:tcW w:w="1418" w:type="dxa"/>
            <w:noWrap/>
            <w:vAlign w:val="center"/>
          </w:tcPr>
          <w:p w14:paraId="363B816B" w14:textId="05D6D1EA" w:rsidR="003B132D" w:rsidRPr="004C1C83" w:rsidRDefault="00351729" w:rsidP="003B132D">
            <w:pPr>
              <w:jc w:val="right"/>
              <w:rPr>
                <w:rFonts w:cs="Arial"/>
                <w:lang w:eastAsia="en-GB"/>
              </w:rPr>
            </w:pPr>
            <w:r>
              <w:rPr>
                <w:rFonts w:cs="Arial"/>
                <w:lang w:eastAsia="en-GB"/>
              </w:rPr>
              <w:t>(112)</w:t>
            </w:r>
          </w:p>
        </w:tc>
        <w:tc>
          <w:tcPr>
            <w:tcW w:w="1418" w:type="dxa"/>
            <w:vAlign w:val="center"/>
          </w:tcPr>
          <w:p w14:paraId="23E0AD34" w14:textId="7111AE22" w:rsidR="003B132D" w:rsidRPr="00D915BB" w:rsidRDefault="003B132D" w:rsidP="003B132D">
            <w:pPr>
              <w:jc w:val="right"/>
              <w:rPr>
                <w:rFonts w:cs="Arial"/>
                <w:szCs w:val="24"/>
                <w:lang w:eastAsia="en-GB"/>
              </w:rPr>
            </w:pPr>
            <w:r w:rsidRPr="004C1C83">
              <w:rPr>
                <w:rFonts w:cs="Arial"/>
                <w:lang w:eastAsia="en-GB"/>
              </w:rPr>
              <w:t>-</w:t>
            </w:r>
          </w:p>
        </w:tc>
      </w:tr>
      <w:tr w:rsidR="003B132D" w:rsidRPr="00D915BB" w14:paraId="7586522D" w14:textId="77777777" w:rsidTr="22FF31C3">
        <w:trPr>
          <w:trHeight w:val="255"/>
        </w:trPr>
        <w:tc>
          <w:tcPr>
            <w:tcW w:w="4111" w:type="dxa"/>
            <w:noWrap/>
            <w:vAlign w:val="bottom"/>
          </w:tcPr>
          <w:p w14:paraId="731CCCAA" w14:textId="77777777" w:rsidR="003B132D" w:rsidRPr="00D915BB" w:rsidRDefault="003B132D" w:rsidP="003B132D">
            <w:pPr>
              <w:pStyle w:val="CommentText"/>
              <w:rPr>
                <w:rFonts w:cs="Arial"/>
                <w:sz w:val="24"/>
                <w:szCs w:val="24"/>
                <w:lang w:eastAsia="en-GB"/>
              </w:rPr>
            </w:pPr>
            <w:r w:rsidRPr="00D915BB">
              <w:rPr>
                <w:rFonts w:cs="Arial"/>
                <w:sz w:val="24"/>
                <w:szCs w:val="24"/>
                <w:lang w:eastAsia="en-GB"/>
              </w:rPr>
              <w:t>Additions</w:t>
            </w:r>
          </w:p>
        </w:tc>
        <w:tc>
          <w:tcPr>
            <w:tcW w:w="1418" w:type="dxa"/>
            <w:noWrap/>
            <w:vAlign w:val="center"/>
          </w:tcPr>
          <w:p w14:paraId="32E49D4E" w14:textId="64A22F22" w:rsidR="003B132D" w:rsidRPr="004C1C83" w:rsidRDefault="00BF4B20" w:rsidP="003B132D">
            <w:pPr>
              <w:jc w:val="right"/>
              <w:rPr>
                <w:rFonts w:cs="Arial"/>
                <w:lang w:eastAsia="en-GB"/>
              </w:rPr>
            </w:pPr>
            <w:r>
              <w:rPr>
                <w:rFonts w:cs="Arial"/>
                <w:lang w:eastAsia="en-GB"/>
              </w:rPr>
              <w:t>173</w:t>
            </w:r>
          </w:p>
        </w:tc>
        <w:tc>
          <w:tcPr>
            <w:tcW w:w="1418" w:type="dxa"/>
            <w:vAlign w:val="center"/>
          </w:tcPr>
          <w:p w14:paraId="5F3FCC90" w14:textId="4232C23C" w:rsidR="003B132D" w:rsidRPr="00D915BB" w:rsidRDefault="003B132D" w:rsidP="003B132D">
            <w:pPr>
              <w:jc w:val="right"/>
              <w:rPr>
                <w:rFonts w:cs="Arial"/>
                <w:szCs w:val="24"/>
                <w:lang w:eastAsia="en-GB"/>
              </w:rPr>
            </w:pPr>
            <w:r w:rsidRPr="004C1C83">
              <w:rPr>
                <w:rFonts w:cs="Arial"/>
                <w:lang w:eastAsia="en-GB"/>
              </w:rPr>
              <w:t>233</w:t>
            </w:r>
          </w:p>
        </w:tc>
      </w:tr>
      <w:tr w:rsidR="003B132D" w:rsidRPr="00D915BB" w14:paraId="357C36B5" w14:textId="77777777" w:rsidTr="22FF31C3">
        <w:trPr>
          <w:trHeight w:val="255"/>
        </w:trPr>
        <w:tc>
          <w:tcPr>
            <w:tcW w:w="4111" w:type="dxa"/>
            <w:noWrap/>
            <w:vAlign w:val="bottom"/>
          </w:tcPr>
          <w:p w14:paraId="6FFBAC4F" w14:textId="58B833FF" w:rsidR="003B132D" w:rsidRPr="00D915BB" w:rsidRDefault="003B132D" w:rsidP="003B132D">
            <w:pPr>
              <w:pStyle w:val="CommentText"/>
              <w:rPr>
                <w:rFonts w:cs="Arial"/>
                <w:sz w:val="24"/>
                <w:szCs w:val="24"/>
                <w:lang w:eastAsia="en-GB"/>
              </w:rPr>
            </w:pPr>
            <w:r w:rsidRPr="00D915BB">
              <w:rPr>
                <w:rFonts w:cs="Arial"/>
                <w:sz w:val="24"/>
                <w:szCs w:val="24"/>
                <w:lang w:eastAsia="en-GB"/>
              </w:rPr>
              <w:t>Disposals</w:t>
            </w:r>
            <w:r w:rsidR="00CE6862">
              <w:rPr>
                <w:rFonts w:cs="Arial"/>
                <w:sz w:val="24"/>
                <w:szCs w:val="24"/>
                <w:lang w:eastAsia="en-GB"/>
              </w:rPr>
              <w:t xml:space="preserve"> and</w:t>
            </w:r>
            <w:r w:rsidR="00726A87">
              <w:rPr>
                <w:rFonts w:cs="Arial"/>
                <w:sz w:val="24"/>
                <w:szCs w:val="24"/>
                <w:lang w:eastAsia="en-GB"/>
              </w:rPr>
              <w:t xml:space="preserve"> d</w:t>
            </w:r>
            <w:r w:rsidRPr="00D915BB">
              <w:rPr>
                <w:rFonts w:cs="Arial"/>
                <w:sz w:val="24"/>
                <w:szCs w:val="24"/>
                <w:lang w:eastAsia="en-GB"/>
              </w:rPr>
              <w:t>e-recognitions</w:t>
            </w:r>
          </w:p>
        </w:tc>
        <w:tc>
          <w:tcPr>
            <w:tcW w:w="1418" w:type="dxa"/>
            <w:noWrap/>
            <w:vAlign w:val="center"/>
          </w:tcPr>
          <w:p w14:paraId="250E4AF6" w14:textId="02C74E37" w:rsidR="003B132D" w:rsidRPr="004C1C83" w:rsidRDefault="00351729" w:rsidP="003B132D">
            <w:pPr>
              <w:jc w:val="right"/>
              <w:rPr>
                <w:rFonts w:cs="Arial"/>
                <w:lang w:eastAsia="en-GB"/>
              </w:rPr>
            </w:pPr>
            <w:r>
              <w:rPr>
                <w:rFonts w:cs="Arial"/>
                <w:lang w:eastAsia="en-GB"/>
              </w:rPr>
              <w:t>(62)</w:t>
            </w:r>
          </w:p>
        </w:tc>
        <w:tc>
          <w:tcPr>
            <w:tcW w:w="1418" w:type="dxa"/>
            <w:vAlign w:val="center"/>
          </w:tcPr>
          <w:p w14:paraId="305E8760" w14:textId="5E976877" w:rsidR="003B132D" w:rsidRPr="00D915BB" w:rsidRDefault="003B132D" w:rsidP="003B132D">
            <w:pPr>
              <w:jc w:val="right"/>
              <w:rPr>
                <w:rFonts w:cs="Arial"/>
                <w:szCs w:val="24"/>
                <w:lang w:eastAsia="en-GB"/>
              </w:rPr>
            </w:pPr>
            <w:r w:rsidRPr="004C1C83">
              <w:rPr>
                <w:rFonts w:cs="Arial"/>
                <w:lang w:eastAsia="en-GB"/>
              </w:rPr>
              <w:t>-</w:t>
            </w:r>
          </w:p>
        </w:tc>
      </w:tr>
      <w:tr w:rsidR="003B132D" w:rsidRPr="00D915BB" w14:paraId="4BF3ECE8" w14:textId="77777777" w:rsidTr="22FF31C3">
        <w:trPr>
          <w:trHeight w:val="255"/>
        </w:trPr>
        <w:tc>
          <w:tcPr>
            <w:tcW w:w="4111" w:type="dxa"/>
            <w:noWrap/>
            <w:vAlign w:val="bottom"/>
          </w:tcPr>
          <w:p w14:paraId="2C5E673A" w14:textId="77777777" w:rsidR="003B132D" w:rsidRPr="00D915BB" w:rsidRDefault="003B132D" w:rsidP="003B132D">
            <w:pPr>
              <w:rPr>
                <w:rFonts w:cs="Arial"/>
                <w:szCs w:val="24"/>
                <w:lang w:eastAsia="en-GB"/>
              </w:rPr>
            </w:pPr>
            <w:r w:rsidRPr="00D915BB">
              <w:rPr>
                <w:rFonts w:cs="Arial"/>
                <w:szCs w:val="24"/>
                <w:lang w:eastAsia="en-GB"/>
              </w:rPr>
              <w:t xml:space="preserve">As </w:t>
            </w:r>
            <w:proofErr w:type="gramStart"/>
            <w:r w:rsidRPr="00D915BB">
              <w:rPr>
                <w:rFonts w:cs="Arial"/>
                <w:szCs w:val="24"/>
                <w:lang w:eastAsia="en-GB"/>
              </w:rPr>
              <w:t>at</w:t>
            </w:r>
            <w:proofErr w:type="gramEnd"/>
            <w:r w:rsidRPr="00D915BB">
              <w:rPr>
                <w:rFonts w:cs="Arial"/>
                <w:szCs w:val="24"/>
                <w:lang w:eastAsia="en-GB"/>
              </w:rPr>
              <w:t xml:space="preserve"> 31 March</w:t>
            </w:r>
          </w:p>
        </w:tc>
        <w:tc>
          <w:tcPr>
            <w:tcW w:w="1418" w:type="dxa"/>
            <w:noWrap/>
            <w:vAlign w:val="center"/>
          </w:tcPr>
          <w:p w14:paraId="3CAAD444" w14:textId="6725A110" w:rsidR="003B132D" w:rsidRPr="004C1C83" w:rsidRDefault="00553CE4" w:rsidP="003B132D">
            <w:pPr>
              <w:jc w:val="right"/>
              <w:rPr>
                <w:rFonts w:cs="Arial"/>
                <w:lang w:eastAsia="en-GB"/>
              </w:rPr>
            </w:pPr>
            <w:r>
              <w:rPr>
                <w:rFonts w:cs="Arial"/>
                <w:lang w:eastAsia="en-GB"/>
              </w:rPr>
              <w:t>2,141</w:t>
            </w:r>
          </w:p>
        </w:tc>
        <w:tc>
          <w:tcPr>
            <w:tcW w:w="1418" w:type="dxa"/>
            <w:vAlign w:val="center"/>
          </w:tcPr>
          <w:p w14:paraId="3C6C8525" w14:textId="2C07EEF9" w:rsidR="003B132D" w:rsidRPr="00D915BB" w:rsidRDefault="003B132D" w:rsidP="003B132D">
            <w:pPr>
              <w:jc w:val="right"/>
              <w:rPr>
                <w:rFonts w:cs="Arial"/>
                <w:szCs w:val="24"/>
                <w:lang w:eastAsia="en-GB"/>
              </w:rPr>
            </w:pPr>
            <w:r w:rsidRPr="004C1C83">
              <w:rPr>
                <w:rFonts w:cs="Arial"/>
                <w:lang w:eastAsia="en-GB"/>
              </w:rPr>
              <w:t>2,141</w:t>
            </w:r>
          </w:p>
        </w:tc>
      </w:tr>
    </w:tbl>
    <w:p w14:paraId="53A86BD4" w14:textId="77777777" w:rsidR="00372872" w:rsidRPr="00D915BB" w:rsidRDefault="00372872"/>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372872" w:rsidRPr="00D915BB" w14:paraId="65DE0E46" w14:textId="77777777" w:rsidTr="22FF31C3">
        <w:trPr>
          <w:trHeight w:val="255"/>
        </w:trPr>
        <w:tc>
          <w:tcPr>
            <w:tcW w:w="6947" w:type="dxa"/>
            <w:gridSpan w:val="3"/>
            <w:shd w:val="clear" w:color="auto" w:fill="D9D9D9" w:themeFill="background1" w:themeFillShade="D9"/>
            <w:noWrap/>
            <w:vAlign w:val="bottom"/>
          </w:tcPr>
          <w:p w14:paraId="6B227E24" w14:textId="6967F17E" w:rsidR="00372872" w:rsidRPr="00D915BB" w:rsidRDefault="00372872" w:rsidP="00372872">
            <w:pPr>
              <w:rPr>
                <w:rFonts w:cs="Arial"/>
                <w:szCs w:val="24"/>
                <w:lang w:eastAsia="en-GB"/>
              </w:rPr>
            </w:pPr>
            <w:r w:rsidRPr="00D915BB">
              <w:rPr>
                <w:rFonts w:cs="Arial"/>
                <w:b/>
                <w:bCs/>
                <w:szCs w:val="24"/>
                <w:lang w:eastAsia="en-GB"/>
              </w:rPr>
              <w:t>Amortisation &amp; impairment</w:t>
            </w:r>
          </w:p>
        </w:tc>
      </w:tr>
      <w:tr w:rsidR="003B132D" w:rsidRPr="00D915BB" w14:paraId="79F33B88" w14:textId="77777777" w:rsidTr="22FF31C3">
        <w:trPr>
          <w:trHeight w:val="255"/>
        </w:trPr>
        <w:tc>
          <w:tcPr>
            <w:tcW w:w="4111" w:type="dxa"/>
            <w:noWrap/>
            <w:vAlign w:val="bottom"/>
          </w:tcPr>
          <w:p w14:paraId="12D692D0" w14:textId="3D0023CE" w:rsidR="003B132D" w:rsidRPr="00D915BB" w:rsidRDefault="003B132D" w:rsidP="003B132D">
            <w:pPr>
              <w:rPr>
                <w:rFonts w:cs="Arial"/>
                <w:szCs w:val="24"/>
                <w:lang w:eastAsia="en-GB"/>
              </w:rPr>
            </w:pPr>
            <w:proofErr w:type="gramStart"/>
            <w:r w:rsidRPr="00D915BB">
              <w:rPr>
                <w:rFonts w:cs="Arial"/>
                <w:szCs w:val="24"/>
                <w:lang w:eastAsia="en-GB"/>
              </w:rPr>
              <w:t>At</w:t>
            </w:r>
            <w:proofErr w:type="gramEnd"/>
            <w:r w:rsidRPr="00D915BB">
              <w:rPr>
                <w:rFonts w:cs="Arial"/>
                <w:szCs w:val="24"/>
                <w:lang w:eastAsia="en-GB"/>
              </w:rPr>
              <w:t xml:space="preserve"> 1 April </w:t>
            </w:r>
          </w:p>
        </w:tc>
        <w:tc>
          <w:tcPr>
            <w:tcW w:w="1418" w:type="dxa"/>
            <w:noWrap/>
            <w:vAlign w:val="center"/>
          </w:tcPr>
          <w:p w14:paraId="4CCAE0F2" w14:textId="5B20486D" w:rsidR="003B132D" w:rsidRPr="004C1C83" w:rsidRDefault="008A3F90" w:rsidP="003B132D">
            <w:pPr>
              <w:jc w:val="right"/>
              <w:rPr>
                <w:rFonts w:cs="Arial"/>
                <w:lang w:eastAsia="en-GB"/>
              </w:rPr>
            </w:pPr>
            <w:r w:rsidRPr="004C1C83">
              <w:rPr>
                <w:rFonts w:cs="Arial"/>
                <w:lang w:eastAsia="en-GB"/>
              </w:rPr>
              <w:t>(1,674)</w:t>
            </w:r>
          </w:p>
        </w:tc>
        <w:tc>
          <w:tcPr>
            <w:tcW w:w="1418" w:type="dxa"/>
            <w:vAlign w:val="center"/>
          </w:tcPr>
          <w:p w14:paraId="3E3090E8" w14:textId="1A29C939" w:rsidR="003B132D" w:rsidRPr="00D915BB" w:rsidRDefault="003B132D" w:rsidP="003B132D">
            <w:pPr>
              <w:jc w:val="right"/>
              <w:rPr>
                <w:rFonts w:cs="Arial"/>
                <w:szCs w:val="24"/>
                <w:lang w:eastAsia="en-GB"/>
              </w:rPr>
            </w:pPr>
            <w:r w:rsidRPr="004C1C83">
              <w:rPr>
                <w:rFonts w:cs="Arial"/>
                <w:lang w:eastAsia="en-GB"/>
              </w:rPr>
              <w:t>(1,456)</w:t>
            </w:r>
          </w:p>
        </w:tc>
      </w:tr>
      <w:tr w:rsidR="003B132D" w:rsidRPr="00D915BB" w14:paraId="662E540A" w14:textId="77777777" w:rsidTr="22FF31C3">
        <w:trPr>
          <w:trHeight w:val="255"/>
        </w:trPr>
        <w:tc>
          <w:tcPr>
            <w:tcW w:w="4111" w:type="dxa"/>
            <w:noWrap/>
            <w:vAlign w:val="bottom"/>
          </w:tcPr>
          <w:p w14:paraId="26CD5E8A" w14:textId="1FCE397E" w:rsidR="003B132D" w:rsidRPr="00D915BB" w:rsidRDefault="00D93EED" w:rsidP="003B132D">
            <w:pPr>
              <w:rPr>
                <w:rFonts w:cs="Arial"/>
                <w:szCs w:val="24"/>
                <w:lang w:eastAsia="en-GB"/>
              </w:rPr>
            </w:pPr>
            <w:r>
              <w:rPr>
                <w:rFonts w:cs="Arial"/>
                <w:szCs w:val="24"/>
                <w:lang w:eastAsia="en-GB"/>
              </w:rPr>
              <w:t>NWFC a</w:t>
            </w:r>
            <w:r w:rsidR="003B132D" w:rsidRPr="00D915BB">
              <w:rPr>
                <w:rFonts w:cs="Arial"/>
                <w:szCs w:val="24"/>
                <w:lang w:eastAsia="en-GB"/>
              </w:rPr>
              <w:t>djustment to opening balance</w:t>
            </w:r>
          </w:p>
        </w:tc>
        <w:tc>
          <w:tcPr>
            <w:tcW w:w="1418" w:type="dxa"/>
            <w:noWrap/>
            <w:vAlign w:val="center"/>
          </w:tcPr>
          <w:p w14:paraId="2FB09B04" w14:textId="436377C4" w:rsidR="003B132D" w:rsidRPr="004C1C83" w:rsidRDefault="00553CE4" w:rsidP="003B132D">
            <w:pPr>
              <w:jc w:val="right"/>
              <w:rPr>
                <w:rFonts w:cs="Arial"/>
                <w:lang w:eastAsia="en-GB"/>
              </w:rPr>
            </w:pPr>
            <w:r>
              <w:rPr>
                <w:rFonts w:cs="Arial"/>
                <w:lang w:eastAsia="en-GB"/>
              </w:rPr>
              <w:t>4</w:t>
            </w:r>
          </w:p>
        </w:tc>
        <w:tc>
          <w:tcPr>
            <w:tcW w:w="1418" w:type="dxa"/>
            <w:vAlign w:val="center"/>
          </w:tcPr>
          <w:p w14:paraId="2537BBDA" w14:textId="7552A6CF" w:rsidR="003B132D" w:rsidRPr="00D915BB" w:rsidRDefault="003B132D" w:rsidP="003B132D">
            <w:pPr>
              <w:jc w:val="right"/>
              <w:rPr>
                <w:rFonts w:cs="Arial"/>
                <w:szCs w:val="24"/>
                <w:lang w:eastAsia="en-GB"/>
              </w:rPr>
            </w:pPr>
            <w:r w:rsidRPr="004C1C83">
              <w:rPr>
                <w:rFonts w:cs="Arial"/>
                <w:lang w:eastAsia="en-GB"/>
              </w:rPr>
              <w:t>-</w:t>
            </w:r>
          </w:p>
        </w:tc>
      </w:tr>
      <w:tr w:rsidR="003B132D" w:rsidRPr="00D915BB" w14:paraId="266CF08C" w14:textId="77777777" w:rsidTr="22FF31C3">
        <w:trPr>
          <w:trHeight w:val="255"/>
        </w:trPr>
        <w:tc>
          <w:tcPr>
            <w:tcW w:w="4111" w:type="dxa"/>
            <w:noWrap/>
            <w:vAlign w:val="bottom"/>
          </w:tcPr>
          <w:p w14:paraId="033FC2E7" w14:textId="77777777" w:rsidR="003B132D" w:rsidRPr="00D915BB" w:rsidRDefault="003B132D" w:rsidP="003B132D">
            <w:pPr>
              <w:rPr>
                <w:rFonts w:cs="Arial"/>
                <w:szCs w:val="24"/>
                <w:lang w:eastAsia="en-GB"/>
              </w:rPr>
            </w:pPr>
            <w:r w:rsidRPr="00D915BB">
              <w:rPr>
                <w:rFonts w:cs="Arial"/>
                <w:szCs w:val="24"/>
                <w:lang w:eastAsia="en-GB"/>
              </w:rPr>
              <w:t>Amortisation charge for the year</w:t>
            </w:r>
          </w:p>
        </w:tc>
        <w:tc>
          <w:tcPr>
            <w:tcW w:w="1418" w:type="dxa"/>
            <w:noWrap/>
            <w:vAlign w:val="center"/>
          </w:tcPr>
          <w:p w14:paraId="4024BA03" w14:textId="5DF7F710" w:rsidR="003B132D" w:rsidRPr="004C1C83" w:rsidRDefault="003738FD" w:rsidP="003B132D">
            <w:pPr>
              <w:jc w:val="right"/>
              <w:rPr>
                <w:rFonts w:cs="Arial"/>
                <w:lang w:eastAsia="en-GB"/>
              </w:rPr>
            </w:pPr>
            <w:r>
              <w:rPr>
                <w:rFonts w:cs="Arial"/>
                <w:lang w:eastAsia="en-GB"/>
              </w:rPr>
              <w:t>(1</w:t>
            </w:r>
            <w:r w:rsidR="0091714C">
              <w:rPr>
                <w:rFonts w:cs="Arial"/>
                <w:lang w:eastAsia="en-GB"/>
              </w:rPr>
              <w:t>1</w:t>
            </w:r>
            <w:r>
              <w:rPr>
                <w:rFonts w:cs="Arial"/>
                <w:lang w:eastAsia="en-GB"/>
              </w:rPr>
              <w:t>1)</w:t>
            </w:r>
          </w:p>
        </w:tc>
        <w:tc>
          <w:tcPr>
            <w:tcW w:w="1418" w:type="dxa"/>
            <w:vAlign w:val="center"/>
          </w:tcPr>
          <w:p w14:paraId="2C1A833C" w14:textId="00B497E0" w:rsidR="003B132D" w:rsidRPr="00D915BB" w:rsidRDefault="003B132D" w:rsidP="003B132D">
            <w:pPr>
              <w:jc w:val="right"/>
              <w:rPr>
                <w:rFonts w:cs="Arial"/>
                <w:szCs w:val="24"/>
                <w:lang w:eastAsia="en-GB"/>
              </w:rPr>
            </w:pPr>
            <w:r w:rsidRPr="004C1C83">
              <w:rPr>
                <w:rFonts w:cs="Arial"/>
                <w:lang w:eastAsia="en-GB"/>
              </w:rPr>
              <w:t>(219)</w:t>
            </w:r>
          </w:p>
        </w:tc>
      </w:tr>
      <w:tr w:rsidR="003B132D" w:rsidRPr="00D915BB" w14:paraId="65269B13" w14:textId="77777777" w:rsidTr="22FF31C3">
        <w:trPr>
          <w:trHeight w:val="255"/>
        </w:trPr>
        <w:tc>
          <w:tcPr>
            <w:tcW w:w="4111" w:type="dxa"/>
            <w:noWrap/>
            <w:vAlign w:val="bottom"/>
          </w:tcPr>
          <w:p w14:paraId="1D16FDFA" w14:textId="7BF93B41" w:rsidR="003B132D" w:rsidRPr="00D915BB" w:rsidRDefault="003B132D" w:rsidP="003B132D">
            <w:pPr>
              <w:rPr>
                <w:rFonts w:cs="Arial"/>
                <w:szCs w:val="24"/>
                <w:lang w:eastAsia="en-GB"/>
              </w:rPr>
            </w:pPr>
            <w:r w:rsidRPr="00D915BB">
              <w:rPr>
                <w:rFonts w:cs="Arial"/>
                <w:szCs w:val="24"/>
                <w:lang w:eastAsia="en-GB"/>
              </w:rPr>
              <w:t>Disposals</w:t>
            </w:r>
            <w:r w:rsidR="00726A87">
              <w:rPr>
                <w:rFonts w:cs="Arial"/>
                <w:szCs w:val="24"/>
                <w:lang w:eastAsia="en-GB"/>
              </w:rPr>
              <w:t xml:space="preserve"> and d</w:t>
            </w:r>
            <w:r w:rsidRPr="00D915BB">
              <w:rPr>
                <w:rFonts w:cs="Arial"/>
                <w:szCs w:val="24"/>
                <w:lang w:eastAsia="en-GB"/>
              </w:rPr>
              <w:t>e-recognitions</w:t>
            </w:r>
          </w:p>
        </w:tc>
        <w:tc>
          <w:tcPr>
            <w:tcW w:w="1418" w:type="dxa"/>
            <w:noWrap/>
            <w:vAlign w:val="center"/>
          </w:tcPr>
          <w:p w14:paraId="161A3325" w14:textId="4DB4547B" w:rsidR="003B132D" w:rsidRPr="004C1C83" w:rsidRDefault="003738FD" w:rsidP="003B132D">
            <w:pPr>
              <w:jc w:val="right"/>
              <w:rPr>
                <w:rFonts w:cs="Arial"/>
                <w:lang w:eastAsia="en-GB"/>
              </w:rPr>
            </w:pPr>
            <w:r>
              <w:rPr>
                <w:rFonts w:cs="Arial"/>
                <w:lang w:eastAsia="en-GB"/>
              </w:rPr>
              <w:t>62</w:t>
            </w:r>
          </w:p>
        </w:tc>
        <w:tc>
          <w:tcPr>
            <w:tcW w:w="1418" w:type="dxa"/>
            <w:vAlign w:val="center"/>
          </w:tcPr>
          <w:p w14:paraId="0628C552" w14:textId="614317EC" w:rsidR="003B132D" w:rsidRPr="00D915BB" w:rsidRDefault="003B132D" w:rsidP="003B132D">
            <w:pPr>
              <w:jc w:val="right"/>
              <w:rPr>
                <w:rFonts w:cs="Arial"/>
                <w:szCs w:val="24"/>
                <w:lang w:eastAsia="en-GB"/>
              </w:rPr>
            </w:pPr>
            <w:r w:rsidRPr="004C1C83">
              <w:rPr>
                <w:rFonts w:cs="Arial"/>
                <w:lang w:eastAsia="en-GB"/>
              </w:rPr>
              <w:t>-</w:t>
            </w:r>
          </w:p>
        </w:tc>
      </w:tr>
      <w:tr w:rsidR="003B132D" w:rsidRPr="00D915BB" w14:paraId="7571EBC6" w14:textId="77777777" w:rsidTr="22FF31C3">
        <w:trPr>
          <w:trHeight w:val="255"/>
        </w:trPr>
        <w:tc>
          <w:tcPr>
            <w:tcW w:w="4111" w:type="dxa"/>
            <w:noWrap/>
            <w:vAlign w:val="bottom"/>
          </w:tcPr>
          <w:p w14:paraId="23A68DD0" w14:textId="77777777" w:rsidR="003B132D" w:rsidRPr="00D915BB" w:rsidRDefault="003B132D" w:rsidP="003B132D">
            <w:pPr>
              <w:rPr>
                <w:rFonts w:cs="Arial"/>
                <w:szCs w:val="24"/>
                <w:lang w:eastAsia="en-GB"/>
              </w:rPr>
            </w:pPr>
            <w:r w:rsidRPr="00D915BB">
              <w:rPr>
                <w:rFonts w:cs="Arial"/>
                <w:szCs w:val="24"/>
                <w:lang w:eastAsia="en-GB"/>
              </w:rPr>
              <w:t xml:space="preserve">As </w:t>
            </w:r>
            <w:proofErr w:type="gramStart"/>
            <w:r w:rsidRPr="00D915BB">
              <w:rPr>
                <w:rFonts w:cs="Arial"/>
                <w:szCs w:val="24"/>
                <w:lang w:eastAsia="en-GB"/>
              </w:rPr>
              <w:t>at</w:t>
            </w:r>
            <w:proofErr w:type="gramEnd"/>
            <w:r w:rsidRPr="00D915BB">
              <w:rPr>
                <w:rFonts w:cs="Arial"/>
                <w:szCs w:val="24"/>
                <w:lang w:eastAsia="en-GB"/>
              </w:rPr>
              <w:t xml:space="preserve"> 31 March </w:t>
            </w:r>
          </w:p>
        </w:tc>
        <w:tc>
          <w:tcPr>
            <w:tcW w:w="1418" w:type="dxa"/>
            <w:noWrap/>
            <w:vAlign w:val="center"/>
          </w:tcPr>
          <w:p w14:paraId="479B23A7" w14:textId="2EE4CC6B" w:rsidR="003B132D" w:rsidRPr="004C1C83" w:rsidRDefault="00654057" w:rsidP="003B132D">
            <w:pPr>
              <w:jc w:val="right"/>
              <w:rPr>
                <w:rFonts w:cs="Arial"/>
                <w:lang w:eastAsia="en-GB"/>
              </w:rPr>
            </w:pPr>
            <w:r>
              <w:rPr>
                <w:rFonts w:cs="Arial"/>
                <w:lang w:eastAsia="en-GB"/>
              </w:rPr>
              <w:t>(1,7</w:t>
            </w:r>
            <w:r w:rsidR="00712403">
              <w:rPr>
                <w:rFonts w:cs="Arial"/>
                <w:lang w:eastAsia="en-GB"/>
              </w:rPr>
              <w:t>19</w:t>
            </w:r>
            <w:r>
              <w:rPr>
                <w:rFonts w:cs="Arial"/>
                <w:lang w:eastAsia="en-GB"/>
              </w:rPr>
              <w:t>)</w:t>
            </w:r>
          </w:p>
        </w:tc>
        <w:tc>
          <w:tcPr>
            <w:tcW w:w="1418" w:type="dxa"/>
            <w:vAlign w:val="center"/>
          </w:tcPr>
          <w:p w14:paraId="6655C5AF" w14:textId="34042155" w:rsidR="003B132D" w:rsidRPr="00D915BB" w:rsidRDefault="003B132D" w:rsidP="003B132D">
            <w:pPr>
              <w:jc w:val="right"/>
              <w:rPr>
                <w:rFonts w:cs="Arial"/>
                <w:szCs w:val="24"/>
                <w:lang w:eastAsia="en-GB"/>
              </w:rPr>
            </w:pPr>
            <w:r w:rsidRPr="004C1C83">
              <w:rPr>
                <w:rFonts w:cs="Arial"/>
                <w:lang w:eastAsia="en-GB"/>
              </w:rPr>
              <w:t>(1,674)</w:t>
            </w:r>
          </w:p>
        </w:tc>
      </w:tr>
      <w:tr w:rsidR="003B132D" w:rsidRPr="00D915BB" w14:paraId="236EF7C9" w14:textId="77777777" w:rsidTr="22FF31C3">
        <w:trPr>
          <w:trHeight w:val="80"/>
        </w:trPr>
        <w:tc>
          <w:tcPr>
            <w:tcW w:w="4111" w:type="dxa"/>
            <w:noWrap/>
            <w:vAlign w:val="bottom"/>
          </w:tcPr>
          <w:p w14:paraId="2AE3FF41" w14:textId="0C70467E" w:rsidR="003B132D" w:rsidRPr="00D915BB" w:rsidRDefault="003B132D" w:rsidP="003B132D">
            <w:pPr>
              <w:rPr>
                <w:rFonts w:cs="Arial"/>
                <w:szCs w:val="24"/>
                <w:lang w:eastAsia="en-GB"/>
              </w:rPr>
            </w:pPr>
            <w:r w:rsidRPr="00D915BB">
              <w:rPr>
                <w:rFonts w:cs="Arial"/>
                <w:szCs w:val="24"/>
                <w:lang w:eastAsia="en-GB"/>
              </w:rPr>
              <w:t xml:space="preserve">Balance sheet </w:t>
            </w:r>
            <w:proofErr w:type="gramStart"/>
            <w:r w:rsidRPr="00D915BB">
              <w:rPr>
                <w:rFonts w:cs="Arial"/>
                <w:szCs w:val="24"/>
                <w:lang w:eastAsia="en-GB"/>
              </w:rPr>
              <w:t>at</w:t>
            </w:r>
            <w:proofErr w:type="gramEnd"/>
            <w:r w:rsidRPr="00D915BB">
              <w:rPr>
                <w:rFonts w:cs="Arial"/>
                <w:szCs w:val="24"/>
                <w:lang w:eastAsia="en-GB"/>
              </w:rPr>
              <w:t xml:space="preserve"> 31 March </w:t>
            </w:r>
          </w:p>
        </w:tc>
        <w:tc>
          <w:tcPr>
            <w:tcW w:w="1418" w:type="dxa"/>
            <w:noWrap/>
            <w:vAlign w:val="center"/>
          </w:tcPr>
          <w:p w14:paraId="07C42088" w14:textId="2BF43A80" w:rsidR="003B132D" w:rsidRPr="004C1C83" w:rsidRDefault="00654057" w:rsidP="003B132D">
            <w:pPr>
              <w:jc w:val="right"/>
              <w:rPr>
                <w:rFonts w:cs="Arial"/>
                <w:lang w:eastAsia="en-GB"/>
              </w:rPr>
            </w:pPr>
            <w:r>
              <w:rPr>
                <w:rFonts w:cs="Arial"/>
                <w:lang w:eastAsia="en-GB"/>
              </w:rPr>
              <w:t>4</w:t>
            </w:r>
            <w:r w:rsidR="00712403">
              <w:rPr>
                <w:rFonts w:cs="Arial"/>
                <w:lang w:eastAsia="en-GB"/>
              </w:rPr>
              <w:t>2</w:t>
            </w:r>
            <w:r>
              <w:rPr>
                <w:rFonts w:cs="Arial"/>
                <w:lang w:eastAsia="en-GB"/>
              </w:rPr>
              <w:t>2</w:t>
            </w:r>
          </w:p>
        </w:tc>
        <w:tc>
          <w:tcPr>
            <w:tcW w:w="1418" w:type="dxa"/>
            <w:vAlign w:val="center"/>
          </w:tcPr>
          <w:p w14:paraId="1FD5E99F" w14:textId="3E59394C" w:rsidR="003B132D" w:rsidRPr="00D915BB" w:rsidRDefault="003B132D" w:rsidP="003B132D">
            <w:pPr>
              <w:jc w:val="right"/>
              <w:rPr>
                <w:rFonts w:cs="Arial"/>
                <w:szCs w:val="24"/>
                <w:lang w:eastAsia="en-GB"/>
              </w:rPr>
            </w:pPr>
            <w:r w:rsidRPr="004C1C83">
              <w:rPr>
                <w:rFonts w:cs="Arial"/>
                <w:lang w:eastAsia="en-GB"/>
              </w:rPr>
              <w:t>467</w:t>
            </w:r>
          </w:p>
        </w:tc>
      </w:tr>
      <w:tr w:rsidR="003B132D" w:rsidRPr="00D948C1" w14:paraId="3D7B5732" w14:textId="77777777" w:rsidTr="22FF31C3">
        <w:trPr>
          <w:trHeight w:val="255"/>
        </w:trPr>
        <w:tc>
          <w:tcPr>
            <w:tcW w:w="4111" w:type="dxa"/>
            <w:noWrap/>
            <w:vAlign w:val="bottom"/>
          </w:tcPr>
          <w:p w14:paraId="5429776B" w14:textId="3FCC7B6D" w:rsidR="003B132D" w:rsidRPr="00D915BB" w:rsidRDefault="003B132D" w:rsidP="003B132D">
            <w:pPr>
              <w:rPr>
                <w:rFonts w:cs="Arial"/>
                <w:szCs w:val="24"/>
                <w:lang w:eastAsia="en-GB"/>
              </w:rPr>
            </w:pPr>
            <w:r w:rsidRPr="00D915BB">
              <w:rPr>
                <w:rFonts w:cs="Arial"/>
                <w:szCs w:val="24"/>
                <w:lang w:eastAsia="en-GB"/>
              </w:rPr>
              <w:t xml:space="preserve">Balance sheet </w:t>
            </w:r>
            <w:proofErr w:type="gramStart"/>
            <w:r w:rsidRPr="00D915BB">
              <w:rPr>
                <w:rFonts w:cs="Arial"/>
                <w:szCs w:val="24"/>
                <w:lang w:eastAsia="en-GB"/>
              </w:rPr>
              <w:t>at</w:t>
            </w:r>
            <w:proofErr w:type="gramEnd"/>
            <w:r w:rsidRPr="00D915BB">
              <w:rPr>
                <w:rFonts w:cs="Arial"/>
                <w:szCs w:val="24"/>
                <w:lang w:eastAsia="en-GB"/>
              </w:rPr>
              <w:t xml:space="preserve"> </w:t>
            </w:r>
            <w:r w:rsidR="001A20E9">
              <w:rPr>
                <w:rFonts w:cs="Arial"/>
                <w:szCs w:val="24"/>
                <w:lang w:eastAsia="en-GB"/>
              </w:rPr>
              <w:t>1 April</w:t>
            </w:r>
          </w:p>
        </w:tc>
        <w:tc>
          <w:tcPr>
            <w:tcW w:w="1418" w:type="dxa"/>
            <w:noWrap/>
            <w:vAlign w:val="center"/>
          </w:tcPr>
          <w:p w14:paraId="55D72188" w14:textId="70172076" w:rsidR="003B132D" w:rsidRPr="004C1C83" w:rsidRDefault="003B132D" w:rsidP="003B132D">
            <w:pPr>
              <w:jc w:val="right"/>
              <w:rPr>
                <w:rFonts w:cs="Arial"/>
                <w:lang w:eastAsia="en-GB"/>
              </w:rPr>
            </w:pPr>
            <w:r w:rsidRPr="004C1C83">
              <w:rPr>
                <w:rFonts w:cs="Arial"/>
                <w:lang w:eastAsia="en-GB"/>
              </w:rPr>
              <w:t>467</w:t>
            </w:r>
          </w:p>
        </w:tc>
        <w:tc>
          <w:tcPr>
            <w:tcW w:w="1418" w:type="dxa"/>
            <w:vAlign w:val="center"/>
          </w:tcPr>
          <w:p w14:paraId="0F629A7E" w14:textId="203F7ABA" w:rsidR="003B132D" w:rsidRPr="00D948C1" w:rsidRDefault="003B132D" w:rsidP="003B132D">
            <w:pPr>
              <w:jc w:val="right"/>
              <w:rPr>
                <w:rFonts w:cs="Arial"/>
                <w:szCs w:val="24"/>
                <w:lang w:eastAsia="en-GB"/>
              </w:rPr>
            </w:pPr>
            <w:r w:rsidRPr="004C1C83">
              <w:rPr>
                <w:rFonts w:cs="Arial"/>
                <w:lang w:eastAsia="en-GB"/>
              </w:rPr>
              <w:t>4</w:t>
            </w:r>
            <w:r w:rsidR="008F4EE0">
              <w:rPr>
                <w:rFonts w:cs="Arial"/>
                <w:lang w:eastAsia="en-GB"/>
              </w:rPr>
              <w:t>53</w:t>
            </w:r>
          </w:p>
        </w:tc>
      </w:tr>
    </w:tbl>
    <w:p w14:paraId="7997F038" w14:textId="77777777" w:rsidR="00074548" w:rsidRDefault="00074548">
      <w:pPr>
        <w:rPr>
          <w:szCs w:val="24"/>
        </w:rPr>
      </w:pPr>
      <w:r>
        <w:rPr>
          <w:szCs w:val="24"/>
        </w:rPr>
        <w:br w:type="page"/>
      </w:r>
    </w:p>
    <w:p w14:paraId="7FA1F480" w14:textId="63C11B48" w:rsidR="00AF0C70" w:rsidRDefault="00AF0C70" w:rsidP="00AF0C70">
      <w:pPr>
        <w:pStyle w:val="BodyTextIndent"/>
        <w:ind w:left="709" w:right="425"/>
        <w:rPr>
          <w:lang w:val="en-GB"/>
        </w:rPr>
      </w:pPr>
      <w:r w:rsidRPr="23D0E53B">
        <w:rPr>
          <w:lang w:val="en-GB"/>
        </w:rPr>
        <w:lastRenderedPageBreak/>
        <w:t xml:space="preserve">The following table provides details of </w:t>
      </w:r>
      <w:r w:rsidR="006C4CA7" w:rsidRPr="23D0E53B">
        <w:rPr>
          <w:lang w:val="en-GB"/>
        </w:rPr>
        <w:t xml:space="preserve">intangible </w:t>
      </w:r>
      <w:r w:rsidRPr="23D0E53B">
        <w:rPr>
          <w:lang w:val="en-GB"/>
        </w:rPr>
        <w:t xml:space="preserve">assets under development </w:t>
      </w:r>
      <w:proofErr w:type="gramStart"/>
      <w:r w:rsidRPr="23D0E53B">
        <w:rPr>
          <w:lang w:val="en-GB"/>
        </w:rPr>
        <w:t>at</w:t>
      </w:r>
      <w:proofErr w:type="gramEnd"/>
      <w:r w:rsidRPr="23D0E53B">
        <w:rPr>
          <w:lang w:val="en-GB"/>
        </w:rPr>
        <w:t xml:space="preserve"> 31 March:</w:t>
      </w:r>
    </w:p>
    <w:p w14:paraId="7ACBE308" w14:textId="77777777" w:rsidR="00F65D59" w:rsidRDefault="00F65D59" w:rsidP="00AF0C70">
      <w:pPr>
        <w:pStyle w:val="BodyTextIndent"/>
        <w:ind w:left="709" w:right="425"/>
        <w:rPr>
          <w:lang w:val="en-GB"/>
        </w:rPr>
      </w:pPr>
    </w:p>
    <w:tbl>
      <w:tblPr>
        <w:tblW w:w="69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1418"/>
      </w:tblGrid>
      <w:tr w:rsidR="00F65D59" w:rsidRPr="00D948C1" w14:paraId="14A9B14F" w14:textId="77777777">
        <w:trPr>
          <w:trHeight w:val="255"/>
          <w:tblHeader/>
        </w:trPr>
        <w:tc>
          <w:tcPr>
            <w:tcW w:w="4111" w:type="dxa"/>
            <w:shd w:val="clear" w:color="auto" w:fill="BD2716"/>
            <w:noWrap/>
            <w:vAlign w:val="bottom"/>
          </w:tcPr>
          <w:p w14:paraId="41133168" w14:textId="77777777" w:rsidR="00F65D59" w:rsidRPr="00D948C1" w:rsidRDefault="00F65D59">
            <w:pPr>
              <w:ind w:firstLine="34"/>
              <w:rPr>
                <w:rFonts w:cs="Arial"/>
                <w:b/>
                <w:bCs/>
                <w:color w:val="FFFFFF" w:themeColor="background1"/>
                <w:szCs w:val="24"/>
                <w:lang w:eastAsia="en-GB"/>
              </w:rPr>
            </w:pPr>
          </w:p>
        </w:tc>
        <w:tc>
          <w:tcPr>
            <w:tcW w:w="1418" w:type="dxa"/>
            <w:shd w:val="clear" w:color="auto" w:fill="BD2716"/>
            <w:noWrap/>
            <w:vAlign w:val="center"/>
          </w:tcPr>
          <w:p w14:paraId="185B4CBC" w14:textId="0D03C7EE" w:rsidR="00F65D59" w:rsidRPr="00D948C1" w:rsidRDefault="001A42DD">
            <w:pPr>
              <w:pStyle w:val="BodyTextIndent"/>
              <w:ind w:left="0"/>
              <w:jc w:val="right"/>
              <w:rPr>
                <w:color w:val="FFFFFF" w:themeColor="background1"/>
                <w:szCs w:val="24"/>
                <w:lang w:val="en-GB"/>
              </w:rPr>
            </w:pPr>
            <w:r>
              <w:rPr>
                <w:color w:val="FFFFFF" w:themeColor="background1"/>
                <w:szCs w:val="24"/>
                <w:lang w:val="en-GB"/>
              </w:rPr>
              <w:t>2025-26</w:t>
            </w:r>
          </w:p>
          <w:p w14:paraId="019B75A2" w14:textId="77777777" w:rsidR="00F65D59" w:rsidRPr="00D948C1" w:rsidRDefault="00F65D59">
            <w:pPr>
              <w:pStyle w:val="BodyTextIndent"/>
              <w:ind w:left="0"/>
              <w:jc w:val="right"/>
              <w:rPr>
                <w:color w:val="FFFFFF" w:themeColor="background1"/>
                <w:szCs w:val="24"/>
                <w:lang w:val="en-GB"/>
              </w:rPr>
            </w:pPr>
            <w:r w:rsidRPr="00D948C1">
              <w:rPr>
                <w:color w:val="FFFFFF" w:themeColor="background1"/>
                <w:szCs w:val="24"/>
                <w:lang w:val="en-GB"/>
              </w:rPr>
              <w:t>£000</w:t>
            </w:r>
          </w:p>
        </w:tc>
        <w:tc>
          <w:tcPr>
            <w:tcW w:w="1418" w:type="dxa"/>
            <w:shd w:val="clear" w:color="auto" w:fill="BD2716"/>
            <w:vAlign w:val="center"/>
          </w:tcPr>
          <w:p w14:paraId="1BDA5094" w14:textId="0CC52F48" w:rsidR="00DC66ED" w:rsidRPr="00D948C1" w:rsidRDefault="001A42DD" w:rsidP="00DC66ED">
            <w:pPr>
              <w:pStyle w:val="BodyTextIndent"/>
              <w:ind w:left="0"/>
              <w:jc w:val="right"/>
              <w:rPr>
                <w:color w:val="FFFFFF" w:themeColor="background1"/>
                <w:szCs w:val="24"/>
                <w:lang w:val="en-GB"/>
              </w:rPr>
            </w:pPr>
            <w:r>
              <w:rPr>
                <w:color w:val="FFFFFF" w:themeColor="background1"/>
                <w:szCs w:val="24"/>
                <w:lang w:val="en-GB"/>
              </w:rPr>
              <w:t>2024-25</w:t>
            </w:r>
          </w:p>
          <w:p w14:paraId="4775FE4D" w14:textId="21520C5E" w:rsidR="00F65D59" w:rsidRPr="00D948C1" w:rsidRDefault="00DC66ED" w:rsidP="00DC66ED">
            <w:pPr>
              <w:pStyle w:val="BodyTextIndent"/>
              <w:ind w:left="0"/>
              <w:jc w:val="right"/>
              <w:rPr>
                <w:color w:val="FFFFFF" w:themeColor="background1"/>
                <w:szCs w:val="24"/>
                <w:lang w:val="en-GB"/>
              </w:rPr>
            </w:pPr>
            <w:r w:rsidRPr="00D948C1">
              <w:rPr>
                <w:color w:val="FFFFFF" w:themeColor="background1"/>
                <w:szCs w:val="24"/>
                <w:lang w:val="en-GB"/>
              </w:rPr>
              <w:t>£000</w:t>
            </w:r>
          </w:p>
        </w:tc>
      </w:tr>
      <w:tr w:rsidR="00F65D59" w:rsidRPr="00D948C1" w14:paraId="271ACE41" w14:textId="77777777">
        <w:trPr>
          <w:trHeight w:val="255"/>
        </w:trPr>
        <w:tc>
          <w:tcPr>
            <w:tcW w:w="6947" w:type="dxa"/>
            <w:gridSpan w:val="3"/>
            <w:shd w:val="clear" w:color="auto" w:fill="D9D9D9" w:themeFill="background1" w:themeFillShade="D9"/>
            <w:noWrap/>
            <w:vAlign w:val="bottom"/>
          </w:tcPr>
          <w:p w14:paraId="4D03D54D" w14:textId="77777777" w:rsidR="00F65D59" w:rsidRPr="00D948C1" w:rsidRDefault="00F65D59">
            <w:pPr>
              <w:rPr>
                <w:rFonts w:cs="Arial"/>
                <w:szCs w:val="24"/>
                <w:lang w:eastAsia="en-GB"/>
              </w:rPr>
            </w:pPr>
            <w:r w:rsidRPr="00D948C1">
              <w:rPr>
                <w:rFonts w:cs="Arial"/>
                <w:b/>
                <w:bCs/>
                <w:szCs w:val="24"/>
                <w:lang w:eastAsia="en-GB"/>
              </w:rPr>
              <w:t>Cost or valuation</w:t>
            </w:r>
          </w:p>
        </w:tc>
      </w:tr>
      <w:tr w:rsidR="00F65D59" w:rsidRPr="000669E5" w14:paraId="1788AD28" w14:textId="77777777">
        <w:trPr>
          <w:trHeight w:val="255"/>
        </w:trPr>
        <w:tc>
          <w:tcPr>
            <w:tcW w:w="4111" w:type="dxa"/>
            <w:noWrap/>
            <w:vAlign w:val="bottom"/>
          </w:tcPr>
          <w:p w14:paraId="4A6760F0" w14:textId="797160AF" w:rsidR="00F65D59" w:rsidRPr="00D948C1" w:rsidRDefault="00F65D59">
            <w:pPr>
              <w:rPr>
                <w:rFonts w:cs="Arial"/>
                <w:szCs w:val="24"/>
                <w:lang w:eastAsia="en-GB"/>
              </w:rPr>
            </w:pPr>
            <w:proofErr w:type="gramStart"/>
            <w:r w:rsidRPr="00D948C1">
              <w:rPr>
                <w:rFonts w:cs="Arial"/>
                <w:szCs w:val="24"/>
                <w:lang w:eastAsia="en-GB"/>
              </w:rPr>
              <w:t>At</w:t>
            </w:r>
            <w:proofErr w:type="gramEnd"/>
            <w:r w:rsidRPr="00D948C1">
              <w:rPr>
                <w:rFonts w:cs="Arial"/>
                <w:szCs w:val="24"/>
                <w:lang w:eastAsia="en-GB"/>
              </w:rPr>
              <w:t xml:space="preserve"> </w:t>
            </w:r>
            <w:r>
              <w:rPr>
                <w:rFonts w:cs="Arial"/>
                <w:szCs w:val="24"/>
                <w:lang w:eastAsia="en-GB"/>
              </w:rPr>
              <w:t>31 March</w:t>
            </w:r>
          </w:p>
        </w:tc>
        <w:tc>
          <w:tcPr>
            <w:tcW w:w="1418" w:type="dxa"/>
            <w:noWrap/>
            <w:vAlign w:val="center"/>
          </w:tcPr>
          <w:p w14:paraId="7AFEC268" w14:textId="6A15B728" w:rsidR="00F65D59" w:rsidRPr="00D67E05" w:rsidRDefault="00B76831">
            <w:pPr>
              <w:jc w:val="right"/>
              <w:rPr>
                <w:rFonts w:cs="Arial"/>
                <w:lang w:eastAsia="en-GB"/>
              </w:rPr>
            </w:pPr>
            <w:r>
              <w:rPr>
                <w:rFonts w:cs="Arial"/>
                <w:lang w:eastAsia="en-GB"/>
              </w:rPr>
              <w:t>75</w:t>
            </w:r>
          </w:p>
        </w:tc>
        <w:tc>
          <w:tcPr>
            <w:tcW w:w="1418" w:type="dxa"/>
            <w:vAlign w:val="center"/>
          </w:tcPr>
          <w:p w14:paraId="1A750D37" w14:textId="0E46DFB2" w:rsidR="00F65D59" w:rsidRPr="000669E5" w:rsidRDefault="00086894">
            <w:pPr>
              <w:jc w:val="right"/>
              <w:rPr>
                <w:rFonts w:cs="Arial"/>
                <w:szCs w:val="24"/>
                <w:lang w:eastAsia="en-GB"/>
              </w:rPr>
            </w:pPr>
            <w:r>
              <w:rPr>
                <w:rFonts w:cs="Arial"/>
                <w:szCs w:val="24"/>
                <w:lang w:eastAsia="en-GB"/>
              </w:rPr>
              <w:t>57</w:t>
            </w:r>
          </w:p>
        </w:tc>
      </w:tr>
      <w:tr w:rsidR="00F65D59" w:rsidRPr="000669E5" w14:paraId="433DB45F" w14:textId="77777777">
        <w:trPr>
          <w:trHeight w:val="255"/>
        </w:trPr>
        <w:tc>
          <w:tcPr>
            <w:tcW w:w="4111" w:type="dxa"/>
            <w:noWrap/>
            <w:vAlign w:val="bottom"/>
          </w:tcPr>
          <w:p w14:paraId="71679784" w14:textId="1F8F6DD1" w:rsidR="00F65D59" w:rsidRPr="00D948C1" w:rsidRDefault="00F65D59">
            <w:pPr>
              <w:pStyle w:val="CommentText"/>
              <w:rPr>
                <w:rFonts w:cs="Arial"/>
                <w:sz w:val="24"/>
                <w:szCs w:val="24"/>
                <w:lang w:eastAsia="en-GB"/>
              </w:rPr>
            </w:pPr>
            <w:proofErr w:type="gramStart"/>
            <w:r>
              <w:rPr>
                <w:rFonts w:cs="Arial"/>
                <w:sz w:val="24"/>
                <w:szCs w:val="24"/>
                <w:lang w:eastAsia="en-GB"/>
              </w:rPr>
              <w:t>At</w:t>
            </w:r>
            <w:proofErr w:type="gramEnd"/>
            <w:r>
              <w:rPr>
                <w:rFonts w:cs="Arial"/>
                <w:sz w:val="24"/>
                <w:szCs w:val="24"/>
                <w:lang w:eastAsia="en-GB"/>
              </w:rPr>
              <w:t xml:space="preserve"> </w:t>
            </w:r>
            <w:r w:rsidR="00B76831">
              <w:rPr>
                <w:rFonts w:cs="Arial"/>
                <w:sz w:val="24"/>
                <w:szCs w:val="24"/>
                <w:lang w:eastAsia="en-GB"/>
              </w:rPr>
              <w:t>1 April</w:t>
            </w:r>
          </w:p>
        </w:tc>
        <w:tc>
          <w:tcPr>
            <w:tcW w:w="1418" w:type="dxa"/>
            <w:noWrap/>
            <w:vAlign w:val="center"/>
          </w:tcPr>
          <w:p w14:paraId="2E2CA7CD" w14:textId="01EAA434" w:rsidR="00F65D59" w:rsidRPr="00D67E05" w:rsidRDefault="00EF11E4">
            <w:pPr>
              <w:jc w:val="right"/>
              <w:rPr>
                <w:rFonts w:cs="Arial"/>
                <w:lang w:eastAsia="en-GB"/>
              </w:rPr>
            </w:pPr>
            <w:r>
              <w:rPr>
                <w:rFonts w:cs="Arial"/>
                <w:lang w:eastAsia="en-GB"/>
              </w:rPr>
              <w:t>57</w:t>
            </w:r>
          </w:p>
        </w:tc>
        <w:tc>
          <w:tcPr>
            <w:tcW w:w="1418" w:type="dxa"/>
            <w:vAlign w:val="center"/>
          </w:tcPr>
          <w:p w14:paraId="022E3F44" w14:textId="39895205" w:rsidR="00F65D59" w:rsidRPr="000669E5" w:rsidRDefault="00086894">
            <w:pPr>
              <w:jc w:val="right"/>
              <w:rPr>
                <w:rFonts w:cs="Arial"/>
                <w:szCs w:val="24"/>
                <w:lang w:eastAsia="en-GB"/>
              </w:rPr>
            </w:pPr>
            <w:r>
              <w:rPr>
                <w:rFonts w:cs="Arial"/>
                <w:lang w:eastAsia="en-GB"/>
              </w:rPr>
              <w:t>-</w:t>
            </w:r>
          </w:p>
        </w:tc>
      </w:tr>
    </w:tbl>
    <w:p w14:paraId="582FE93A" w14:textId="77777777" w:rsidR="00F65D59" w:rsidRDefault="00F65D59" w:rsidP="00AF0C70">
      <w:pPr>
        <w:pStyle w:val="BodyTextIndent"/>
        <w:ind w:left="709" w:right="425"/>
        <w:rPr>
          <w:lang w:val="en-GB"/>
        </w:rPr>
      </w:pPr>
    </w:p>
    <w:p w14:paraId="6AD9796E" w14:textId="522C4FFC" w:rsidR="00AF0C70" w:rsidRPr="00DB40DC" w:rsidRDefault="006C4CA7" w:rsidP="00AF0C70">
      <w:pPr>
        <w:pStyle w:val="BodyTextIndent"/>
        <w:ind w:left="709" w:right="425"/>
        <w:rPr>
          <w:lang w:val="en-GB"/>
        </w:rPr>
      </w:pPr>
      <w:r w:rsidRPr="0B612C8E">
        <w:rPr>
          <w:lang w:val="en-GB"/>
        </w:rPr>
        <w:t>Intangible a</w:t>
      </w:r>
      <w:r w:rsidR="00AF0C70" w:rsidRPr="0B612C8E">
        <w:rPr>
          <w:lang w:val="en-GB"/>
        </w:rPr>
        <w:t>ssets under construction are held at cost and not</w:t>
      </w:r>
      <w:r w:rsidR="00F65D59" w:rsidRPr="0B612C8E">
        <w:rPr>
          <w:lang w:val="en-GB"/>
        </w:rPr>
        <w:t xml:space="preserve"> amortised</w:t>
      </w:r>
      <w:r w:rsidR="00AF0C70" w:rsidRPr="0B612C8E">
        <w:rPr>
          <w:lang w:val="en-GB"/>
        </w:rPr>
        <w:t xml:space="preserve"> until they come into service.</w:t>
      </w:r>
    </w:p>
    <w:p w14:paraId="6205C6CD" w14:textId="77777777" w:rsidR="004B58BE" w:rsidRPr="00DB40DC" w:rsidRDefault="004B58BE" w:rsidP="00F65D59">
      <w:pPr>
        <w:pStyle w:val="BodyTextIndent"/>
        <w:ind w:left="0"/>
        <w:jc w:val="both"/>
      </w:pPr>
    </w:p>
    <w:p w14:paraId="236772BA" w14:textId="512F3FED" w:rsidR="00D90216" w:rsidRPr="00DB40DC" w:rsidRDefault="007C6DCB" w:rsidP="22FF31C3">
      <w:pPr>
        <w:pStyle w:val="Heading2"/>
        <w:jc w:val="left"/>
        <w:rPr>
          <w:sz w:val="24"/>
          <w:szCs w:val="24"/>
        </w:rPr>
      </w:pPr>
      <w:bookmarkStart w:id="35" w:name="_Toc233717527"/>
      <w:r w:rsidRPr="0B612C8E">
        <w:rPr>
          <w:sz w:val="24"/>
          <w:szCs w:val="24"/>
        </w:rPr>
        <w:t>8</w:t>
      </w:r>
      <w:r>
        <w:tab/>
      </w:r>
      <w:bookmarkStart w:id="36" w:name="N8"/>
      <w:bookmarkEnd w:id="36"/>
      <w:r w:rsidR="00D90216" w:rsidRPr="0B612C8E">
        <w:rPr>
          <w:sz w:val="24"/>
          <w:szCs w:val="24"/>
        </w:rPr>
        <w:t>Financial Instruments</w:t>
      </w:r>
      <w:bookmarkEnd w:id="35"/>
    </w:p>
    <w:p w14:paraId="52A916E5" w14:textId="77777777" w:rsidR="00D90216" w:rsidRPr="00DB40DC" w:rsidRDefault="00D90216" w:rsidP="22FF31C3">
      <w:pPr>
        <w:ind w:left="720"/>
      </w:pPr>
    </w:p>
    <w:p w14:paraId="3BE03A6A" w14:textId="689DDDDD" w:rsidR="000D5322" w:rsidRPr="00DB40DC" w:rsidRDefault="00D90216" w:rsidP="22FF31C3">
      <w:pPr>
        <w:ind w:left="709" w:hanging="709"/>
      </w:pPr>
      <w:r w:rsidRPr="00851AAC">
        <w:rPr>
          <w:szCs w:val="24"/>
        </w:rPr>
        <w:tab/>
      </w:r>
      <w:r w:rsidR="000D5322" w:rsidRPr="0B612C8E">
        <w:t xml:space="preserve">A financial instrument is a contract which gives rise to a financial asset of one entity and a financial liability or equity instrument of another entity. No-exchange transactions such as those relating to taxes and government grants do not give rise to financial instruments. </w:t>
      </w:r>
    </w:p>
    <w:p w14:paraId="242DCB94" w14:textId="77777777" w:rsidR="000D5322" w:rsidRPr="00DB40DC" w:rsidRDefault="000D5322" w:rsidP="22FF31C3">
      <w:pPr>
        <w:ind w:left="709" w:hanging="709"/>
      </w:pPr>
    </w:p>
    <w:p w14:paraId="0BE7A2CB" w14:textId="02C96F10" w:rsidR="000D5322" w:rsidRPr="00DB40DC" w:rsidRDefault="000D5322" w:rsidP="22FF31C3">
      <w:pPr>
        <w:ind w:firstLine="702"/>
        <w:rPr>
          <w:b/>
        </w:rPr>
      </w:pPr>
      <w:r w:rsidRPr="0B612C8E">
        <w:rPr>
          <w:b/>
        </w:rPr>
        <w:t>Financial assets – balances</w:t>
      </w:r>
    </w:p>
    <w:p w14:paraId="505CF7CC" w14:textId="77777777" w:rsidR="000D5322" w:rsidRPr="00DB40DC" w:rsidRDefault="000D5322" w:rsidP="22FF31C3">
      <w:pPr>
        <w:ind w:left="1411" w:hanging="709"/>
        <w:rPr>
          <w:b/>
        </w:rPr>
      </w:pPr>
    </w:p>
    <w:p w14:paraId="199B33D7" w14:textId="0B55445A" w:rsidR="000D5322" w:rsidRPr="00DB40DC" w:rsidRDefault="000D5322" w:rsidP="22FF31C3">
      <w:pPr>
        <w:ind w:left="709" w:hanging="7"/>
      </w:pPr>
      <w:r>
        <w:t xml:space="preserve">A financial asset is a right to future economic benefits </w:t>
      </w:r>
      <w:r w:rsidR="00B817F8">
        <w:t xml:space="preserve">controlled by the Authority that is represented by cash, equity instruments or a contractual right to receive cash or other financial assets or a right to exchange financial assets and liabilities with another entity that is potentially favourable to the Authority. The financial assets held by the Authority during the year are </w:t>
      </w:r>
      <w:r w:rsidR="00704891">
        <w:t xml:space="preserve">all </w:t>
      </w:r>
      <w:r w:rsidR="00B817F8">
        <w:t>accounted for under the amortised cost, comprising:</w:t>
      </w:r>
    </w:p>
    <w:p w14:paraId="722073B4" w14:textId="338B72DD" w:rsidR="00B817F8" w:rsidRPr="00DB40DC" w:rsidRDefault="00B817F8" w:rsidP="22FF31C3">
      <w:pPr>
        <w:pStyle w:val="ListParagraph"/>
        <w:numPr>
          <w:ilvl w:val="1"/>
          <w:numId w:val="33"/>
        </w:numPr>
      </w:pPr>
      <w:r>
        <w:t>Investments, which are loans to other local authorities</w:t>
      </w:r>
      <w:r w:rsidR="000A40E3">
        <w:t>.</w:t>
      </w:r>
    </w:p>
    <w:p w14:paraId="6203ADDC" w14:textId="07C25F21" w:rsidR="00B817F8" w:rsidRPr="00DB40DC" w:rsidRDefault="00B817F8" w:rsidP="22FF31C3">
      <w:pPr>
        <w:pStyle w:val="ListParagraph"/>
        <w:numPr>
          <w:ilvl w:val="1"/>
          <w:numId w:val="33"/>
        </w:numPr>
      </w:pPr>
      <w:r>
        <w:t>Cash in hand and bank current and deposit accounts</w:t>
      </w:r>
      <w:r w:rsidR="000A40E3">
        <w:t>.</w:t>
      </w:r>
    </w:p>
    <w:p w14:paraId="37A98BA3" w14:textId="1C7F4AC8" w:rsidR="00F74E7D" w:rsidRPr="00DB40DC" w:rsidRDefault="00B817F8" w:rsidP="22FF31C3">
      <w:pPr>
        <w:pStyle w:val="ListParagraph"/>
        <w:numPr>
          <w:ilvl w:val="1"/>
          <w:numId w:val="33"/>
        </w:numPr>
      </w:pPr>
      <w:r>
        <w:t>Trade receivables for goods and services provided</w:t>
      </w:r>
      <w:r w:rsidR="000A40E3">
        <w:t>.</w:t>
      </w:r>
    </w:p>
    <w:p w14:paraId="75FAE1C1" w14:textId="2BD2E75D" w:rsidR="00372872" w:rsidRPr="00DB40DC" w:rsidRDefault="00372872" w:rsidP="22FF31C3"/>
    <w:p w14:paraId="41BED5C5" w14:textId="7F3D83EC" w:rsidR="00B817F8" w:rsidRPr="00D948C1" w:rsidRDefault="00B817F8" w:rsidP="00BC6C4F">
      <w:pPr>
        <w:ind w:left="702"/>
      </w:pPr>
      <w:r>
        <w:t>The financial assets disclosed in the Balance Sheet are analysed across the following categories:</w:t>
      </w:r>
    </w:p>
    <w:p w14:paraId="511BB0BF" w14:textId="77777777" w:rsidR="00D90216" w:rsidRPr="00D948C1" w:rsidRDefault="00D90216" w:rsidP="00326762">
      <w:pPr>
        <w:rPr>
          <w:sz w:val="22"/>
          <w:szCs w:val="22"/>
        </w:rPr>
      </w:pPr>
    </w:p>
    <w:tbl>
      <w:tblPr>
        <w:tblW w:w="87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1189"/>
        <w:gridCol w:w="1189"/>
        <w:gridCol w:w="1189"/>
        <w:gridCol w:w="1189"/>
      </w:tblGrid>
      <w:tr w:rsidR="002C07CF" w:rsidRPr="00D948C1" w14:paraId="1A16677D" w14:textId="77777777" w:rsidTr="007641BA">
        <w:trPr>
          <w:cantSplit/>
          <w:trHeight w:val="283"/>
          <w:tblHeader/>
        </w:trPr>
        <w:tc>
          <w:tcPr>
            <w:tcW w:w="4032" w:type="dxa"/>
            <w:shd w:val="clear" w:color="auto" w:fill="BD2716"/>
          </w:tcPr>
          <w:p w14:paraId="2E58627C" w14:textId="77777777" w:rsidR="002C07CF" w:rsidRPr="00D948C1" w:rsidRDefault="002C07CF" w:rsidP="00CD62E6">
            <w:pPr>
              <w:rPr>
                <w:color w:val="FFFFFF" w:themeColor="background1"/>
                <w:szCs w:val="24"/>
              </w:rPr>
            </w:pPr>
          </w:p>
        </w:tc>
        <w:tc>
          <w:tcPr>
            <w:tcW w:w="2378" w:type="dxa"/>
            <w:gridSpan w:val="2"/>
            <w:shd w:val="clear" w:color="auto" w:fill="BD2716"/>
            <w:vAlign w:val="center"/>
          </w:tcPr>
          <w:p w14:paraId="0FC6F362" w14:textId="2DFCB224" w:rsidR="002C07CF" w:rsidRPr="00D948C1" w:rsidRDefault="002C07CF" w:rsidP="00CD62E6">
            <w:pPr>
              <w:jc w:val="center"/>
              <w:rPr>
                <w:color w:val="FFFFFF" w:themeColor="background1"/>
                <w:szCs w:val="24"/>
              </w:rPr>
            </w:pPr>
            <w:r w:rsidRPr="00D948C1">
              <w:rPr>
                <w:color w:val="FFFFFF" w:themeColor="background1"/>
                <w:szCs w:val="24"/>
              </w:rPr>
              <w:t>Long-Term</w:t>
            </w:r>
          </w:p>
        </w:tc>
        <w:tc>
          <w:tcPr>
            <w:tcW w:w="2378" w:type="dxa"/>
            <w:gridSpan w:val="2"/>
            <w:shd w:val="clear" w:color="auto" w:fill="BD2716"/>
            <w:vAlign w:val="center"/>
          </w:tcPr>
          <w:p w14:paraId="5E73C340" w14:textId="610606B2" w:rsidR="002C07CF" w:rsidRPr="00D948C1" w:rsidRDefault="002C07CF" w:rsidP="00E42E0C">
            <w:pPr>
              <w:jc w:val="center"/>
              <w:rPr>
                <w:color w:val="FFFFFF" w:themeColor="background1"/>
                <w:szCs w:val="24"/>
              </w:rPr>
            </w:pPr>
            <w:r w:rsidRPr="00D948C1">
              <w:rPr>
                <w:color w:val="FFFFFF" w:themeColor="background1"/>
                <w:szCs w:val="24"/>
              </w:rPr>
              <w:t>Current</w:t>
            </w:r>
          </w:p>
        </w:tc>
      </w:tr>
      <w:tr w:rsidR="00DB40DC" w:rsidRPr="00D948C1" w14:paraId="7BC2AD3F" w14:textId="77777777" w:rsidTr="00611673">
        <w:trPr>
          <w:cantSplit/>
          <w:trHeight w:val="536"/>
          <w:tblHeader/>
        </w:trPr>
        <w:tc>
          <w:tcPr>
            <w:tcW w:w="4032" w:type="dxa"/>
            <w:shd w:val="clear" w:color="auto" w:fill="BD2716"/>
          </w:tcPr>
          <w:p w14:paraId="688CD5D6" w14:textId="77777777" w:rsidR="00DB40DC" w:rsidRPr="00D948C1" w:rsidRDefault="00DB40DC" w:rsidP="00DB40DC">
            <w:pPr>
              <w:rPr>
                <w:color w:val="FFFFFF" w:themeColor="background1"/>
                <w:szCs w:val="24"/>
              </w:rPr>
            </w:pPr>
          </w:p>
        </w:tc>
        <w:tc>
          <w:tcPr>
            <w:tcW w:w="1189" w:type="dxa"/>
            <w:shd w:val="clear" w:color="auto" w:fill="BD2716"/>
            <w:vAlign w:val="center"/>
          </w:tcPr>
          <w:p w14:paraId="4D8EFC4A" w14:textId="7669AC8A"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7DF4721E" w14:textId="2B70C135" w:rsidR="00DB40DC" w:rsidRPr="00D948C1" w:rsidRDefault="00DB40DC" w:rsidP="00DB40DC">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5C77C3EC" w14:textId="3652270A"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25CAE103" w14:textId="25E939EE" w:rsidR="00DB40DC" w:rsidRPr="00D948C1" w:rsidRDefault="00DB40DC" w:rsidP="00DB40DC">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25EB3A08" w14:textId="1BE5A1AA"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7326EA28" w14:textId="79A08BA2" w:rsidR="00DB40DC" w:rsidRPr="00D948C1" w:rsidRDefault="00DB40DC" w:rsidP="00DB40DC">
            <w:pPr>
              <w:jc w:val="right"/>
              <w:rPr>
                <w:color w:val="FFFFFF" w:themeColor="background1"/>
                <w:szCs w:val="24"/>
              </w:rPr>
            </w:pPr>
            <w:r w:rsidRPr="00D948C1">
              <w:rPr>
                <w:color w:val="FFFFFF" w:themeColor="background1"/>
                <w:szCs w:val="24"/>
              </w:rPr>
              <w:t>£000</w:t>
            </w:r>
          </w:p>
        </w:tc>
        <w:tc>
          <w:tcPr>
            <w:tcW w:w="1189" w:type="dxa"/>
            <w:shd w:val="clear" w:color="auto" w:fill="BD2716"/>
            <w:vAlign w:val="center"/>
          </w:tcPr>
          <w:p w14:paraId="37BAE06E" w14:textId="77777777"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36F1F7F8" w14:textId="1740BF05" w:rsidR="00DB40DC" w:rsidRPr="00D948C1" w:rsidRDefault="00DB40DC" w:rsidP="00DB40DC">
            <w:pPr>
              <w:jc w:val="right"/>
              <w:rPr>
                <w:color w:val="FFFFFF" w:themeColor="background1"/>
                <w:szCs w:val="24"/>
              </w:rPr>
            </w:pPr>
            <w:r w:rsidRPr="00D948C1">
              <w:rPr>
                <w:color w:val="FFFFFF" w:themeColor="background1"/>
                <w:szCs w:val="24"/>
              </w:rPr>
              <w:t>£000</w:t>
            </w:r>
          </w:p>
        </w:tc>
      </w:tr>
      <w:tr w:rsidR="00DB40DC" w:rsidRPr="00D948C1" w14:paraId="694A310C" w14:textId="77777777" w:rsidTr="006637EE">
        <w:trPr>
          <w:cantSplit/>
          <w:trHeight w:val="278"/>
        </w:trPr>
        <w:tc>
          <w:tcPr>
            <w:tcW w:w="4032" w:type="dxa"/>
            <w:vAlign w:val="center"/>
          </w:tcPr>
          <w:p w14:paraId="39AC845D" w14:textId="77777777" w:rsidR="00DB40DC" w:rsidRPr="00D948C1" w:rsidRDefault="00DB40DC" w:rsidP="00DB40DC">
            <w:pPr>
              <w:rPr>
                <w:szCs w:val="24"/>
              </w:rPr>
            </w:pPr>
            <w:r w:rsidRPr="00D948C1">
              <w:rPr>
                <w:szCs w:val="24"/>
              </w:rPr>
              <w:t>Investments</w:t>
            </w:r>
          </w:p>
        </w:tc>
        <w:tc>
          <w:tcPr>
            <w:tcW w:w="1189" w:type="dxa"/>
            <w:vAlign w:val="center"/>
          </w:tcPr>
          <w:p w14:paraId="2A5EBC5A" w14:textId="415D86C1" w:rsidR="00DB40DC" w:rsidRPr="00D948C1" w:rsidRDefault="002F0C82" w:rsidP="00DB40DC">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0F6C9700" w14:textId="70524707" w:rsidR="00DB40DC" w:rsidRPr="00D948C1" w:rsidRDefault="00DB40DC" w:rsidP="00DB40DC">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53E9875B" w14:textId="31370603" w:rsidR="00DB40DC" w:rsidRPr="003613A5" w:rsidRDefault="0028692A" w:rsidP="00DB40DC">
            <w:pPr>
              <w:pStyle w:val="Footer"/>
              <w:tabs>
                <w:tab w:val="clear" w:pos="4153"/>
                <w:tab w:val="clear" w:pos="8306"/>
                <w:tab w:val="decimal" w:pos="576"/>
                <w:tab w:val="decimal" w:pos="1012"/>
              </w:tabs>
              <w:jc w:val="right"/>
              <w:rPr>
                <w:szCs w:val="24"/>
              </w:rPr>
            </w:pPr>
            <w:r>
              <w:rPr>
                <w:szCs w:val="24"/>
              </w:rPr>
              <w:t>39,115</w:t>
            </w:r>
          </w:p>
        </w:tc>
        <w:tc>
          <w:tcPr>
            <w:tcW w:w="1189" w:type="dxa"/>
            <w:shd w:val="clear" w:color="00FFFF" w:fill="auto"/>
            <w:vAlign w:val="center"/>
          </w:tcPr>
          <w:p w14:paraId="40FA9C47" w14:textId="7EA38461" w:rsidR="00DB40DC" w:rsidRPr="00107EE5" w:rsidRDefault="00DB40DC" w:rsidP="00DB40DC">
            <w:pPr>
              <w:pStyle w:val="Footer"/>
              <w:tabs>
                <w:tab w:val="clear" w:pos="4153"/>
                <w:tab w:val="clear" w:pos="8306"/>
                <w:tab w:val="decimal" w:pos="576"/>
                <w:tab w:val="decimal" w:pos="1012"/>
              </w:tabs>
              <w:jc w:val="right"/>
              <w:rPr>
                <w:szCs w:val="24"/>
                <w:highlight w:val="green"/>
              </w:rPr>
            </w:pPr>
            <w:r w:rsidRPr="003613A5">
              <w:rPr>
                <w:szCs w:val="24"/>
              </w:rPr>
              <w:t>49,540</w:t>
            </w:r>
          </w:p>
        </w:tc>
      </w:tr>
      <w:tr w:rsidR="00DB40DC" w:rsidRPr="00D948C1" w14:paraId="0815085C" w14:textId="77777777" w:rsidTr="006637EE">
        <w:trPr>
          <w:cantSplit/>
          <w:trHeight w:val="278"/>
        </w:trPr>
        <w:tc>
          <w:tcPr>
            <w:tcW w:w="4032" w:type="dxa"/>
            <w:vAlign w:val="center"/>
          </w:tcPr>
          <w:p w14:paraId="5E4890B8" w14:textId="77777777" w:rsidR="00DB40DC" w:rsidRPr="00D948C1" w:rsidDel="00075251" w:rsidRDefault="00DB40DC" w:rsidP="00DB40DC">
            <w:pPr>
              <w:rPr>
                <w:szCs w:val="24"/>
              </w:rPr>
            </w:pPr>
            <w:r w:rsidRPr="00D948C1">
              <w:rPr>
                <w:szCs w:val="24"/>
              </w:rPr>
              <w:t>Cash &amp; cash equivalents</w:t>
            </w:r>
          </w:p>
        </w:tc>
        <w:tc>
          <w:tcPr>
            <w:tcW w:w="1189" w:type="dxa"/>
            <w:vAlign w:val="center"/>
          </w:tcPr>
          <w:p w14:paraId="20E4CA3F" w14:textId="511C5BAF" w:rsidR="00DB40DC" w:rsidRPr="00D948C1" w:rsidRDefault="00CE7DFE" w:rsidP="00DB40DC">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042F9FD8" w14:textId="52FBDFAF" w:rsidR="00DB40DC" w:rsidRPr="00D948C1" w:rsidRDefault="00DB40DC" w:rsidP="00DB40DC">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3213C37D" w14:textId="5043B8FB" w:rsidR="00DB40DC" w:rsidRPr="003613A5" w:rsidRDefault="00CE7DFE" w:rsidP="00DB40DC">
            <w:pPr>
              <w:pStyle w:val="Footer"/>
              <w:tabs>
                <w:tab w:val="clear" w:pos="4153"/>
                <w:tab w:val="clear" w:pos="8306"/>
                <w:tab w:val="decimal" w:pos="576"/>
                <w:tab w:val="decimal" w:pos="1012"/>
              </w:tabs>
              <w:jc w:val="right"/>
              <w:rPr>
                <w:szCs w:val="24"/>
              </w:rPr>
            </w:pPr>
            <w:r>
              <w:rPr>
                <w:szCs w:val="24"/>
              </w:rPr>
              <w:t>451</w:t>
            </w:r>
          </w:p>
        </w:tc>
        <w:tc>
          <w:tcPr>
            <w:tcW w:w="1189" w:type="dxa"/>
            <w:shd w:val="clear" w:color="00FFFF" w:fill="auto"/>
            <w:vAlign w:val="center"/>
          </w:tcPr>
          <w:p w14:paraId="3B3F57B8" w14:textId="2CB5B086" w:rsidR="00DB40DC" w:rsidRPr="009A6DCA" w:rsidRDefault="00DB40DC" w:rsidP="00DB40DC">
            <w:pPr>
              <w:pStyle w:val="Footer"/>
              <w:tabs>
                <w:tab w:val="clear" w:pos="4153"/>
                <w:tab w:val="clear" w:pos="8306"/>
                <w:tab w:val="decimal" w:pos="576"/>
                <w:tab w:val="decimal" w:pos="1012"/>
              </w:tabs>
              <w:jc w:val="right"/>
              <w:rPr>
                <w:szCs w:val="24"/>
              </w:rPr>
            </w:pPr>
            <w:r w:rsidRPr="003613A5">
              <w:rPr>
                <w:szCs w:val="24"/>
              </w:rPr>
              <w:t>582</w:t>
            </w:r>
          </w:p>
        </w:tc>
      </w:tr>
      <w:tr w:rsidR="00DB40DC" w:rsidRPr="00D948C1" w14:paraId="0EA97390" w14:textId="77777777" w:rsidTr="006637EE">
        <w:trPr>
          <w:cantSplit/>
          <w:trHeight w:val="278"/>
        </w:trPr>
        <w:tc>
          <w:tcPr>
            <w:tcW w:w="4032" w:type="dxa"/>
            <w:vAlign w:val="center"/>
          </w:tcPr>
          <w:p w14:paraId="02D9F20E" w14:textId="3EC9A736" w:rsidR="00DB40DC" w:rsidRPr="00D948C1" w:rsidRDefault="00DB40DC" w:rsidP="00DB40DC">
            <w:pPr>
              <w:rPr>
                <w:szCs w:val="24"/>
              </w:rPr>
            </w:pPr>
            <w:r w:rsidRPr="00D948C1">
              <w:rPr>
                <w:szCs w:val="24"/>
              </w:rPr>
              <w:t>Other trade receivables</w:t>
            </w:r>
          </w:p>
        </w:tc>
        <w:tc>
          <w:tcPr>
            <w:tcW w:w="1189" w:type="dxa"/>
            <w:vAlign w:val="center"/>
          </w:tcPr>
          <w:p w14:paraId="7E27B9C8" w14:textId="4AB58666" w:rsidR="00DB40DC" w:rsidRPr="00D948C1" w:rsidRDefault="00CE7DFE" w:rsidP="00DB40DC">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550F1E6D" w14:textId="28A869AB" w:rsidR="00DB40DC" w:rsidRPr="00D948C1" w:rsidRDefault="00DB40DC" w:rsidP="00DB40DC">
            <w:pPr>
              <w:pStyle w:val="Footer"/>
              <w:tabs>
                <w:tab w:val="clear" w:pos="4153"/>
                <w:tab w:val="clear" w:pos="8306"/>
                <w:tab w:val="decimal" w:pos="468"/>
              </w:tabs>
              <w:jc w:val="right"/>
              <w:rPr>
                <w:szCs w:val="24"/>
              </w:rPr>
            </w:pPr>
            <w:r w:rsidRPr="00D948C1">
              <w:rPr>
                <w:szCs w:val="24"/>
              </w:rPr>
              <w:t>-</w:t>
            </w:r>
          </w:p>
        </w:tc>
        <w:tc>
          <w:tcPr>
            <w:tcW w:w="1189" w:type="dxa"/>
            <w:shd w:val="clear" w:color="00FFFF" w:fill="auto"/>
            <w:vAlign w:val="center"/>
          </w:tcPr>
          <w:p w14:paraId="400F143D" w14:textId="0365AAFD" w:rsidR="00DB40DC" w:rsidRPr="003613A5" w:rsidRDefault="0053289A" w:rsidP="00DB40DC">
            <w:pPr>
              <w:pStyle w:val="Footer"/>
              <w:tabs>
                <w:tab w:val="clear" w:pos="4153"/>
                <w:tab w:val="clear" w:pos="8306"/>
                <w:tab w:val="decimal" w:pos="576"/>
                <w:tab w:val="decimal" w:pos="1012"/>
              </w:tabs>
              <w:jc w:val="right"/>
              <w:rPr>
                <w:szCs w:val="24"/>
              </w:rPr>
            </w:pPr>
            <w:r>
              <w:rPr>
                <w:szCs w:val="24"/>
              </w:rPr>
              <w:t>3,900</w:t>
            </w:r>
          </w:p>
        </w:tc>
        <w:tc>
          <w:tcPr>
            <w:tcW w:w="1189" w:type="dxa"/>
            <w:shd w:val="clear" w:color="00FFFF" w:fill="auto"/>
            <w:vAlign w:val="center"/>
          </w:tcPr>
          <w:p w14:paraId="1D883D6E" w14:textId="659B1627" w:rsidR="00DB40DC" w:rsidRPr="009A6DCA" w:rsidRDefault="00DB40DC" w:rsidP="00DB40DC">
            <w:pPr>
              <w:pStyle w:val="Footer"/>
              <w:tabs>
                <w:tab w:val="clear" w:pos="4153"/>
                <w:tab w:val="clear" w:pos="8306"/>
                <w:tab w:val="decimal" w:pos="576"/>
                <w:tab w:val="decimal" w:pos="1012"/>
              </w:tabs>
              <w:jc w:val="right"/>
              <w:rPr>
                <w:szCs w:val="24"/>
              </w:rPr>
            </w:pPr>
            <w:r w:rsidRPr="003613A5">
              <w:rPr>
                <w:szCs w:val="24"/>
              </w:rPr>
              <w:t>1,959</w:t>
            </w:r>
          </w:p>
        </w:tc>
      </w:tr>
      <w:tr w:rsidR="00DB40DC" w:rsidRPr="00D948C1" w14:paraId="4E9232DC" w14:textId="77777777" w:rsidTr="006637EE">
        <w:trPr>
          <w:cantSplit/>
          <w:trHeight w:val="278"/>
        </w:trPr>
        <w:tc>
          <w:tcPr>
            <w:tcW w:w="4032" w:type="dxa"/>
            <w:vAlign w:val="center"/>
          </w:tcPr>
          <w:p w14:paraId="71E74DF9" w14:textId="62EA2546" w:rsidR="00DB40DC" w:rsidRPr="00D948C1" w:rsidRDefault="00DB40DC" w:rsidP="00DB40DC">
            <w:pPr>
              <w:rPr>
                <w:szCs w:val="24"/>
              </w:rPr>
            </w:pPr>
            <w:r>
              <w:rPr>
                <w:szCs w:val="24"/>
              </w:rPr>
              <w:t>Assets not defined as financial instruments</w:t>
            </w:r>
          </w:p>
        </w:tc>
        <w:tc>
          <w:tcPr>
            <w:tcW w:w="1189" w:type="dxa"/>
            <w:vAlign w:val="center"/>
          </w:tcPr>
          <w:p w14:paraId="51A73940" w14:textId="3C077B25" w:rsidR="00DB40DC" w:rsidRPr="00D948C1" w:rsidRDefault="002F0C82" w:rsidP="00DB40DC">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174C2664" w14:textId="77CD3CD9" w:rsidR="00DB40DC" w:rsidRPr="00D948C1" w:rsidRDefault="00DB40DC" w:rsidP="00DB40DC">
            <w:pPr>
              <w:pStyle w:val="Footer"/>
              <w:tabs>
                <w:tab w:val="clear" w:pos="4153"/>
                <w:tab w:val="clear" w:pos="8306"/>
                <w:tab w:val="decimal" w:pos="468"/>
              </w:tabs>
              <w:jc w:val="right"/>
              <w:rPr>
                <w:szCs w:val="24"/>
              </w:rPr>
            </w:pPr>
            <w:r>
              <w:rPr>
                <w:szCs w:val="24"/>
              </w:rPr>
              <w:t>-</w:t>
            </w:r>
          </w:p>
        </w:tc>
        <w:tc>
          <w:tcPr>
            <w:tcW w:w="1189" w:type="dxa"/>
            <w:shd w:val="clear" w:color="00FFFF" w:fill="auto"/>
            <w:vAlign w:val="center"/>
          </w:tcPr>
          <w:p w14:paraId="5F699182" w14:textId="3115AAC5" w:rsidR="00DB40DC" w:rsidRPr="003613A5" w:rsidRDefault="002F0C82" w:rsidP="00DB40DC">
            <w:pPr>
              <w:pStyle w:val="Footer"/>
              <w:tabs>
                <w:tab w:val="clear" w:pos="4153"/>
                <w:tab w:val="clear" w:pos="8306"/>
                <w:tab w:val="decimal" w:pos="576"/>
                <w:tab w:val="decimal" w:pos="1012"/>
              </w:tabs>
              <w:jc w:val="right"/>
              <w:rPr>
                <w:szCs w:val="24"/>
              </w:rPr>
            </w:pPr>
            <w:r>
              <w:rPr>
                <w:szCs w:val="24"/>
              </w:rPr>
              <w:t>7,53</w:t>
            </w:r>
            <w:r w:rsidR="00F2656A">
              <w:rPr>
                <w:szCs w:val="24"/>
              </w:rPr>
              <w:t>8</w:t>
            </w:r>
          </w:p>
        </w:tc>
        <w:tc>
          <w:tcPr>
            <w:tcW w:w="1189" w:type="dxa"/>
            <w:shd w:val="clear" w:color="00FFFF" w:fill="auto"/>
            <w:vAlign w:val="center"/>
          </w:tcPr>
          <w:p w14:paraId="7000177E" w14:textId="69AA52DA" w:rsidR="00DB40DC" w:rsidRPr="009A6DCA" w:rsidRDefault="00DB40DC" w:rsidP="00DB40DC">
            <w:pPr>
              <w:pStyle w:val="Footer"/>
              <w:tabs>
                <w:tab w:val="clear" w:pos="4153"/>
                <w:tab w:val="clear" w:pos="8306"/>
                <w:tab w:val="decimal" w:pos="576"/>
                <w:tab w:val="decimal" w:pos="1012"/>
              </w:tabs>
              <w:jc w:val="right"/>
              <w:rPr>
                <w:szCs w:val="24"/>
              </w:rPr>
            </w:pPr>
            <w:r w:rsidRPr="003613A5">
              <w:rPr>
                <w:szCs w:val="24"/>
              </w:rPr>
              <w:t>6,284</w:t>
            </w:r>
          </w:p>
        </w:tc>
      </w:tr>
    </w:tbl>
    <w:p w14:paraId="6EC974AE" w14:textId="34B38E0B" w:rsidR="003278CF" w:rsidRPr="00D948C1" w:rsidRDefault="003278CF">
      <w:pPr>
        <w:rPr>
          <w:b/>
          <w:bCs/>
        </w:rPr>
      </w:pPr>
    </w:p>
    <w:p w14:paraId="4FC83F89" w14:textId="624E3EBB" w:rsidR="00075251" w:rsidRPr="00DB40DC" w:rsidRDefault="00075251" w:rsidP="007C22F3">
      <w:pPr>
        <w:ind w:firstLine="720"/>
        <w:rPr>
          <w:b/>
        </w:rPr>
      </w:pPr>
      <w:r w:rsidRPr="0B612C8E">
        <w:rPr>
          <w:b/>
        </w:rPr>
        <w:t>Financial liabilities – balances</w:t>
      </w:r>
    </w:p>
    <w:p w14:paraId="503A395E" w14:textId="77777777" w:rsidR="00075251" w:rsidRPr="00DB40DC" w:rsidRDefault="00075251" w:rsidP="22FF31C3">
      <w:pPr>
        <w:ind w:left="720"/>
      </w:pPr>
    </w:p>
    <w:p w14:paraId="64B7B9BE" w14:textId="77777777" w:rsidR="00704891" w:rsidRPr="00DB40DC" w:rsidRDefault="00075251" w:rsidP="22FF31C3">
      <w:pPr>
        <w:ind w:left="720"/>
      </w:pPr>
      <w:r>
        <w:t xml:space="preserve">A financial liability is an obligation to transfer economic benefits controlled by the Authority and can be represented by a contractual obligation to deliver cash or financial assets or an obligation to exchange financial assets and liabilities </w:t>
      </w:r>
      <w:r w:rsidR="00704891">
        <w:t>with another entity that is potentially unfavourable to the Authority.</w:t>
      </w:r>
    </w:p>
    <w:p w14:paraId="775D8BC1" w14:textId="77777777" w:rsidR="00704891" w:rsidRPr="00DB40DC" w:rsidRDefault="00704891" w:rsidP="22FF31C3">
      <w:pPr>
        <w:ind w:left="720"/>
      </w:pPr>
    </w:p>
    <w:p w14:paraId="5AC7743B" w14:textId="1E0B933D" w:rsidR="00DE45AC" w:rsidRPr="00DB40DC" w:rsidRDefault="006B123C" w:rsidP="22FF31C3">
      <w:pPr>
        <w:ind w:left="720"/>
      </w:pPr>
      <w:r>
        <w:t>All</w:t>
      </w:r>
      <w:r w:rsidR="00704891">
        <w:t xml:space="preserve"> the </w:t>
      </w:r>
      <w:r w:rsidR="00DE45AC">
        <w:t>Authority’s financial liabilities held during the year are measured at amortised cost, and comprise:</w:t>
      </w:r>
    </w:p>
    <w:p w14:paraId="30C2E4DC" w14:textId="2B46A689" w:rsidR="00075251" w:rsidRPr="00DB40DC" w:rsidRDefault="00DE45AC" w:rsidP="22FF31C3">
      <w:pPr>
        <w:pStyle w:val="ListParagraph"/>
        <w:numPr>
          <w:ilvl w:val="1"/>
          <w:numId w:val="33"/>
        </w:numPr>
      </w:pPr>
      <w:r>
        <w:lastRenderedPageBreak/>
        <w:t>Long</w:t>
      </w:r>
      <w:r w:rsidR="00A16368">
        <w:t>-</w:t>
      </w:r>
      <w:r>
        <w:t>term loans from the Public Work Loans Board</w:t>
      </w:r>
      <w:r w:rsidR="000A40E3">
        <w:t>.</w:t>
      </w:r>
    </w:p>
    <w:p w14:paraId="3FD29534" w14:textId="4D4316A8" w:rsidR="00DE45AC" w:rsidRPr="00DB40DC" w:rsidRDefault="00DE45AC" w:rsidP="22FF31C3">
      <w:pPr>
        <w:pStyle w:val="ListParagraph"/>
        <w:numPr>
          <w:ilvl w:val="1"/>
          <w:numId w:val="33"/>
        </w:numPr>
      </w:pPr>
      <w:r>
        <w:t xml:space="preserve">Private Finance Initiative (PFI) contracts, detailed in </w:t>
      </w:r>
      <w:hyperlink w:anchor="_15_PFI_Schemes" w:history="1">
        <w:r w:rsidR="00BE419C" w:rsidRPr="0B612C8E">
          <w:rPr>
            <w:rStyle w:val="Hyperlink"/>
          </w:rPr>
          <w:t>Note 15</w:t>
        </w:r>
      </w:hyperlink>
      <w:r w:rsidR="000A40E3">
        <w:t>.</w:t>
      </w:r>
    </w:p>
    <w:p w14:paraId="0CB2B819" w14:textId="62E27CB2" w:rsidR="00DE45AC" w:rsidRPr="00DB40DC" w:rsidRDefault="00DE45AC" w:rsidP="22FF31C3">
      <w:pPr>
        <w:pStyle w:val="ListParagraph"/>
        <w:numPr>
          <w:ilvl w:val="1"/>
          <w:numId w:val="33"/>
        </w:numPr>
      </w:pPr>
      <w:r>
        <w:t>Lease payables</w:t>
      </w:r>
      <w:r w:rsidR="000A40E3">
        <w:t>.</w:t>
      </w:r>
    </w:p>
    <w:p w14:paraId="3F4D4025" w14:textId="25D69128" w:rsidR="00DE45AC" w:rsidRPr="00DB40DC" w:rsidRDefault="00DE45AC" w:rsidP="22FF31C3">
      <w:pPr>
        <w:pStyle w:val="ListParagraph"/>
        <w:numPr>
          <w:ilvl w:val="1"/>
          <w:numId w:val="33"/>
        </w:numPr>
      </w:pPr>
      <w:r>
        <w:t>Trade payables for goods and services received</w:t>
      </w:r>
      <w:r w:rsidR="000A40E3">
        <w:t>.</w:t>
      </w:r>
    </w:p>
    <w:p w14:paraId="11A2939A" w14:textId="77777777" w:rsidR="00075251" w:rsidRPr="00D948C1" w:rsidRDefault="00075251" w:rsidP="00326762">
      <w:pPr>
        <w:ind w:left="720"/>
        <w:jc w:val="both"/>
        <w:rPr>
          <w:sz w:val="22"/>
          <w:szCs w:val="22"/>
        </w:rPr>
      </w:pPr>
    </w:p>
    <w:tbl>
      <w:tblPr>
        <w:tblW w:w="86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134"/>
        <w:gridCol w:w="1134"/>
        <w:gridCol w:w="1134"/>
        <w:gridCol w:w="1134"/>
      </w:tblGrid>
      <w:tr w:rsidR="00300384" w:rsidRPr="00D948C1" w14:paraId="6756AB65" w14:textId="77777777" w:rsidTr="007641BA">
        <w:trPr>
          <w:cantSplit/>
          <w:trHeight w:val="382"/>
          <w:tblHeader/>
        </w:trPr>
        <w:tc>
          <w:tcPr>
            <w:tcW w:w="4110" w:type="dxa"/>
            <w:shd w:val="clear" w:color="auto" w:fill="BD2716"/>
            <w:vAlign w:val="center"/>
          </w:tcPr>
          <w:p w14:paraId="25052B5A" w14:textId="77777777" w:rsidR="00300384" w:rsidRPr="00D948C1" w:rsidRDefault="00300384" w:rsidP="00300384">
            <w:pPr>
              <w:tabs>
                <w:tab w:val="left" w:pos="0"/>
              </w:tabs>
              <w:rPr>
                <w:color w:val="FFFFFF" w:themeColor="background1"/>
                <w:szCs w:val="24"/>
              </w:rPr>
            </w:pPr>
          </w:p>
        </w:tc>
        <w:tc>
          <w:tcPr>
            <w:tcW w:w="2268" w:type="dxa"/>
            <w:gridSpan w:val="2"/>
            <w:shd w:val="clear" w:color="auto" w:fill="BD2716"/>
            <w:vAlign w:val="center"/>
          </w:tcPr>
          <w:p w14:paraId="559779A8" w14:textId="6CD7161B" w:rsidR="00300384" w:rsidRPr="00D948C1" w:rsidRDefault="00300384" w:rsidP="00300384">
            <w:pPr>
              <w:pStyle w:val="Footer"/>
              <w:tabs>
                <w:tab w:val="clear" w:pos="4153"/>
                <w:tab w:val="clear" w:pos="8306"/>
                <w:tab w:val="decimal" w:pos="468"/>
              </w:tabs>
              <w:jc w:val="center"/>
              <w:rPr>
                <w:color w:val="FFFFFF" w:themeColor="background1"/>
                <w:szCs w:val="24"/>
              </w:rPr>
            </w:pPr>
            <w:r w:rsidRPr="00D948C1">
              <w:rPr>
                <w:color w:val="FFFFFF" w:themeColor="background1"/>
                <w:szCs w:val="24"/>
              </w:rPr>
              <w:t>Long-Term</w:t>
            </w:r>
          </w:p>
        </w:tc>
        <w:tc>
          <w:tcPr>
            <w:tcW w:w="2268" w:type="dxa"/>
            <w:gridSpan w:val="2"/>
            <w:shd w:val="clear" w:color="auto" w:fill="BD2716"/>
            <w:vAlign w:val="center"/>
          </w:tcPr>
          <w:p w14:paraId="4F78C627" w14:textId="7F47C8C9" w:rsidR="00300384" w:rsidRPr="00D948C1" w:rsidRDefault="00300384" w:rsidP="00300384">
            <w:pPr>
              <w:pStyle w:val="Footer"/>
              <w:tabs>
                <w:tab w:val="clear" w:pos="4153"/>
                <w:tab w:val="clear" w:pos="8306"/>
                <w:tab w:val="decimal" w:pos="468"/>
              </w:tabs>
              <w:jc w:val="center"/>
              <w:rPr>
                <w:color w:val="FFFFFF" w:themeColor="background1"/>
                <w:szCs w:val="24"/>
              </w:rPr>
            </w:pPr>
            <w:r w:rsidRPr="00D948C1">
              <w:rPr>
                <w:color w:val="FFFFFF" w:themeColor="background1"/>
                <w:szCs w:val="24"/>
              </w:rPr>
              <w:t>Current</w:t>
            </w:r>
          </w:p>
        </w:tc>
      </w:tr>
      <w:tr w:rsidR="00DB40DC" w:rsidRPr="00D948C1" w14:paraId="311D1C2B" w14:textId="77777777" w:rsidTr="00611673">
        <w:trPr>
          <w:cantSplit/>
          <w:trHeight w:val="382"/>
          <w:tblHeader/>
        </w:trPr>
        <w:tc>
          <w:tcPr>
            <w:tcW w:w="4110" w:type="dxa"/>
            <w:shd w:val="clear" w:color="auto" w:fill="BD2716"/>
            <w:vAlign w:val="center"/>
          </w:tcPr>
          <w:p w14:paraId="02FA2ABF" w14:textId="77777777" w:rsidR="00DB40DC" w:rsidRPr="00D948C1" w:rsidRDefault="00DB40DC" w:rsidP="00DB40DC">
            <w:pPr>
              <w:tabs>
                <w:tab w:val="left" w:pos="0"/>
              </w:tabs>
              <w:rPr>
                <w:color w:val="FFFFFF" w:themeColor="background1"/>
                <w:szCs w:val="24"/>
              </w:rPr>
            </w:pPr>
          </w:p>
        </w:tc>
        <w:tc>
          <w:tcPr>
            <w:tcW w:w="1134" w:type="dxa"/>
            <w:shd w:val="clear" w:color="auto" w:fill="BD2716"/>
            <w:vAlign w:val="center"/>
          </w:tcPr>
          <w:p w14:paraId="4842D51E" w14:textId="7EDAC0D3"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524687D3" w14:textId="46F6CE31" w:rsidR="00DB40DC" w:rsidRPr="00D948C1" w:rsidRDefault="00DB40DC" w:rsidP="00DB40DC">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043C59A1" w14:textId="77777777"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76D58A76" w14:textId="1A471C27" w:rsidR="00DB40DC" w:rsidRPr="00D948C1" w:rsidRDefault="00DB40DC" w:rsidP="00DB40DC">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0B00E70" w14:textId="740A0149"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792DB56B" w14:textId="6D26A5DE" w:rsidR="00DB40DC" w:rsidRPr="00D948C1" w:rsidRDefault="00DB40DC" w:rsidP="00DB40DC">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88DF3AB" w14:textId="77777777" w:rsidR="00DB40DC" w:rsidRPr="00D948C1" w:rsidRDefault="00DB40DC" w:rsidP="00DB40DC">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6995C114" w14:textId="38C9A7EF" w:rsidR="00DB40DC" w:rsidRPr="00D948C1" w:rsidRDefault="00DB40DC" w:rsidP="00DB40DC">
            <w:pPr>
              <w:jc w:val="right"/>
              <w:rPr>
                <w:color w:val="FFFFFF" w:themeColor="background1"/>
                <w:szCs w:val="24"/>
              </w:rPr>
            </w:pPr>
            <w:r w:rsidRPr="00D948C1">
              <w:rPr>
                <w:color w:val="FFFFFF" w:themeColor="background1"/>
                <w:szCs w:val="24"/>
              </w:rPr>
              <w:t>£000</w:t>
            </w:r>
          </w:p>
        </w:tc>
      </w:tr>
      <w:tr w:rsidR="00DB40DC" w:rsidRPr="00D948C1" w14:paraId="24F64002" w14:textId="77777777" w:rsidTr="006637EE">
        <w:trPr>
          <w:cantSplit/>
          <w:trHeight w:val="278"/>
        </w:trPr>
        <w:tc>
          <w:tcPr>
            <w:tcW w:w="4110" w:type="dxa"/>
            <w:vAlign w:val="center"/>
          </w:tcPr>
          <w:p w14:paraId="6DA354B3" w14:textId="77777777" w:rsidR="00DB40DC" w:rsidRPr="00D948C1" w:rsidRDefault="00DB40DC" w:rsidP="00DB40DC">
            <w:pPr>
              <w:tabs>
                <w:tab w:val="left" w:pos="0"/>
              </w:tabs>
              <w:rPr>
                <w:szCs w:val="24"/>
              </w:rPr>
            </w:pPr>
            <w:r w:rsidRPr="00D948C1">
              <w:rPr>
                <w:szCs w:val="24"/>
              </w:rPr>
              <w:t>Borrowings</w:t>
            </w:r>
          </w:p>
        </w:tc>
        <w:tc>
          <w:tcPr>
            <w:tcW w:w="1134" w:type="dxa"/>
            <w:vAlign w:val="center"/>
          </w:tcPr>
          <w:p w14:paraId="2DF5495F" w14:textId="4ED39089" w:rsidR="00DB40DC" w:rsidRPr="003636E0" w:rsidRDefault="00EB4DD9" w:rsidP="00DB40DC">
            <w:pPr>
              <w:pStyle w:val="Footer"/>
              <w:tabs>
                <w:tab w:val="clear" w:pos="4153"/>
                <w:tab w:val="clear" w:pos="8306"/>
                <w:tab w:val="decimal" w:pos="468"/>
              </w:tabs>
              <w:jc w:val="right"/>
              <w:rPr>
                <w:szCs w:val="24"/>
              </w:rPr>
            </w:pPr>
            <w:r>
              <w:rPr>
                <w:szCs w:val="24"/>
              </w:rPr>
              <w:t>2</w:t>
            </w:r>
            <w:r w:rsidR="00253EDC">
              <w:rPr>
                <w:szCs w:val="24"/>
              </w:rPr>
              <w:t>,</w:t>
            </w:r>
            <w:r>
              <w:rPr>
                <w:szCs w:val="24"/>
              </w:rPr>
              <w:t>000</w:t>
            </w:r>
          </w:p>
        </w:tc>
        <w:tc>
          <w:tcPr>
            <w:tcW w:w="1134" w:type="dxa"/>
            <w:vAlign w:val="center"/>
          </w:tcPr>
          <w:p w14:paraId="360C7C2E" w14:textId="3B325681" w:rsidR="00DB40DC" w:rsidRPr="00D9161A" w:rsidRDefault="00DB40DC" w:rsidP="00DB40DC">
            <w:pPr>
              <w:pStyle w:val="Footer"/>
              <w:tabs>
                <w:tab w:val="clear" w:pos="4153"/>
                <w:tab w:val="clear" w:pos="8306"/>
                <w:tab w:val="decimal" w:pos="468"/>
              </w:tabs>
              <w:jc w:val="right"/>
              <w:rPr>
                <w:szCs w:val="24"/>
              </w:rPr>
            </w:pPr>
            <w:r w:rsidRPr="003636E0">
              <w:rPr>
                <w:szCs w:val="24"/>
              </w:rPr>
              <w:t>2,000</w:t>
            </w:r>
          </w:p>
        </w:tc>
        <w:tc>
          <w:tcPr>
            <w:tcW w:w="1134" w:type="dxa"/>
            <w:shd w:val="clear" w:color="00FFFF" w:fill="auto"/>
            <w:vAlign w:val="center"/>
          </w:tcPr>
          <w:p w14:paraId="1804D32B" w14:textId="629184E9" w:rsidR="00DB40DC" w:rsidRPr="003636E0" w:rsidRDefault="00732AC0" w:rsidP="00DB40DC">
            <w:pPr>
              <w:pStyle w:val="Footer"/>
              <w:tabs>
                <w:tab w:val="clear" w:pos="4153"/>
                <w:tab w:val="clear" w:pos="8306"/>
                <w:tab w:val="decimal" w:pos="468"/>
              </w:tabs>
              <w:jc w:val="right"/>
              <w:rPr>
                <w:szCs w:val="24"/>
              </w:rPr>
            </w:pPr>
            <w:r>
              <w:rPr>
                <w:szCs w:val="24"/>
              </w:rPr>
              <w:t>22</w:t>
            </w:r>
          </w:p>
        </w:tc>
        <w:tc>
          <w:tcPr>
            <w:tcW w:w="1134" w:type="dxa"/>
            <w:shd w:val="clear" w:color="00FFFF" w:fill="auto"/>
            <w:vAlign w:val="center"/>
          </w:tcPr>
          <w:p w14:paraId="0C25E607" w14:textId="455E848A" w:rsidR="00DB40DC" w:rsidRPr="003613A5" w:rsidRDefault="00DB40DC" w:rsidP="00DB40DC">
            <w:pPr>
              <w:pStyle w:val="Footer"/>
              <w:tabs>
                <w:tab w:val="clear" w:pos="4153"/>
                <w:tab w:val="clear" w:pos="8306"/>
                <w:tab w:val="decimal" w:pos="468"/>
              </w:tabs>
              <w:jc w:val="right"/>
              <w:rPr>
                <w:szCs w:val="24"/>
              </w:rPr>
            </w:pPr>
            <w:r w:rsidRPr="003636E0">
              <w:rPr>
                <w:szCs w:val="24"/>
              </w:rPr>
              <w:t>22</w:t>
            </w:r>
          </w:p>
        </w:tc>
      </w:tr>
      <w:tr w:rsidR="00DB40DC" w:rsidRPr="00D948C1" w14:paraId="62911E66" w14:textId="77777777" w:rsidTr="006637EE">
        <w:trPr>
          <w:cantSplit/>
          <w:trHeight w:val="278"/>
        </w:trPr>
        <w:tc>
          <w:tcPr>
            <w:tcW w:w="4110" w:type="dxa"/>
            <w:vAlign w:val="center"/>
          </w:tcPr>
          <w:p w14:paraId="741D263E" w14:textId="77777777" w:rsidR="00DB40DC" w:rsidRPr="00D948C1" w:rsidRDefault="00DB40DC" w:rsidP="00DB40DC">
            <w:pPr>
              <w:rPr>
                <w:szCs w:val="24"/>
              </w:rPr>
            </w:pPr>
            <w:r w:rsidRPr="00D948C1">
              <w:rPr>
                <w:szCs w:val="24"/>
              </w:rPr>
              <w:t>PFI and finance lease arrangements</w:t>
            </w:r>
          </w:p>
        </w:tc>
        <w:tc>
          <w:tcPr>
            <w:tcW w:w="1134" w:type="dxa"/>
            <w:vAlign w:val="center"/>
          </w:tcPr>
          <w:p w14:paraId="1D5113C8" w14:textId="0E14CB9A" w:rsidR="00DB40DC" w:rsidRPr="003636E0" w:rsidRDefault="00253EDC" w:rsidP="00DB40DC">
            <w:pPr>
              <w:pStyle w:val="Footer"/>
              <w:tabs>
                <w:tab w:val="clear" w:pos="4153"/>
                <w:tab w:val="clear" w:pos="8306"/>
                <w:tab w:val="decimal" w:pos="435"/>
              </w:tabs>
              <w:jc w:val="right"/>
              <w:rPr>
                <w:szCs w:val="24"/>
              </w:rPr>
            </w:pPr>
            <w:r>
              <w:rPr>
                <w:szCs w:val="24"/>
              </w:rPr>
              <w:t>11,240</w:t>
            </w:r>
          </w:p>
        </w:tc>
        <w:tc>
          <w:tcPr>
            <w:tcW w:w="1134" w:type="dxa"/>
            <w:vAlign w:val="center"/>
          </w:tcPr>
          <w:p w14:paraId="4A70B1DA" w14:textId="0AD84541" w:rsidR="00DB40DC" w:rsidRPr="00D9161A" w:rsidRDefault="00DB40DC" w:rsidP="00DB40DC">
            <w:pPr>
              <w:pStyle w:val="Footer"/>
              <w:tabs>
                <w:tab w:val="clear" w:pos="4153"/>
                <w:tab w:val="clear" w:pos="8306"/>
                <w:tab w:val="decimal" w:pos="326"/>
              </w:tabs>
              <w:jc w:val="right"/>
              <w:rPr>
                <w:szCs w:val="24"/>
              </w:rPr>
            </w:pPr>
            <w:r w:rsidRPr="003636E0">
              <w:rPr>
                <w:szCs w:val="24"/>
              </w:rPr>
              <w:t>11,</w:t>
            </w:r>
            <w:r>
              <w:rPr>
                <w:szCs w:val="24"/>
              </w:rPr>
              <w:t>910</w:t>
            </w:r>
          </w:p>
        </w:tc>
        <w:tc>
          <w:tcPr>
            <w:tcW w:w="1134" w:type="dxa"/>
            <w:shd w:val="clear" w:color="00FFFF" w:fill="auto"/>
            <w:vAlign w:val="center"/>
          </w:tcPr>
          <w:p w14:paraId="6063DC00" w14:textId="678D0C7C" w:rsidR="00DB40DC" w:rsidRPr="003636E0" w:rsidRDefault="00051652" w:rsidP="00DB40DC">
            <w:pPr>
              <w:pStyle w:val="Footer"/>
              <w:tabs>
                <w:tab w:val="clear" w:pos="4153"/>
                <w:tab w:val="clear" w:pos="8306"/>
                <w:tab w:val="decimal" w:pos="435"/>
              </w:tabs>
              <w:jc w:val="right"/>
              <w:rPr>
                <w:szCs w:val="24"/>
              </w:rPr>
            </w:pPr>
            <w:r>
              <w:rPr>
                <w:szCs w:val="24"/>
              </w:rPr>
              <w:t>7</w:t>
            </w:r>
            <w:r w:rsidR="00941E54">
              <w:rPr>
                <w:szCs w:val="24"/>
              </w:rPr>
              <w:t>29</w:t>
            </w:r>
          </w:p>
        </w:tc>
        <w:tc>
          <w:tcPr>
            <w:tcW w:w="1134" w:type="dxa"/>
            <w:shd w:val="clear" w:color="00FFFF" w:fill="auto"/>
            <w:vAlign w:val="center"/>
          </w:tcPr>
          <w:p w14:paraId="71FBC3BD" w14:textId="2D94D44A" w:rsidR="00DB40DC" w:rsidRPr="003613A5" w:rsidRDefault="00DB40DC" w:rsidP="00DB40DC">
            <w:pPr>
              <w:pStyle w:val="Footer"/>
              <w:tabs>
                <w:tab w:val="clear" w:pos="4153"/>
                <w:tab w:val="clear" w:pos="8306"/>
                <w:tab w:val="decimal" w:pos="435"/>
              </w:tabs>
              <w:jc w:val="right"/>
              <w:rPr>
                <w:szCs w:val="24"/>
              </w:rPr>
            </w:pPr>
            <w:r w:rsidRPr="003636E0">
              <w:rPr>
                <w:szCs w:val="24"/>
              </w:rPr>
              <w:t>672</w:t>
            </w:r>
          </w:p>
        </w:tc>
      </w:tr>
      <w:tr w:rsidR="00DB40DC" w:rsidRPr="00D948C1" w14:paraId="12E05914" w14:textId="77777777" w:rsidTr="006637EE">
        <w:trPr>
          <w:cantSplit/>
          <w:trHeight w:val="278"/>
        </w:trPr>
        <w:tc>
          <w:tcPr>
            <w:tcW w:w="4110" w:type="dxa"/>
            <w:vAlign w:val="center"/>
          </w:tcPr>
          <w:p w14:paraId="0A8A0ADE" w14:textId="77777777" w:rsidR="00DB40DC" w:rsidRPr="00D948C1" w:rsidRDefault="00DB40DC" w:rsidP="00DB40DC">
            <w:pPr>
              <w:rPr>
                <w:szCs w:val="24"/>
              </w:rPr>
            </w:pPr>
            <w:r w:rsidRPr="00D948C1">
              <w:rPr>
                <w:szCs w:val="24"/>
              </w:rPr>
              <w:t>Trade payables</w:t>
            </w:r>
          </w:p>
        </w:tc>
        <w:tc>
          <w:tcPr>
            <w:tcW w:w="1134" w:type="dxa"/>
            <w:vAlign w:val="center"/>
          </w:tcPr>
          <w:p w14:paraId="6CCF99D2" w14:textId="7C4D7CB2" w:rsidR="00DB40DC" w:rsidRPr="003636E0" w:rsidRDefault="00B921F9" w:rsidP="00DB40DC">
            <w:pPr>
              <w:pStyle w:val="Footer"/>
              <w:tabs>
                <w:tab w:val="clear" w:pos="4153"/>
                <w:tab w:val="clear" w:pos="8306"/>
                <w:tab w:val="decimal" w:pos="435"/>
              </w:tabs>
              <w:jc w:val="right"/>
              <w:rPr>
                <w:szCs w:val="24"/>
              </w:rPr>
            </w:pPr>
            <w:r>
              <w:rPr>
                <w:szCs w:val="24"/>
              </w:rPr>
              <w:t>-</w:t>
            </w:r>
          </w:p>
        </w:tc>
        <w:tc>
          <w:tcPr>
            <w:tcW w:w="1134" w:type="dxa"/>
            <w:vAlign w:val="center"/>
          </w:tcPr>
          <w:p w14:paraId="734D0FD0" w14:textId="73855DF4" w:rsidR="00DB40DC" w:rsidRPr="00D9161A" w:rsidRDefault="00DB40DC" w:rsidP="00DB40DC">
            <w:pPr>
              <w:pStyle w:val="Footer"/>
              <w:tabs>
                <w:tab w:val="clear" w:pos="4153"/>
                <w:tab w:val="clear" w:pos="8306"/>
                <w:tab w:val="decimal" w:pos="326"/>
              </w:tabs>
              <w:jc w:val="right"/>
              <w:rPr>
                <w:szCs w:val="24"/>
              </w:rPr>
            </w:pPr>
            <w:r w:rsidRPr="003636E0">
              <w:rPr>
                <w:szCs w:val="24"/>
              </w:rPr>
              <w:t>-</w:t>
            </w:r>
          </w:p>
        </w:tc>
        <w:tc>
          <w:tcPr>
            <w:tcW w:w="1134" w:type="dxa"/>
            <w:shd w:val="clear" w:color="00FFFF" w:fill="auto"/>
            <w:vAlign w:val="center"/>
          </w:tcPr>
          <w:p w14:paraId="6E648895" w14:textId="06703132" w:rsidR="00DB40DC" w:rsidRPr="003636E0" w:rsidRDefault="00732AC0" w:rsidP="00DB40DC">
            <w:pPr>
              <w:pStyle w:val="Footer"/>
              <w:tabs>
                <w:tab w:val="clear" w:pos="4153"/>
                <w:tab w:val="clear" w:pos="8306"/>
                <w:tab w:val="decimal" w:pos="435"/>
              </w:tabs>
              <w:jc w:val="right"/>
              <w:rPr>
                <w:szCs w:val="24"/>
              </w:rPr>
            </w:pPr>
            <w:r>
              <w:rPr>
                <w:szCs w:val="24"/>
              </w:rPr>
              <w:t>4,836</w:t>
            </w:r>
          </w:p>
        </w:tc>
        <w:tc>
          <w:tcPr>
            <w:tcW w:w="1134" w:type="dxa"/>
            <w:shd w:val="clear" w:color="00FFFF" w:fill="auto"/>
            <w:vAlign w:val="center"/>
          </w:tcPr>
          <w:p w14:paraId="21D8BD3C" w14:textId="570A0CAE" w:rsidR="00DB40DC" w:rsidRPr="003613A5" w:rsidRDefault="00DB40DC" w:rsidP="00DB40DC">
            <w:pPr>
              <w:pStyle w:val="Footer"/>
              <w:tabs>
                <w:tab w:val="clear" w:pos="4153"/>
                <w:tab w:val="clear" w:pos="8306"/>
                <w:tab w:val="decimal" w:pos="435"/>
              </w:tabs>
              <w:jc w:val="right"/>
              <w:rPr>
                <w:szCs w:val="24"/>
              </w:rPr>
            </w:pPr>
            <w:r>
              <w:rPr>
                <w:szCs w:val="24"/>
              </w:rPr>
              <w:t>8</w:t>
            </w:r>
            <w:r w:rsidRPr="003636E0">
              <w:rPr>
                <w:szCs w:val="24"/>
              </w:rPr>
              <w:t>,</w:t>
            </w:r>
            <w:r>
              <w:rPr>
                <w:szCs w:val="24"/>
              </w:rPr>
              <w:t>854</w:t>
            </w:r>
          </w:p>
        </w:tc>
      </w:tr>
      <w:tr w:rsidR="00DB40DC" w:rsidRPr="00D948C1" w14:paraId="28F8685A" w14:textId="77777777" w:rsidTr="006637EE">
        <w:trPr>
          <w:cantSplit/>
          <w:trHeight w:val="278"/>
        </w:trPr>
        <w:tc>
          <w:tcPr>
            <w:tcW w:w="4110" w:type="dxa"/>
            <w:vAlign w:val="center"/>
          </w:tcPr>
          <w:p w14:paraId="14DA4F51" w14:textId="1F7EF4DF" w:rsidR="00DB40DC" w:rsidRPr="00D948C1" w:rsidRDefault="00DB40DC" w:rsidP="00DB40DC">
            <w:pPr>
              <w:rPr>
                <w:szCs w:val="24"/>
              </w:rPr>
            </w:pPr>
            <w:r>
              <w:rPr>
                <w:szCs w:val="24"/>
              </w:rPr>
              <w:t>Liabilities not defined as financial instruments</w:t>
            </w:r>
          </w:p>
        </w:tc>
        <w:tc>
          <w:tcPr>
            <w:tcW w:w="1134" w:type="dxa"/>
            <w:vAlign w:val="center"/>
          </w:tcPr>
          <w:p w14:paraId="162198BD" w14:textId="2178344E" w:rsidR="00DB40DC" w:rsidRPr="003636E0" w:rsidRDefault="00F00D7F" w:rsidP="00DB40DC">
            <w:pPr>
              <w:pStyle w:val="Footer"/>
              <w:tabs>
                <w:tab w:val="clear" w:pos="4153"/>
                <w:tab w:val="clear" w:pos="8306"/>
                <w:tab w:val="decimal" w:pos="435"/>
              </w:tabs>
              <w:jc w:val="right"/>
              <w:rPr>
                <w:szCs w:val="24"/>
              </w:rPr>
            </w:pPr>
            <w:r>
              <w:rPr>
                <w:szCs w:val="24"/>
              </w:rPr>
              <w:t>578,224</w:t>
            </w:r>
          </w:p>
        </w:tc>
        <w:tc>
          <w:tcPr>
            <w:tcW w:w="1134" w:type="dxa"/>
            <w:vAlign w:val="center"/>
          </w:tcPr>
          <w:p w14:paraId="21ED5AFC" w14:textId="602D7069" w:rsidR="00DB40DC" w:rsidRPr="00D9161A" w:rsidRDefault="00DB40DC" w:rsidP="00DB40DC">
            <w:pPr>
              <w:pStyle w:val="Footer"/>
              <w:tabs>
                <w:tab w:val="clear" w:pos="4153"/>
                <w:tab w:val="clear" w:pos="8306"/>
                <w:tab w:val="decimal" w:pos="326"/>
              </w:tabs>
              <w:jc w:val="right"/>
              <w:rPr>
                <w:szCs w:val="24"/>
              </w:rPr>
            </w:pPr>
            <w:r w:rsidRPr="003636E0">
              <w:rPr>
                <w:szCs w:val="24"/>
              </w:rPr>
              <w:t>589,</w:t>
            </w:r>
            <w:r>
              <w:rPr>
                <w:szCs w:val="24"/>
              </w:rPr>
              <w:t>676</w:t>
            </w:r>
          </w:p>
        </w:tc>
        <w:tc>
          <w:tcPr>
            <w:tcW w:w="1134" w:type="dxa"/>
            <w:shd w:val="clear" w:color="00FFFF" w:fill="auto"/>
            <w:vAlign w:val="center"/>
          </w:tcPr>
          <w:p w14:paraId="29C84499" w14:textId="3C029AE0" w:rsidR="00DB40DC" w:rsidRPr="003636E0" w:rsidRDefault="006557DB" w:rsidP="00DB40DC">
            <w:pPr>
              <w:pStyle w:val="Footer"/>
              <w:tabs>
                <w:tab w:val="clear" w:pos="4153"/>
                <w:tab w:val="clear" w:pos="8306"/>
                <w:tab w:val="decimal" w:pos="435"/>
              </w:tabs>
              <w:jc w:val="right"/>
              <w:rPr>
                <w:szCs w:val="24"/>
              </w:rPr>
            </w:pPr>
            <w:r>
              <w:rPr>
                <w:szCs w:val="24"/>
              </w:rPr>
              <w:t>6,916</w:t>
            </w:r>
          </w:p>
        </w:tc>
        <w:tc>
          <w:tcPr>
            <w:tcW w:w="1134" w:type="dxa"/>
            <w:shd w:val="clear" w:color="00FFFF" w:fill="auto"/>
            <w:vAlign w:val="center"/>
          </w:tcPr>
          <w:p w14:paraId="02FC6D43" w14:textId="760EDEA8" w:rsidR="00DB40DC" w:rsidRPr="003613A5" w:rsidRDefault="00DB40DC" w:rsidP="00DB40DC">
            <w:pPr>
              <w:pStyle w:val="Footer"/>
              <w:tabs>
                <w:tab w:val="clear" w:pos="4153"/>
                <w:tab w:val="clear" w:pos="8306"/>
                <w:tab w:val="decimal" w:pos="435"/>
              </w:tabs>
              <w:jc w:val="right"/>
              <w:rPr>
                <w:szCs w:val="24"/>
              </w:rPr>
            </w:pPr>
            <w:r>
              <w:rPr>
                <w:szCs w:val="24"/>
              </w:rPr>
              <w:t>10,436</w:t>
            </w:r>
          </w:p>
        </w:tc>
      </w:tr>
    </w:tbl>
    <w:p w14:paraId="5F6959AA" w14:textId="0162FC10" w:rsidR="00300384" w:rsidRPr="00D948C1" w:rsidRDefault="00300384">
      <w:pPr>
        <w:rPr>
          <w:b/>
          <w:bCs/>
        </w:rPr>
      </w:pPr>
    </w:p>
    <w:p w14:paraId="1E747D96" w14:textId="473BE267" w:rsidR="00D90216" w:rsidRPr="00DB40DC" w:rsidRDefault="00DE45AC" w:rsidP="22FF31C3">
      <w:pPr>
        <w:ind w:firstLine="709"/>
        <w:rPr>
          <w:b/>
        </w:rPr>
      </w:pPr>
      <w:r w:rsidRPr="383B0F31">
        <w:rPr>
          <w:b/>
        </w:rPr>
        <w:t>Financial Instruments -</w:t>
      </w:r>
      <w:r w:rsidR="00D90216" w:rsidRPr="383B0F31">
        <w:rPr>
          <w:b/>
        </w:rPr>
        <w:t xml:space="preserve"> Gains and Losses</w:t>
      </w:r>
    </w:p>
    <w:p w14:paraId="7602ABB8" w14:textId="77777777" w:rsidR="00D90216" w:rsidRPr="00DB40DC" w:rsidRDefault="00D90216" w:rsidP="22FF31C3"/>
    <w:p w14:paraId="5F82B5F1" w14:textId="77777777" w:rsidR="00DE45AC" w:rsidRPr="003613A5" w:rsidRDefault="00DE45AC" w:rsidP="22FF31C3">
      <w:pPr>
        <w:ind w:left="709"/>
      </w:pPr>
      <w:r>
        <w:t>The gains and losses recognised in the Comprehensive Income and Expenditure Statement in relation to financial instruments consist of the following:</w:t>
      </w:r>
    </w:p>
    <w:p w14:paraId="348AC162" w14:textId="77777777" w:rsidR="00DE45AC" w:rsidRPr="00D948C1" w:rsidRDefault="00DE45AC" w:rsidP="00D90216">
      <w:pPr>
        <w:ind w:left="709"/>
        <w:jc w:val="both"/>
        <w:rPr>
          <w:sz w:val="22"/>
          <w:szCs w:val="22"/>
        </w:rPr>
      </w:pPr>
    </w:p>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1"/>
        <w:gridCol w:w="1276"/>
        <w:gridCol w:w="1275"/>
      </w:tblGrid>
      <w:tr w:rsidR="001318F9" w:rsidRPr="00D948C1" w14:paraId="30E13C6B" w14:textId="77777777" w:rsidTr="00611673">
        <w:trPr>
          <w:cantSplit/>
          <w:trHeight w:val="237"/>
          <w:tblHeader/>
        </w:trPr>
        <w:tc>
          <w:tcPr>
            <w:tcW w:w="6271" w:type="dxa"/>
            <w:shd w:val="clear" w:color="auto" w:fill="BD2716"/>
          </w:tcPr>
          <w:p w14:paraId="4A29967B" w14:textId="77777777" w:rsidR="001318F9" w:rsidRPr="00D948C1" w:rsidRDefault="001318F9" w:rsidP="001318F9">
            <w:pPr>
              <w:rPr>
                <w:color w:val="FFFFFF" w:themeColor="background1"/>
                <w:szCs w:val="24"/>
              </w:rPr>
            </w:pPr>
          </w:p>
        </w:tc>
        <w:tc>
          <w:tcPr>
            <w:tcW w:w="1276" w:type="dxa"/>
            <w:shd w:val="clear" w:color="auto" w:fill="BD2716"/>
            <w:vAlign w:val="center"/>
          </w:tcPr>
          <w:p w14:paraId="70CA0641" w14:textId="27A32C22"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2025-26</w:t>
            </w:r>
          </w:p>
          <w:p w14:paraId="387ECA45" w14:textId="115ECFB8"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275" w:type="dxa"/>
            <w:shd w:val="clear" w:color="auto" w:fill="BD2716"/>
            <w:vAlign w:val="center"/>
          </w:tcPr>
          <w:p w14:paraId="1C922BC3" w14:textId="1BC8DCA1" w:rsidR="00DB40DC" w:rsidRPr="00D948C1" w:rsidRDefault="001A42DD" w:rsidP="00DB40DC">
            <w:pPr>
              <w:pStyle w:val="BodyTextIndent"/>
              <w:ind w:left="0"/>
              <w:jc w:val="right"/>
              <w:rPr>
                <w:color w:val="FFFFFF" w:themeColor="background1"/>
                <w:szCs w:val="24"/>
                <w:lang w:val="en-GB"/>
              </w:rPr>
            </w:pPr>
            <w:r>
              <w:rPr>
                <w:color w:val="FFFFFF" w:themeColor="background1"/>
                <w:szCs w:val="24"/>
                <w:lang w:val="en-GB"/>
              </w:rPr>
              <w:t>2024-25</w:t>
            </w:r>
          </w:p>
          <w:p w14:paraId="1898647B" w14:textId="2EA5888B" w:rsidR="001318F9" w:rsidRPr="00D948C1" w:rsidRDefault="00DB40DC" w:rsidP="00DB40DC">
            <w:pPr>
              <w:pStyle w:val="BodyTextIndent"/>
              <w:ind w:left="0"/>
              <w:jc w:val="right"/>
              <w:rPr>
                <w:color w:val="FFFFFF" w:themeColor="background1"/>
                <w:szCs w:val="24"/>
                <w:lang w:val="en-GB"/>
              </w:rPr>
            </w:pPr>
            <w:r w:rsidRPr="00D948C1">
              <w:rPr>
                <w:color w:val="FFFFFF" w:themeColor="background1"/>
                <w:szCs w:val="24"/>
                <w:lang w:val="en-GB"/>
              </w:rPr>
              <w:t>£000</w:t>
            </w:r>
          </w:p>
        </w:tc>
      </w:tr>
      <w:tr w:rsidR="00DC7A16" w:rsidRPr="00D948C1" w14:paraId="7BBAF906" w14:textId="77777777" w:rsidTr="007641BA">
        <w:trPr>
          <w:cantSplit/>
          <w:trHeight w:val="275"/>
        </w:trPr>
        <w:tc>
          <w:tcPr>
            <w:tcW w:w="8822" w:type="dxa"/>
            <w:gridSpan w:val="3"/>
            <w:shd w:val="clear" w:color="auto" w:fill="D9D9D9" w:themeFill="background1" w:themeFillShade="D9"/>
          </w:tcPr>
          <w:p w14:paraId="060AA4FA" w14:textId="23F08CE7" w:rsidR="00DC7A16" w:rsidRPr="00D948C1" w:rsidRDefault="00DC7A16" w:rsidP="00DC7A16">
            <w:pPr>
              <w:rPr>
                <w:szCs w:val="24"/>
              </w:rPr>
            </w:pPr>
            <w:r w:rsidRPr="00D948C1">
              <w:rPr>
                <w:b/>
                <w:szCs w:val="24"/>
              </w:rPr>
              <w:t>Financial Liabilities at amortised cost</w:t>
            </w:r>
          </w:p>
        </w:tc>
      </w:tr>
      <w:tr w:rsidR="007E05C9" w:rsidRPr="00D9161A" w14:paraId="26C0A624" w14:textId="77777777" w:rsidTr="00480E4B">
        <w:trPr>
          <w:cantSplit/>
          <w:trHeight w:val="278"/>
        </w:trPr>
        <w:tc>
          <w:tcPr>
            <w:tcW w:w="6271" w:type="dxa"/>
            <w:vAlign w:val="center"/>
          </w:tcPr>
          <w:p w14:paraId="4EF05E61" w14:textId="77777777" w:rsidR="007E05C9" w:rsidRPr="00D9161A" w:rsidRDefault="007E05C9" w:rsidP="007E05C9">
            <w:pPr>
              <w:tabs>
                <w:tab w:val="left" w:pos="0"/>
              </w:tabs>
              <w:rPr>
                <w:szCs w:val="24"/>
              </w:rPr>
            </w:pPr>
            <w:r w:rsidRPr="00D9161A">
              <w:rPr>
                <w:szCs w:val="24"/>
              </w:rPr>
              <w:t>Interest payable relating to PFI</w:t>
            </w:r>
          </w:p>
        </w:tc>
        <w:tc>
          <w:tcPr>
            <w:tcW w:w="1276" w:type="dxa"/>
            <w:vAlign w:val="center"/>
          </w:tcPr>
          <w:p w14:paraId="76618B2C" w14:textId="5F6D4EE2" w:rsidR="007E05C9" w:rsidRPr="003636E0" w:rsidRDefault="00107A15" w:rsidP="007E05C9">
            <w:pPr>
              <w:pStyle w:val="Footer"/>
              <w:tabs>
                <w:tab w:val="clear" w:pos="4153"/>
                <w:tab w:val="clear" w:pos="8306"/>
                <w:tab w:val="decimal" w:pos="601"/>
              </w:tabs>
              <w:jc w:val="right"/>
              <w:rPr>
                <w:szCs w:val="24"/>
              </w:rPr>
            </w:pPr>
            <w:r>
              <w:rPr>
                <w:szCs w:val="24"/>
              </w:rPr>
              <w:t>1,125</w:t>
            </w:r>
          </w:p>
        </w:tc>
        <w:tc>
          <w:tcPr>
            <w:tcW w:w="1275" w:type="dxa"/>
            <w:vAlign w:val="center"/>
          </w:tcPr>
          <w:p w14:paraId="669CDD04" w14:textId="29BBA204" w:rsidR="007E05C9" w:rsidRPr="00D9161A" w:rsidRDefault="007E05C9" w:rsidP="007E05C9">
            <w:pPr>
              <w:pStyle w:val="Footer"/>
              <w:tabs>
                <w:tab w:val="clear" w:pos="4153"/>
                <w:tab w:val="clear" w:pos="8306"/>
                <w:tab w:val="decimal" w:pos="601"/>
              </w:tabs>
              <w:jc w:val="right"/>
              <w:rPr>
                <w:szCs w:val="24"/>
              </w:rPr>
            </w:pPr>
            <w:r w:rsidRPr="003636E0">
              <w:rPr>
                <w:szCs w:val="24"/>
              </w:rPr>
              <w:t>1,177</w:t>
            </w:r>
          </w:p>
        </w:tc>
      </w:tr>
      <w:tr w:rsidR="007E05C9" w:rsidRPr="00D9161A" w14:paraId="29FA07CF" w14:textId="77777777" w:rsidTr="00480E4B">
        <w:trPr>
          <w:cantSplit/>
          <w:trHeight w:val="278"/>
        </w:trPr>
        <w:tc>
          <w:tcPr>
            <w:tcW w:w="6271" w:type="dxa"/>
            <w:vAlign w:val="center"/>
          </w:tcPr>
          <w:p w14:paraId="47B27E4E" w14:textId="77777777" w:rsidR="007E05C9" w:rsidRPr="00D9161A" w:rsidRDefault="007E05C9" w:rsidP="007E05C9">
            <w:pPr>
              <w:tabs>
                <w:tab w:val="left" w:pos="0"/>
              </w:tabs>
              <w:rPr>
                <w:szCs w:val="24"/>
              </w:rPr>
            </w:pPr>
            <w:r w:rsidRPr="00D9161A">
              <w:rPr>
                <w:szCs w:val="24"/>
              </w:rPr>
              <w:t>Interest payable relating to Borrowing</w:t>
            </w:r>
          </w:p>
        </w:tc>
        <w:tc>
          <w:tcPr>
            <w:tcW w:w="1276" w:type="dxa"/>
            <w:vAlign w:val="center"/>
          </w:tcPr>
          <w:p w14:paraId="25A45E43" w14:textId="66672547" w:rsidR="00B07CF3" w:rsidRPr="003636E0" w:rsidRDefault="00B07CF3" w:rsidP="00B07CF3">
            <w:pPr>
              <w:pStyle w:val="Footer"/>
              <w:tabs>
                <w:tab w:val="clear" w:pos="4153"/>
                <w:tab w:val="clear" w:pos="8306"/>
                <w:tab w:val="decimal" w:pos="601"/>
              </w:tabs>
              <w:jc w:val="right"/>
              <w:rPr>
                <w:szCs w:val="24"/>
              </w:rPr>
            </w:pPr>
            <w:r>
              <w:rPr>
                <w:szCs w:val="24"/>
              </w:rPr>
              <w:t>90</w:t>
            </w:r>
          </w:p>
        </w:tc>
        <w:tc>
          <w:tcPr>
            <w:tcW w:w="1275" w:type="dxa"/>
            <w:vAlign w:val="center"/>
          </w:tcPr>
          <w:p w14:paraId="3644A288" w14:textId="16860D18" w:rsidR="007E05C9" w:rsidRPr="00D9161A" w:rsidRDefault="007E05C9" w:rsidP="007E05C9">
            <w:pPr>
              <w:pStyle w:val="Footer"/>
              <w:tabs>
                <w:tab w:val="clear" w:pos="4153"/>
                <w:tab w:val="clear" w:pos="8306"/>
                <w:tab w:val="decimal" w:pos="601"/>
              </w:tabs>
              <w:jc w:val="right"/>
              <w:rPr>
                <w:szCs w:val="24"/>
              </w:rPr>
            </w:pPr>
            <w:r w:rsidRPr="003636E0">
              <w:rPr>
                <w:szCs w:val="24"/>
              </w:rPr>
              <w:t>90</w:t>
            </w:r>
          </w:p>
        </w:tc>
      </w:tr>
      <w:tr w:rsidR="007E05C9" w:rsidRPr="00D9161A" w14:paraId="57DC91BA" w14:textId="77777777" w:rsidTr="008F6F5D">
        <w:trPr>
          <w:cantSplit/>
          <w:trHeight w:val="278"/>
        </w:trPr>
        <w:tc>
          <w:tcPr>
            <w:tcW w:w="6271" w:type="dxa"/>
            <w:tcBorders>
              <w:bottom w:val="single" w:sz="4" w:space="0" w:color="auto"/>
            </w:tcBorders>
            <w:vAlign w:val="center"/>
          </w:tcPr>
          <w:p w14:paraId="780A5D13" w14:textId="77777777" w:rsidR="007E05C9" w:rsidRPr="00D9161A" w:rsidRDefault="007E05C9" w:rsidP="007E05C9">
            <w:pPr>
              <w:tabs>
                <w:tab w:val="left" w:pos="0"/>
              </w:tabs>
              <w:rPr>
                <w:szCs w:val="24"/>
              </w:rPr>
            </w:pPr>
            <w:r w:rsidRPr="00D9161A">
              <w:rPr>
                <w:szCs w:val="24"/>
              </w:rPr>
              <w:t>Interest payable relating to finance leases</w:t>
            </w:r>
          </w:p>
        </w:tc>
        <w:tc>
          <w:tcPr>
            <w:tcW w:w="1276" w:type="dxa"/>
            <w:tcBorders>
              <w:bottom w:val="single" w:sz="4" w:space="0" w:color="auto"/>
            </w:tcBorders>
            <w:vAlign w:val="center"/>
          </w:tcPr>
          <w:p w14:paraId="40A189AE" w14:textId="54B7EC57" w:rsidR="007E05C9" w:rsidRPr="003636E0" w:rsidRDefault="00736BB1" w:rsidP="007E05C9">
            <w:pPr>
              <w:pStyle w:val="Footer"/>
              <w:tabs>
                <w:tab w:val="clear" w:pos="4153"/>
                <w:tab w:val="clear" w:pos="8306"/>
                <w:tab w:val="decimal" w:pos="601"/>
              </w:tabs>
              <w:jc w:val="right"/>
              <w:rPr>
                <w:szCs w:val="24"/>
              </w:rPr>
            </w:pPr>
            <w:r>
              <w:rPr>
                <w:szCs w:val="24"/>
              </w:rPr>
              <w:t>5</w:t>
            </w:r>
          </w:p>
        </w:tc>
        <w:tc>
          <w:tcPr>
            <w:tcW w:w="1275" w:type="dxa"/>
            <w:tcBorders>
              <w:bottom w:val="single" w:sz="4" w:space="0" w:color="auto"/>
            </w:tcBorders>
            <w:vAlign w:val="center"/>
          </w:tcPr>
          <w:p w14:paraId="0B48197A" w14:textId="36C4CDF5" w:rsidR="007E05C9" w:rsidRPr="00D9161A" w:rsidRDefault="007E05C9" w:rsidP="007E05C9">
            <w:pPr>
              <w:pStyle w:val="Footer"/>
              <w:tabs>
                <w:tab w:val="clear" w:pos="4153"/>
                <w:tab w:val="clear" w:pos="8306"/>
                <w:tab w:val="decimal" w:pos="601"/>
              </w:tabs>
              <w:jc w:val="right"/>
              <w:rPr>
                <w:szCs w:val="24"/>
              </w:rPr>
            </w:pPr>
            <w:r w:rsidRPr="003636E0">
              <w:rPr>
                <w:szCs w:val="24"/>
              </w:rPr>
              <w:t>5</w:t>
            </w:r>
          </w:p>
        </w:tc>
      </w:tr>
      <w:tr w:rsidR="007E05C9" w:rsidRPr="00D9161A" w14:paraId="052C9278" w14:textId="77777777" w:rsidTr="008F6F5D">
        <w:trPr>
          <w:cantSplit/>
          <w:trHeight w:val="278"/>
        </w:trPr>
        <w:tc>
          <w:tcPr>
            <w:tcW w:w="6271" w:type="dxa"/>
            <w:tcBorders>
              <w:bottom w:val="single" w:sz="4" w:space="0" w:color="auto"/>
            </w:tcBorders>
            <w:vAlign w:val="center"/>
          </w:tcPr>
          <w:p w14:paraId="43CF5FD1" w14:textId="77777777" w:rsidR="007E05C9" w:rsidRPr="00D9161A" w:rsidRDefault="007E05C9" w:rsidP="007E05C9">
            <w:pPr>
              <w:rPr>
                <w:szCs w:val="24"/>
              </w:rPr>
            </w:pPr>
            <w:r w:rsidRPr="00D9161A">
              <w:rPr>
                <w:szCs w:val="24"/>
              </w:rPr>
              <w:t>Total expense in Deficit on the Provision of Services</w:t>
            </w:r>
          </w:p>
        </w:tc>
        <w:tc>
          <w:tcPr>
            <w:tcW w:w="1276" w:type="dxa"/>
            <w:tcBorders>
              <w:bottom w:val="single" w:sz="4" w:space="0" w:color="auto"/>
            </w:tcBorders>
            <w:vAlign w:val="center"/>
          </w:tcPr>
          <w:p w14:paraId="059BA733" w14:textId="25E02FF0" w:rsidR="007E05C9" w:rsidRPr="003636E0" w:rsidRDefault="00532EF0" w:rsidP="007E05C9">
            <w:pPr>
              <w:pStyle w:val="Footer"/>
              <w:tabs>
                <w:tab w:val="clear" w:pos="4153"/>
                <w:tab w:val="clear" w:pos="8306"/>
                <w:tab w:val="decimal" w:pos="601"/>
              </w:tabs>
              <w:jc w:val="right"/>
              <w:rPr>
                <w:szCs w:val="24"/>
              </w:rPr>
            </w:pPr>
            <w:r>
              <w:rPr>
                <w:szCs w:val="24"/>
              </w:rPr>
              <w:t>1,220</w:t>
            </w:r>
          </w:p>
        </w:tc>
        <w:tc>
          <w:tcPr>
            <w:tcW w:w="1275" w:type="dxa"/>
            <w:tcBorders>
              <w:bottom w:val="single" w:sz="4" w:space="0" w:color="auto"/>
            </w:tcBorders>
            <w:vAlign w:val="center"/>
          </w:tcPr>
          <w:p w14:paraId="498064A4" w14:textId="126D232F" w:rsidR="007E05C9" w:rsidRPr="00D9161A" w:rsidRDefault="007E05C9" w:rsidP="007E05C9">
            <w:pPr>
              <w:pStyle w:val="Footer"/>
              <w:tabs>
                <w:tab w:val="clear" w:pos="4153"/>
                <w:tab w:val="clear" w:pos="8306"/>
                <w:tab w:val="decimal" w:pos="601"/>
              </w:tabs>
              <w:jc w:val="right"/>
              <w:rPr>
                <w:szCs w:val="24"/>
              </w:rPr>
            </w:pPr>
            <w:r w:rsidRPr="003636E0">
              <w:rPr>
                <w:szCs w:val="24"/>
              </w:rPr>
              <w:t>1,272</w:t>
            </w:r>
          </w:p>
        </w:tc>
      </w:tr>
    </w:tbl>
    <w:p w14:paraId="5E6039A9" w14:textId="77777777" w:rsidR="00300384" w:rsidRPr="00D9161A" w:rsidRDefault="00300384"/>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1"/>
        <w:gridCol w:w="1276"/>
        <w:gridCol w:w="1275"/>
      </w:tblGrid>
      <w:tr w:rsidR="00300384" w:rsidRPr="00D9161A" w14:paraId="053ABD45" w14:textId="77777777" w:rsidTr="008F1BC0">
        <w:trPr>
          <w:cantSplit/>
          <w:trHeight w:val="278"/>
        </w:trPr>
        <w:tc>
          <w:tcPr>
            <w:tcW w:w="8822" w:type="dxa"/>
            <w:gridSpan w:val="3"/>
            <w:shd w:val="clear" w:color="auto" w:fill="D9D9D9" w:themeFill="background1" w:themeFillShade="D9"/>
            <w:vAlign w:val="bottom"/>
          </w:tcPr>
          <w:p w14:paraId="20976247" w14:textId="3CAD45EC" w:rsidR="00300384" w:rsidRPr="00D9161A" w:rsidRDefault="00300384" w:rsidP="00300384">
            <w:pPr>
              <w:ind w:left="720" w:hanging="720"/>
              <w:rPr>
                <w:szCs w:val="24"/>
              </w:rPr>
            </w:pPr>
            <w:r w:rsidRPr="00D9161A">
              <w:rPr>
                <w:b/>
                <w:szCs w:val="24"/>
              </w:rPr>
              <w:t>Financial Assets at amortised cost</w:t>
            </w:r>
          </w:p>
        </w:tc>
      </w:tr>
      <w:tr w:rsidR="007E05C9" w:rsidRPr="00D9161A" w14:paraId="0853C146" w14:textId="77777777" w:rsidTr="00480E4B">
        <w:trPr>
          <w:cantSplit/>
          <w:trHeight w:val="278"/>
        </w:trPr>
        <w:tc>
          <w:tcPr>
            <w:tcW w:w="6271" w:type="dxa"/>
            <w:vAlign w:val="center"/>
          </w:tcPr>
          <w:p w14:paraId="397BA30F" w14:textId="77777777" w:rsidR="007E05C9" w:rsidRPr="00D9161A" w:rsidRDefault="007E05C9" w:rsidP="007E05C9">
            <w:pPr>
              <w:tabs>
                <w:tab w:val="left" w:pos="0"/>
              </w:tabs>
              <w:rPr>
                <w:szCs w:val="24"/>
              </w:rPr>
            </w:pPr>
            <w:r w:rsidRPr="00D9161A">
              <w:rPr>
                <w:szCs w:val="24"/>
              </w:rPr>
              <w:t>Interest income</w:t>
            </w:r>
          </w:p>
        </w:tc>
        <w:tc>
          <w:tcPr>
            <w:tcW w:w="1276" w:type="dxa"/>
            <w:vAlign w:val="center"/>
          </w:tcPr>
          <w:p w14:paraId="572B499E" w14:textId="329813F7" w:rsidR="00B00A6D" w:rsidRPr="003636E0" w:rsidRDefault="00B00A6D" w:rsidP="00B00A6D">
            <w:pPr>
              <w:pStyle w:val="Footer"/>
              <w:tabs>
                <w:tab w:val="clear" w:pos="4153"/>
                <w:tab w:val="clear" w:pos="8306"/>
                <w:tab w:val="decimal" w:pos="326"/>
              </w:tabs>
              <w:jc w:val="right"/>
              <w:rPr>
                <w:szCs w:val="24"/>
              </w:rPr>
            </w:pPr>
            <w:r>
              <w:rPr>
                <w:szCs w:val="24"/>
              </w:rPr>
              <w:t>(2,120)</w:t>
            </w:r>
          </w:p>
        </w:tc>
        <w:tc>
          <w:tcPr>
            <w:tcW w:w="1275" w:type="dxa"/>
            <w:vAlign w:val="center"/>
          </w:tcPr>
          <w:p w14:paraId="66E499DC" w14:textId="7FF15817" w:rsidR="007E05C9" w:rsidRPr="00D9161A" w:rsidRDefault="007E05C9" w:rsidP="007E05C9">
            <w:pPr>
              <w:pStyle w:val="Footer"/>
              <w:tabs>
                <w:tab w:val="clear" w:pos="4153"/>
                <w:tab w:val="clear" w:pos="8306"/>
                <w:tab w:val="decimal" w:pos="326"/>
              </w:tabs>
              <w:jc w:val="right"/>
              <w:rPr>
                <w:szCs w:val="24"/>
              </w:rPr>
            </w:pPr>
            <w:r w:rsidRPr="003636E0">
              <w:rPr>
                <w:szCs w:val="24"/>
              </w:rPr>
              <w:t>(2,291)</w:t>
            </w:r>
          </w:p>
        </w:tc>
      </w:tr>
      <w:tr w:rsidR="00B00A6D" w:rsidRPr="00D9161A" w14:paraId="7A0C61A3" w14:textId="77777777" w:rsidTr="00480E4B">
        <w:trPr>
          <w:cantSplit/>
          <w:trHeight w:val="278"/>
        </w:trPr>
        <w:tc>
          <w:tcPr>
            <w:tcW w:w="6271" w:type="dxa"/>
            <w:vAlign w:val="center"/>
          </w:tcPr>
          <w:p w14:paraId="102A5ED8" w14:textId="76CBD776" w:rsidR="00B00A6D" w:rsidRPr="00D9161A" w:rsidRDefault="00B00A6D" w:rsidP="00B00A6D">
            <w:pPr>
              <w:ind w:left="-37"/>
              <w:rPr>
                <w:szCs w:val="24"/>
              </w:rPr>
            </w:pPr>
            <w:r w:rsidRPr="00D9161A">
              <w:rPr>
                <w:szCs w:val="24"/>
              </w:rPr>
              <w:t xml:space="preserve">Total income in </w:t>
            </w:r>
            <w:r>
              <w:rPr>
                <w:szCs w:val="24"/>
              </w:rPr>
              <w:t>(Surplus)</w:t>
            </w:r>
            <w:r w:rsidR="00726A87">
              <w:rPr>
                <w:szCs w:val="24"/>
              </w:rPr>
              <w:t xml:space="preserve"> or d</w:t>
            </w:r>
            <w:r w:rsidRPr="00D9161A">
              <w:rPr>
                <w:szCs w:val="24"/>
              </w:rPr>
              <w:t>eficit on the Provision of Services</w:t>
            </w:r>
          </w:p>
        </w:tc>
        <w:tc>
          <w:tcPr>
            <w:tcW w:w="1276" w:type="dxa"/>
            <w:vAlign w:val="center"/>
          </w:tcPr>
          <w:p w14:paraId="44D17B52" w14:textId="32A5C99A" w:rsidR="00B00A6D" w:rsidRPr="003636E0" w:rsidRDefault="00B00A6D" w:rsidP="00B00A6D">
            <w:pPr>
              <w:pStyle w:val="Footer"/>
              <w:tabs>
                <w:tab w:val="clear" w:pos="4153"/>
                <w:tab w:val="clear" w:pos="8306"/>
                <w:tab w:val="decimal" w:pos="326"/>
              </w:tabs>
              <w:jc w:val="right"/>
              <w:rPr>
                <w:szCs w:val="24"/>
              </w:rPr>
            </w:pPr>
            <w:r>
              <w:rPr>
                <w:szCs w:val="24"/>
              </w:rPr>
              <w:t>(2,120)</w:t>
            </w:r>
          </w:p>
        </w:tc>
        <w:tc>
          <w:tcPr>
            <w:tcW w:w="1275" w:type="dxa"/>
            <w:vAlign w:val="center"/>
          </w:tcPr>
          <w:p w14:paraId="7EB8E7D3" w14:textId="6938A5C1" w:rsidR="00B00A6D" w:rsidRPr="00D9161A" w:rsidRDefault="00B00A6D" w:rsidP="00B00A6D">
            <w:pPr>
              <w:pStyle w:val="Footer"/>
              <w:tabs>
                <w:tab w:val="clear" w:pos="4153"/>
                <w:tab w:val="clear" w:pos="8306"/>
                <w:tab w:val="decimal" w:pos="326"/>
              </w:tabs>
              <w:jc w:val="right"/>
              <w:rPr>
                <w:szCs w:val="24"/>
              </w:rPr>
            </w:pPr>
            <w:r w:rsidRPr="003636E0">
              <w:rPr>
                <w:szCs w:val="24"/>
              </w:rPr>
              <w:t>(2,291)</w:t>
            </w:r>
          </w:p>
        </w:tc>
      </w:tr>
      <w:tr w:rsidR="00B00A6D" w:rsidRPr="00D948C1" w14:paraId="4A4340DE" w14:textId="77777777" w:rsidTr="00480E4B">
        <w:trPr>
          <w:cantSplit/>
          <w:trHeight w:val="278"/>
        </w:trPr>
        <w:tc>
          <w:tcPr>
            <w:tcW w:w="6271" w:type="dxa"/>
            <w:vAlign w:val="center"/>
          </w:tcPr>
          <w:p w14:paraId="480AA266" w14:textId="5DE8BBEA" w:rsidR="00B00A6D" w:rsidRPr="00D9161A" w:rsidRDefault="00B00A6D" w:rsidP="00B00A6D">
            <w:pPr>
              <w:ind w:left="33"/>
              <w:rPr>
                <w:szCs w:val="24"/>
              </w:rPr>
            </w:pPr>
            <w:r w:rsidRPr="00D9161A">
              <w:rPr>
                <w:szCs w:val="24"/>
              </w:rPr>
              <w:t>Net (gain)</w:t>
            </w:r>
            <w:r w:rsidR="00726A87">
              <w:rPr>
                <w:szCs w:val="24"/>
              </w:rPr>
              <w:t xml:space="preserve"> or </w:t>
            </w:r>
            <w:r w:rsidRPr="00D9161A">
              <w:rPr>
                <w:szCs w:val="24"/>
              </w:rPr>
              <w:t>loss for the year</w:t>
            </w:r>
          </w:p>
        </w:tc>
        <w:tc>
          <w:tcPr>
            <w:tcW w:w="1276" w:type="dxa"/>
            <w:vAlign w:val="center"/>
          </w:tcPr>
          <w:p w14:paraId="6B6C1795" w14:textId="4276EE1D" w:rsidR="00B00A6D" w:rsidRPr="003636E0" w:rsidRDefault="001A567E" w:rsidP="00B00A6D">
            <w:pPr>
              <w:pStyle w:val="Footer"/>
              <w:tabs>
                <w:tab w:val="clear" w:pos="4153"/>
                <w:tab w:val="clear" w:pos="8306"/>
                <w:tab w:val="decimal" w:pos="601"/>
              </w:tabs>
              <w:jc w:val="right"/>
              <w:rPr>
                <w:szCs w:val="24"/>
              </w:rPr>
            </w:pPr>
            <w:r>
              <w:rPr>
                <w:szCs w:val="24"/>
              </w:rPr>
              <w:t>(900)</w:t>
            </w:r>
          </w:p>
        </w:tc>
        <w:tc>
          <w:tcPr>
            <w:tcW w:w="1275" w:type="dxa"/>
            <w:vAlign w:val="center"/>
          </w:tcPr>
          <w:p w14:paraId="7552DF82" w14:textId="315C4B29" w:rsidR="00B00A6D" w:rsidRPr="003613A5" w:rsidRDefault="00B00A6D" w:rsidP="00B00A6D">
            <w:pPr>
              <w:pStyle w:val="Footer"/>
              <w:tabs>
                <w:tab w:val="clear" w:pos="4153"/>
                <w:tab w:val="clear" w:pos="8306"/>
                <w:tab w:val="decimal" w:pos="601"/>
              </w:tabs>
              <w:jc w:val="right"/>
              <w:rPr>
                <w:szCs w:val="24"/>
              </w:rPr>
            </w:pPr>
            <w:r w:rsidRPr="003636E0">
              <w:rPr>
                <w:szCs w:val="24"/>
              </w:rPr>
              <w:t>(1,019)</w:t>
            </w:r>
          </w:p>
        </w:tc>
      </w:tr>
    </w:tbl>
    <w:p w14:paraId="111C5D2E" w14:textId="77777777" w:rsidR="00BF24AC" w:rsidRPr="00D948C1" w:rsidRDefault="00BF24AC" w:rsidP="00D90216">
      <w:pPr>
        <w:rPr>
          <w:b/>
          <w:sz w:val="22"/>
          <w:szCs w:val="22"/>
        </w:rPr>
      </w:pPr>
    </w:p>
    <w:p w14:paraId="082F6550" w14:textId="0CAEA635" w:rsidR="00D90216" w:rsidRPr="007E05C9" w:rsidRDefault="00F004B0" w:rsidP="003278CF">
      <w:pPr>
        <w:ind w:firstLine="709"/>
        <w:rPr>
          <w:b/>
        </w:rPr>
      </w:pPr>
      <w:r w:rsidRPr="383B0F31">
        <w:rPr>
          <w:b/>
        </w:rPr>
        <w:t xml:space="preserve">Fair Values of </w:t>
      </w:r>
      <w:r w:rsidR="00450D6E" w:rsidRPr="383B0F31">
        <w:rPr>
          <w:b/>
        </w:rPr>
        <w:t>Financial Instruments</w:t>
      </w:r>
    </w:p>
    <w:p w14:paraId="1D4E5900" w14:textId="77777777" w:rsidR="00D90216" w:rsidRPr="007E05C9" w:rsidRDefault="00D90216" w:rsidP="00617696">
      <w:pPr>
        <w:ind w:firstLine="709"/>
        <w:rPr>
          <w:b/>
          <w:sz w:val="22"/>
          <w:szCs w:val="22"/>
        </w:rPr>
      </w:pPr>
    </w:p>
    <w:p w14:paraId="61B90B8C" w14:textId="612BD4BC" w:rsidR="00D90216" w:rsidRDefault="008841C4" w:rsidP="22FF31C3">
      <w:pPr>
        <w:ind w:left="709"/>
      </w:pPr>
      <w:r>
        <w:t>In accordance with IFRS 9, f</w:t>
      </w:r>
      <w:r w:rsidR="00D90216">
        <w:t xml:space="preserve">inancial liabilities, financial assets represented by </w:t>
      </w:r>
      <w:r w:rsidR="00DF770E">
        <w:t>investments</w:t>
      </w:r>
      <w:r w:rsidR="00D90216">
        <w:t xml:space="preserve"> and </w:t>
      </w:r>
      <w:r w:rsidR="005436A9">
        <w:t>long-term</w:t>
      </w:r>
      <w:r w:rsidR="00D90216">
        <w:t xml:space="preserve"> creditors, are carried in the Balance Sheet at amortised cost. Their fair value can be assessed by calculating the present value of the cash flows that will take place over the remaining term of the instruments, using the following assumptions:</w:t>
      </w:r>
    </w:p>
    <w:p w14:paraId="41D891BB" w14:textId="77777777" w:rsidR="006053B9" w:rsidRPr="003613A5" w:rsidRDefault="006053B9" w:rsidP="22FF31C3">
      <w:pPr>
        <w:ind w:left="709"/>
      </w:pPr>
    </w:p>
    <w:p w14:paraId="12FCDCB1" w14:textId="4B3DCB7B" w:rsidR="00D90216" w:rsidRPr="00831DE9" w:rsidRDefault="00D90216" w:rsidP="22FF31C3">
      <w:pPr>
        <w:numPr>
          <w:ilvl w:val="0"/>
          <w:numId w:val="16"/>
        </w:numPr>
      </w:pPr>
      <w:r w:rsidRPr="00831DE9">
        <w:t xml:space="preserve">Estimated ranges of interest rates </w:t>
      </w:r>
      <w:proofErr w:type="gramStart"/>
      <w:r w:rsidRPr="00831DE9">
        <w:t>at</w:t>
      </w:r>
      <w:proofErr w:type="gramEnd"/>
      <w:r w:rsidRPr="00831DE9">
        <w:t xml:space="preserve"> 31 March 20</w:t>
      </w:r>
      <w:r w:rsidR="00CC6AF3" w:rsidRPr="00831DE9">
        <w:t>2</w:t>
      </w:r>
      <w:r w:rsidR="008E6F27" w:rsidRPr="00831DE9">
        <w:t>6</w:t>
      </w:r>
      <w:r w:rsidRPr="00831DE9">
        <w:t xml:space="preserve"> of </w:t>
      </w:r>
      <w:r w:rsidR="00F74A0A" w:rsidRPr="00831DE9">
        <w:t>5</w:t>
      </w:r>
      <w:r w:rsidR="00104FD1" w:rsidRPr="00831DE9">
        <w:t>.</w:t>
      </w:r>
      <w:r w:rsidR="00743E66" w:rsidRPr="00831DE9">
        <w:t>72</w:t>
      </w:r>
      <w:r w:rsidRPr="00831DE9">
        <w:t xml:space="preserve">% to </w:t>
      </w:r>
      <w:r w:rsidR="00A14E14" w:rsidRPr="00831DE9">
        <w:t>5.</w:t>
      </w:r>
      <w:r w:rsidR="00743E66" w:rsidRPr="00831DE9">
        <w:t>85</w:t>
      </w:r>
      <w:r w:rsidRPr="00831DE9">
        <w:t>% for loans from the PWLB</w:t>
      </w:r>
      <w:r w:rsidR="005436A9" w:rsidRPr="00831DE9">
        <w:t>.</w:t>
      </w:r>
    </w:p>
    <w:p w14:paraId="09AB3C2F" w14:textId="2BC94D7A" w:rsidR="00D90216" w:rsidRPr="007E05C9" w:rsidRDefault="00C40917" w:rsidP="22FF31C3">
      <w:pPr>
        <w:numPr>
          <w:ilvl w:val="0"/>
          <w:numId w:val="16"/>
        </w:numPr>
      </w:pPr>
      <w:r>
        <w:t xml:space="preserve">The fair values of PWLB loans have been discounted at the market rates for </w:t>
      </w:r>
      <w:r w:rsidR="00717501">
        <w:t>new</w:t>
      </w:r>
      <w:r>
        <w:t xml:space="preserve"> instruments with </w:t>
      </w:r>
      <w:r w:rsidR="00F74A0A">
        <w:t>the same</w:t>
      </w:r>
      <w:r>
        <w:t xml:space="preserve"> remaining terms to </w:t>
      </w:r>
      <w:r w:rsidR="005436A9">
        <w:t>maturity.</w:t>
      </w:r>
    </w:p>
    <w:p w14:paraId="09308E4D" w14:textId="16E5F366" w:rsidR="00D90216" w:rsidRPr="007E05C9" w:rsidRDefault="00D90216" w:rsidP="22FF31C3">
      <w:pPr>
        <w:numPr>
          <w:ilvl w:val="0"/>
          <w:numId w:val="16"/>
        </w:numPr>
      </w:pPr>
      <w:r>
        <w:t>Where an instrument will mature in the next 12 months, carrying amount is assumed to approximate to fair value</w:t>
      </w:r>
      <w:r w:rsidR="005436A9">
        <w:t>.</w:t>
      </w:r>
    </w:p>
    <w:p w14:paraId="26CFCE6E" w14:textId="77777777" w:rsidR="00D90216" w:rsidRPr="007E05C9" w:rsidRDefault="00D90216" w:rsidP="22FF31C3">
      <w:pPr>
        <w:numPr>
          <w:ilvl w:val="0"/>
          <w:numId w:val="16"/>
        </w:numPr>
      </w:pPr>
      <w:r>
        <w:t>The fair value of trade and other receivables is taken to be the invoiced amount.</w:t>
      </w:r>
    </w:p>
    <w:p w14:paraId="10449FAB" w14:textId="3BDD2F2F" w:rsidR="00DD63D7" w:rsidRPr="007E05C9" w:rsidRDefault="00207EA9" w:rsidP="22FF31C3">
      <w:pPr>
        <w:numPr>
          <w:ilvl w:val="0"/>
          <w:numId w:val="16"/>
        </w:numPr>
      </w:pPr>
      <w:r>
        <w:lastRenderedPageBreak/>
        <w:t>Following the adoption of IFRS 16 t</w:t>
      </w:r>
      <w:r w:rsidR="00F004B0">
        <w:t xml:space="preserve">he fair value of the PFI liabilities </w:t>
      </w:r>
      <w:r w:rsidR="00593DF6">
        <w:t xml:space="preserve">is represented by </w:t>
      </w:r>
      <w:r w:rsidR="009451A8">
        <w:t>balance sheet carrying value due to the liability being remeasured at each indexation date.</w:t>
      </w:r>
    </w:p>
    <w:p w14:paraId="677BDF46" w14:textId="77777777" w:rsidR="009451A8" w:rsidRPr="00347B4C" w:rsidRDefault="009451A8" w:rsidP="008E28A7"/>
    <w:p w14:paraId="443E3743" w14:textId="37A0A9E5" w:rsidR="00D90216" w:rsidRPr="00347B4C" w:rsidRDefault="00D90216" w:rsidP="22FF31C3">
      <w:pPr>
        <w:ind w:firstLine="720"/>
      </w:pPr>
      <w:r>
        <w:t>The fair values calculated are as follows:</w:t>
      </w:r>
    </w:p>
    <w:p w14:paraId="5ACD27FA" w14:textId="77777777" w:rsidR="00DD63D7" w:rsidRPr="00D948C1" w:rsidRDefault="00DD63D7" w:rsidP="00DD63D7">
      <w:pPr>
        <w:ind w:firstLine="720"/>
        <w:rPr>
          <w:szCs w:val="24"/>
        </w:rPr>
      </w:pPr>
    </w:p>
    <w:tbl>
      <w:tblPr>
        <w:tblW w:w="9068"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297"/>
        <w:gridCol w:w="1118"/>
        <w:gridCol w:w="1297"/>
        <w:gridCol w:w="1118"/>
      </w:tblGrid>
      <w:tr w:rsidR="006636C3" w:rsidRPr="00D948C1" w14:paraId="2AA2C0FE" w14:textId="77777777" w:rsidTr="007641BA">
        <w:trPr>
          <w:tblHeader/>
        </w:trPr>
        <w:tc>
          <w:tcPr>
            <w:tcW w:w="4238" w:type="dxa"/>
            <w:shd w:val="clear" w:color="auto" w:fill="BD2716"/>
          </w:tcPr>
          <w:p w14:paraId="21DAD6DD" w14:textId="77777777" w:rsidR="006636C3" w:rsidRPr="00D948C1" w:rsidRDefault="006636C3" w:rsidP="006636C3">
            <w:pPr>
              <w:jc w:val="both"/>
              <w:rPr>
                <w:color w:val="FFFFFF" w:themeColor="background1"/>
                <w:szCs w:val="24"/>
              </w:rPr>
            </w:pPr>
          </w:p>
        </w:tc>
        <w:tc>
          <w:tcPr>
            <w:tcW w:w="2415" w:type="dxa"/>
            <w:gridSpan w:val="2"/>
            <w:shd w:val="clear" w:color="auto" w:fill="BD2716"/>
            <w:vAlign w:val="center"/>
          </w:tcPr>
          <w:p w14:paraId="77873866" w14:textId="767D4F6B" w:rsidR="006636C3" w:rsidRPr="00D948C1" w:rsidRDefault="006636C3" w:rsidP="006636C3">
            <w:pPr>
              <w:jc w:val="center"/>
              <w:rPr>
                <w:color w:val="FFFFFF" w:themeColor="background1"/>
                <w:szCs w:val="24"/>
              </w:rPr>
            </w:pPr>
            <w:r w:rsidRPr="00D948C1">
              <w:rPr>
                <w:color w:val="FFFFFF" w:themeColor="background1"/>
                <w:szCs w:val="24"/>
              </w:rPr>
              <w:t>31 March 202</w:t>
            </w:r>
            <w:r w:rsidR="007E05C9">
              <w:rPr>
                <w:color w:val="FFFFFF" w:themeColor="background1"/>
                <w:szCs w:val="24"/>
              </w:rPr>
              <w:t>6</w:t>
            </w:r>
          </w:p>
        </w:tc>
        <w:tc>
          <w:tcPr>
            <w:tcW w:w="2415" w:type="dxa"/>
            <w:gridSpan w:val="2"/>
            <w:shd w:val="clear" w:color="auto" w:fill="BD2716"/>
            <w:vAlign w:val="center"/>
          </w:tcPr>
          <w:p w14:paraId="1A3CD421" w14:textId="7B386F6A" w:rsidR="006636C3" w:rsidRPr="00D948C1" w:rsidRDefault="006636C3" w:rsidP="006636C3">
            <w:pPr>
              <w:jc w:val="center"/>
              <w:rPr>
                <w:color w:val="FFFFFF" w:themeColor="background1"/>
                <w:szCs w:val="24"/>
              </w:rPr>
            </w:pPr>
            <w:r w:rsidRPr="00D948C1">
              <w:rPr>
                <w:color w:val="FFFFFF" w:themeColor="background1"/>
                <w:szCs w:val="24"/>
              </w:rPr>
              <w:t>31 March 202</w:t>
            </w:r>
            <w:r w:rsidR="007E05C9">
              <w:rPr>
                <w:color w:val="FFFFFF" w:themeColor="background1"/>
                <w:szCs w:val="24"/>
              </w:rPr>
              <w:t>5</w:t>
            </w:r>
          </w:p>
        </w:tc>
      </w:tr>
      <w:tr w:rsidR="006636C3" w:rsidRPr="00D948C1" w14:paraId="3239C926" w14:textId="77777777" w:rsidTr="00611673">
        <w:trPr>
          <w:tblHeader/>
        </w:trPr>
        <w:tc>
          <w:tcPr>
            <w:tcW w:w="4238" w:type="dxa"/>
            <w:shd w:val="clear" w:color="auto" w:fill="BD2716"/>
          </w:tcPr>
          <w:p w14:paraId="40D2A34B" w14:textId="77777777" w:rsidR="006636C3" w:rsidRPr="00D948C1" w:rsidRDefault="006636C3" w:rsidP="006636C3">
            <w:pPr>
              <w:jc w:val="both"/>
              <w:rPr>
                <w:color w:val="FFFFFF" w:themeColor="background1"/>
                <w:szCs w:val="24"/>
              </w:rPr>
            </w:pPr>
          </w:p>
        </w:tc>
        <w:tc>
          <w:tcPr>
            <w:tcW w:w="1297" w:type="dxa"/>
            <w:shd w:val="clear" w:color="auto" w:fill="BD2716"/>
            <w:vAlign w:val="center"/>
          </w:tcPr>
          <w:p w14:paraId="05CE7B7F" w14:textId="77777777" w:rsidR="006636C3" w:rsidRPr="00D948C1" w:rsidRDefault="006636C3" w:rsidP="006636C3">
            <w:pPr>
              <w:jc w:val="right"/>
              <w:rPr>
                <w:color w:val="FFFFFF" w:themeColor="background1"/>
                <w:szCs w:val="24"/>
              </w:rPr>
            </w:pPr>
            <w:r w:rsidRPr="00D948C1">
              <w:rPr>
                <w:color w:val="FFFFFF" w:themeColor="background1"/>
                <w:szCs w:val="24"/>
              </w:rPr>
              <w:t>Amortised Cost</w:t>
            </w:r>
          </w:p>
          <w:p w14:paraId="6BCF57F9" w14:textId="5915688E" w:rsidR="006636C3" w:rsidRPr="00D948C1" w:rsidRDefault="006636C3" w:rsidP="006636C3">
            <w:pPr>
              <w:jc w:val="right"/>
              <w:rPr>
                <w:color w:val="FFFFFF" w:themeColor="background1"/>
                <w:szCs w:val="24"/>
              </w:rPr>
            </w:pPr>
            <w:r w:rsidRPr="00D948C1">
              <w:rPr>
                <w:color w:val="FFFFFF" w:themeColor="background1"/>
                <w:szCs w:val="24"/>
              </w:rPr>
              <w:t>£000</w:t>
            </w:r>
          </w:p>
        </w:tc>
        <w:tc>
          <w:tcPr>
            <w:tcW w:w="1118" w:type="dxa"/>
            <w:shd w:val="clear" w:color="auto" w:fill="BD2716"/>
            <w:vAlign w:val="center"/>
          </w:tcPr>
          <w:p w14:paraId="52B8E212" w14:textId="5BD549CB" w:rsidR="006636C3" w:rsidRPr="00D948C1" w:rsidRDefault="006839FA" w:rsidP="006636C3">
            <w:pPr>
              <w:jc w:val="right"/>
              <w:rPr>
                <w:color w:val="FFFFFF" w:themeColor="background1"/>
                <w:szCs w:val="24"/>
              </w:rPr>
            </w:pPr>
            <w:r>
              <w:rPr>
                <w:color w:val="FFFFFF" w:themeColor="background1"/>
                <w:szCs w:val="24"/>
              </w:rPr>
              <w:t>Fair Value</w:t>
            </w:r>
          </w:p>
          <w:p w14:paraId="0C6EE299" w14:textId="19C5BEE2" w:rsidR="006636C3" w:rsidRPr="00D948C1" w:rsidRDefault="006636C3" w:rsidP="006636C3">
            <w:pPr>
              <w:jc w:val="right"/>
              <w:rPr>
                <w:color w:val="FFFFFF" w:themeColor="background1"/>
                <w:szCs w:val="24"/>
              </w:rPr>
            </w:pPr>
            <w:r w:rsidRPr="00D948C1">
              <w:rPr>
                <w:color w:val="FFFFFF" w:themeColor="background1"/>
                <w:szCs w:val="24"/>
              </w:rPr>
              <w:t>£000</w:t>
            </w:r>
          </w:p>
        </w:tc>
        <w:tc>
          <w:tcPr>
            <w:tcW w:w="1297" w:type="dxa"/>
            <w:shd w:val="clear" w:color="auto" w:fill="BD2716"/>
            <w:vAlign w:val="center"/>
          </w:tcPr>
          <w:p w14:paraId="3B358A3A" w14:textId="77777777" w:rsidR="006636C3" w:rsidRPr="00D948C1" w:rsidRDefault="006636C3" w:rsidP="006636C3">
            <w:pPr>
              <w:jc w:val="right"/>
              <w:rPr>
                <w:color w:val="FFFFFF" w:themeColor="background1"/>
                <w:szCs w:val="24"/>
              </w:rPr>
            </w:pPr>
            <w:r w:rsidRPr="00D948C1">
              <w:rPr>
                <w:color w:val="FFFFFF" w:themeColor="background1"/>
                <w:szCs w:val="24"/>
              </w:rPr>
              <w:t>Amortised Cost</w:t>
            </w:r>
          </w:p>
          <w:p w14:paraId="14F7B3DE" w14:textId="1004A439" w:rsidR="006636C3" w:rsidRPr="00D948C1" w:rsidRDefault="006636C3" w:rsidP="006636C3">
            <w:pPr>
              <w:jc w:val="right"/>
              <w:rPr>
                <w:color w:val="FFFFFF" w:themeColor="background1"/>
                <w:szCs w:val="24"/>
              </w:rPr>
            </w:pPr>
            <w:r w:rsidRPr="00D948C1">
              <w:rPr>
                <w:color w:val="FFFFFF" w:themeColor="background1"/>
                <w:szCs w:val="24"/>
              </w:rPr>
              <w:t>£000</w:t>
            </w:r>
          </w:p>
        </w:tc>
        <w:tc>
          <w:tcPr>
            <w:tcW w:w="1118" w:type="dxa"/>
            <w:shd w:val="clear" w:color="auto" w:fill="BD2716"/>
            <w:vAlign w:val="center"/>
          </w:tcPr>
          <w:p w14:paraId="3C74CE9D" w14:textId="77777777" w:rsidR="006636C3" w:rsidRPr="00D948C1" w:rsidRDefault="006636C3" w:rsidP="006636C3">
            <w:pPr>
              <w:jc w:val="right"/>
              <w:rPr>
                <w:color w:val="FFFFFF" w:themeColor="background1"/>
                <w:szCs w:val="24"/>
              </w:rPr>
            </w:pPr>
            <w:r w:rsidRPr="00D948C1">
              <w:rPr>
                <w:color w:val="FFFFFF" w:themeColor="background1"/>
                <w:szCs w:val="24"/>
              </w:rPr>
              <w:t>Fair Value</w:t>
            </w:r>
          </w:p>
          <w:p w14:paraId="7DBC0C88" w14:textId="248EABFD" w:rsidR="006636C3" w:rsidRPr="00D948C1" w:rsidRDefault="006636C3" w:rsidP="006636C3">
            <w:pPr>
              <w:jc w:val="right"/>
              <w:rPr>
                <w:color w:val="FFFFFF" w:themeColor="background1"/>
                <w:szCs w:val="24"/>
              </w:rPr>
            </w:pPr>
            <w:r w:rsidRPr="00D948C1">
              <w:rPr>
                <w:color w:val="FFFFFF" w:themeColor="background1"/>
                <w:szCs w:val="24"/>
              </w:rPr>
              <w:t>£000</w:t>
            </w:r>
          </w:p>
        </w:tc>
      </w:tr>
      <w:tr w:rsidR="007E05C9" w:rsidRPr="00D948C1" w14:paraId="6F6D94B0" w14:textId="77777777" w:rsidTr="007641BA">
        <w:tc>
          <w:tcPr>
            <w:tcW w:w="4238" w:type="dxa"/>
            <w:vAlign w:val="center"/>
          </w:tcPr>
          <w:p w14:paraId="017F534A" w14:textId="77777777" w:rsidR="007E05C9" w:rsidRPr="00D948C1" w:rsidRDefault="007E05C9" w:rsidP="007E05C9">
            <w:pPr>
              <w:ind w:left="60"/>
              <w:rPr>
                <w:szCs w:val="24"/>
              </w:rPr>
            </w:pPr>
            <w:r w:rsidRPr="00D948C1">
              <w:rPr>
                <w:szCs w:val="24"/>
              </w:rPr>
              <w:t>Loans from the Public Works Loan Board</w:t>
            </w:r>
          </w:p>
        </w:tc>
        <w:tc>
          <w:tcPr>
            <w:tcW w:w="1297" w:type="dxa"/>
            <w:vAlign w:val="center"/>
          </w:tcPr>
          <w:p w14:paraId="0CAB018C" w14:textId="4E5A4C8B" w:rsidR="007E05C9" w:rsidRPr="008E28A7" w:rsidRDefault="00DE019A" w:rsidP="007E05C9">
            <w:pPr>
              <w:pStyle w:val="Footer"/>
              <w:tabs>
                <w:tab w:val="clear" w:pos="4153"/>
                <w:tab w:val="clear" w:pos="8306"/>
                <w:tab w:val="decimal" w:pos="326"/>
              </w:tabs>
              <w:jc w:val="right"/>
              <w:rPr>
                <w:szCs w:val="24"/>
              </w:rPr>
            </w:pPr>
            <w:r>
              <w:rPr>
                <w:szCs w:val="24"/>
              </w:rPr>
              <w:t>2,000</w:t>
            </w:r>
          </w:p>
        </w:tc>
        <w:tc>
          <w:tcPr>
            <w:tcW w:w="1118" w:type="dxa"/>
            <w:vAlign w:val="center"/>
          </w:tcPr>
          <w:p w14:paraId="17670C2A" w14:textId="62B51B1A" w:rsidR="007E05C9" w:rsidRPr="008E28A7" w:rsidRDefault="00334EB5" w:rsidP="007E05C9">
            <w:pPr>
              <w:pStyle w:val="Footer"/>
              <w:tabs>
                <w:tab w:val="clear" w:pos="4153"/>
                <w:tab w:val="clear" w:pos="8306"/>
                <w:tab w:val="decimal" w:pos="326"/>
              </w:tabs>
              <w:jc w:val="right"/>
              <w:rPr>
                <w:szCs w:val="24"/>
              </w:rPr>
            </w:pPr>
            <w:r>
              <w:rPr>
                <w:szCs w:val="24"/>
              </w:rPr>
              <w:t>1,</w:t>
            </w:r>
            <w:r w:rsidR="00F84F85">
              <w:rPr>
                <w:szCs w:val="24"/>
              </w:rPr>
              <w:t>822</w:t>
            </w:r>
          </w:p>
        </w:tc>
        <w:tc>
          <w:tcPr>
            <w:tcW w:w="1297" w:type="dxa"/>
            <w:vAlign w:val="center"/>
          </w:tcPr>
          <w:p w14:paraId="674A5DFE" w14:textId="7685AAE2" w:rsidR="007E05C9" w:rsidRPr="00347B4C" w:rsidRDefault="007E05C9" w:rsidP="007E05C9">
            <w:pPr>
              <w:pStyle w:val="Footer"/>
              <w:tabs>
                <w:tab w:val="clear" w:pos="4153"/>
                <w:tab w:val="clear" w:pos="8306"/>
                <w:tab w:val="decimal" w:pos="326"/>
              </w:tabs>
              <w:jc w:val="right"/>
              <w:rPr>
                <w:szCs w:val="24"/>
              </w:rPr>
            </w:pPr>
            <w:r w:rsidRPr="008E28A7">
              <w:rPr>
                <w:szCs w:val="24"/>
              </w:rPr>
              <w:t>2,000</w:t>
            </w:r>
          </w:p>
        </w:tc>
        <w:tc>
          <w:tcPr>
            <w:tcW w:w="1118" w:type="dxa"/>
            <w:vAlign w:val="center"/>
          </w:tcPr>
          <w:p w14:paraId="2B04BA58" w14:textId="02BB8B32" w:rsidR="007E05C9" w:rsidRPr="00347B4C" w:rsidRDefault="007E05C9" w:rsidP="007E05C9">
            <w:pPr>
              <w:pStyle w:val="Footer"/>
              <w:tabs>
                <w:tab w:val="clear" w:pos="4153"/>
                <w:tab w:val="clear" w:pos="8306"/>
                <w:tab w:val="decimal" w:pos="326"/>
              </w:tabs>
              <w:jc w:val="right"/>
              <w:rPr>
                <w:szCs w:val="24"/>
              </w:rPr>
            </w:pPr>
            <w:r w:rsidRPr="008E28A7">
              <w:rPr>
                <w:szCs w:val="24"/>
              </w:rPr>
              <w:t>1,845</w:t>
            </w:r>
          </w:p>
        </w:tc>
      </w:tr>
      <w:tr w:rsidR="007E05C9" w:rsidRPr="00D948C1" w14:paraId="73D10E4A" w14:textId="77777777" w:rsidTr="007641BA">
        <w:tc>
          <w:tcPr>
            <w:tcW w:w="4238" w:type="dxa"/>
            <w:vAlign w:val="center"/>
          </w:tcPr>
          <w:p w14:paraId="09ACAB1F" w14:textId="77777777" w:rsidR="007E05C9" w:rsidRPr="00D948C1" w:rsidRDefault="007E05C9" w:rsidP="007E05C9">
            <w:pPr>
              <w:ind w:left="60"/>
              <w:rPr>
                <w:szCs w:val="24"/>
              </w:rPr>
            </w:pPr>
            <w:r w:rsidRPr="00D948C1">
              <w:rPr>
                <w:szCs w:val="24"/>
              </w:rPr>
              <w:t>PFI Liabilities</w:t>
            </w:r>
          </w:p>
        </w:tc>
        <w:tc>
          <w:tcPr>
            <w:tcW w:w="1297" w:type="dxa"/>
            <w:vAlign w:val="center"/>
          </w:tcPr>
          <w:p w14:paraId="402D6DD9" w14:textId="7CFFF57A" w:rsidR="007E05C9" w:rsidRPr="00177AAF" w:rsidRDefault="000A4C81" w:rsidP="007E05C9">
            <w:pPr>
              <w:pStyle w:val="Footer"/>
              <w:tabs>
                <w:tab w:val="clear" w:pos="4153"/>
                <w:tab w:val="clear" w:pos="8306"/>
                <w:tab w:val="decimal" w:pos="326"/>
              </w:tabs>
              <w:jc w:val="right"/>
              <w:rPr>
                <w:szCs w:val="24"/>
              </w:rPr>
            </w:pPr>
            <w:r>
              <w:rPr>
                <w:szCs w:val="24"/>
              </w:rPr>
              <w:t>11,123</w:t>
            </w:r>
          </w:p>
        </w:tc>
        <w:tc>
          <w:tcPr>
            <w:tcW w:w="1118" w:type="dxa"/>
            <w:vAlign w:val="center"/>
          </w:tcPr>
          <w:p w14:paraId="29DBF068" w14:textId="6322A49B" w:rsidR="007E05C9" w:rsidRPr="00177AAF" w:rsidRDefault="000A4C81" w:rsidP="007E05C9">
            <w:pPr>
              <w:pStyle w:val="Footer"/>
              <w:tabs>
                <w:tab w:val="clear" w:pos="4153"/>
                <w:tab w:val="clear" w:pos="8306"/>
                <w:tab w:val="decimal" w:pos="326"/>
              </w:tabs>
              <w:jc w:val="right"/>
              <w:rPr>
                <w:szCs w:val="24"/>
              </w:rPr>
            </w:pPr>
            <w:r>
              <w:rPr>
                <w:szCs w:val="24"/>
              </w:rPr>
              <w:t>11,123</w:t>
            </w:r>
          </w:p>
        </w:tc>
        <w:tc>
          <w:tcPr>
            <w:tcW w:w="1297" w:type="dxa"/>
            <w:vAlign w:val="center"/>
          </w:tcPr>
          <w:p w14:paraId="75A27FB3" w14:textId="3E6A1A3A" w:rsidR="007E05C9" w:rsidRPr="00347B4C" w:rsidRDefault="007E05C9" w:rsidP="007E05C9">
            <w:pPr>
              <w:pStyle w:val="Footer"/>
              <w:tabs>
                <w:tab w:val="clear" w:pos="4153"/>
                <w:tab w:val="clear" w:pos="8306"/>
                <w:tab w:val="decimal" w:pos="326"/>
              </w:tabs>
              <w:jc w:val="right"/>
              <w:rPr>
                <w:szCs w:val="24"/>
              </w:rPr>
            </w:pPr>
            <w:r w:rsidRPr="00177AAF">
              <w:rPr>
                <w:szCs w:val="24"/>
              </w:rPr>
              <w:t>11,783</w:t>
            </w:r>
          </w:p>
        </w:tc>
        <w:tc>
          <w:tcPr>
            <w:tcW w:w="1118" w:type="dxa"/>
            <w:vAlign w:val="center"/>
          </w:tcPr>
          <w:p w14:paraId="7609DF86" w14:textId="609D8CB6" w:rsidR="007E05C9" w:rsidRPr="00347B4C" w:rsidRDefault="007E05C9" w:rsidP="007E05C9">
            <w:pPr>
              <w:pStyle w:val="Footer"/>
              <w:tabs>
                <w:tab w:val="clear" w:pos="4153"/>
                <w:tab w:val="clear" w:pos="8306"/>
                <w:tab w:val="decimal" w:pos="326"/>
              </w:tabs>
              <w:jc w:val="right"/>
              <w:rPr>
                <w:szCs w:val="24"/>
              </w:rPr>
            </w:pPr>
            <w:r w:rsidRPr="00177AAF">
              <w:rPr>
                <w:szCs w:val="24"/>
              </w:rPr>
              <w:t>11,783</w:t>
            </w:r>
          </w:p>
        </w:tc>
      </w:tr>
    </w:tbl>
    <w:p w14:paraId="0C471472" w14:textId="23C0881D" w:rsidR="00BE3374" w:rsidRPr="00D948C1" w:rsidRDefault="00BE3374" w:rsidP="00BC6C4F">
      <w:pPr>
        <w:jc w:val="both"/>
        <w:rPr>
          <w:szCs w:val="24"/>
        </w:rPr>
      </w:pPr>
    </w:p>
    <w:p w14:paraId="3C0E1543" w14:textId="2EA0716C" w:rsidR="00D90216" w:rsidRPr="00347B4C" w:rsidRDefault="00D90216" w:rsidP="22FF31C3">
      <w:pPr>
        <w:ind w:left="720"/>
      </w:pPr>
      <w:r>
        <w:t xml:space="preserve">Without the addition of accrued interest, the actual Public Works Loan Board </w:t>
      </w:r>
      <w:r w:rsidR="00CC6AF3">
        <w:t xml:space="preserve">debt outstanding </w:t>
      </w:r>
      <w:proofErr w:type="gramStart"/>
      <w:r w:rsidR="00CC6AF3">
        <w:t>at</w:t>
      </w:r>
      <w:proofErr w:type="gramEnd"/>
      <w:r w:rsidR="00CC6AF3">
        <w:t xml:space="preserve"> 31 March 202</w:t>
      </w:r>
      <w:r w:rsidR="007E05C9">
        <w:t>6</w:t>
      </w:r>
      <w:r>
        <w:t xml:space="preserve"> is </w:t>
      </w:r>
      <w:r w:rsidR="00B92CFE">
        <w:t>£</w:t>
      </w:r>
      <w:r w:rsidR="00C95614">
        <w:t>2</w:t>
      </w:r>
      <w:r w:rsidR="00A00C5A">
        <w:t xml:space="preserve"> </w:t>
      </w:r>
      <w:r>
        <w:t>m</w:t>
      </w:r>
      <w:r w:rsidR="00A00C5A">
        <w:t>illion</w:t>
      </w:r>
      <w:r>
        <w:t xml:space="preserve"> (</w:t>
      </w:r>
      <w:r w:rsidR="001A42DD">
        <w:t>2024-25</w:t>
      </w:r>
      <w:r>
        <w:t>: £</w:t>
      </w:r>
      <w:r w:rsidR="0003405C">
        <w:t>2</w:t>
      </w:r>
      <w:r w:rsidR="00A00C5A">
        <w:t xml:space="preserve"> </w:t>
      </w:r>
      <w:r>
        <w:t>m</w:t>
      </w:r>
      <w:r w:rsidR="00A00C5A">
        <w:t>illion</w:t>
      </w:r>
      <w:r>
        <w:t>) and it is due for repayment as shown in the following table:</w:t>
      </w:r>
    </w:p>
    <w:p w14:paraId="49908972" w14:textId="77777777" w:rsidR="00300384" w:rsidRPr="00D948C1" w:rsidRDefault="00300384" w:rsidP="00617696">
      <w:pPr>
        <w:ind w:left="720"/>
        <w:rPr>
          <w:szCs w:val="24"/>
        </w:rPr>
      </w:pPr>
    </w:p>
    <w:tbl>
      <w:tblPr>
        <w:tblW w:w="7371"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654"/>
        <w:gridCol w:w="1606"/>
      </w:tblGrid>
      <w:tr w:rsidR="001318F9" w:rsidRPr="00D948C1" w14:paraId="23B71AD1" w14:textId="77777777" w:rsidTr="00611673">
        <w:trPr>
          <w:trHeight w:hRule="exact" w:val="555"/>
          <w:tblHeader/>
        </w:trPr>
        <w:tc>
          <w:tcPr>
            <w:tcW w:w="4111" w:type="dxa"/>
            <w:shd w:val="clear" w:color="auto" w:fill="BD2716"/>
          </w:tcPr>
          <w:p w14:paraId="035272D3" w14:textId="77777777" w:rsidR="001318F9" w:rsidRPr="00D948C1" w:rsidRDefault="001318F9" w:rsidP="001318F9">
            <w:pPr>
              <w:pStyle w:val="Footer"/>
              <w:tabs>
                <w:tab w:val="clear" w:pos="4153"/>
                <w:tab w:val="clear" w:pos="8306"/>
              </w:tabs>
              <w:rPr>
                <w:color w:val="FFFFFF" w:themeColor="background1"/>
                <w:szCs w:val="24"/>
              </w:rPr>
            </w:pPr>
          </w:p>
        </w:tc>
        <w:tc>
          <w:tcPr>
            <w:tcW w:w="1654" w:type="dxa"/>
            <w:shd w:val="clear" w:color="auto" w:fill="BD2716"/>
            <w:vAlign w:val="center"/>
          </w:tcPr>
          <w:p w14:paraId="251EEA56" w14:textId="022201E1"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2025-26</w:t>
            </w:r>
          </w:p>
          <w:p w14:paraId="0D0BC712" w14:textId="2E10AB1D"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3DC0F100" w14:textId="1DABDE60" w:rsidR="007E05C9" w:rsidRPr="00D948C1" w:rsidRDefault="001A42DD" w:rsidP="007E05C9">
            <w:pPr>
              <w:pStyle w:val="BodyTextIndent"/>
              <w:ind w:left="0"/>
              <w:jc w:val="right"/>
              <w:rPr>
                <w:color w:val="FFFFFF" w:themeColor="background1"/>
                <w:szCs w:val="24"/>
                <w:lang w:val="en-GB"/>
              </w:rPr>
            </w:pPr>
            <w:r>
              <w:rPr>
                <w:color w:val="FFFFFF" w:themeColor="background1"/>
                <w:szCs w:val="24"/>
                <w:lang w:val="en-GB"/>
              </w:rPr>
              <w:t>2024-25</w:t>
            </w:r>
          </w:p>
          <w:p w14:paraId="5FDD7BA2" w14:textId="2DEA50F6" w:rsidR="001318F9" w:rsidRPr="00D948C1" w:rsidRDefault="007E05C9" w:rsidP="007E05C9">
            <w:pPr>
              <w:pStyle w:val="BodyTextIndent"/>
              <w:ind w:left="0"/>
              <w:jc w:val="right"/>
              <w:rPr>
                <w:color w:val="FFFFFF" w:themeColor="background1"/>
                <w:szCs w:val="24"/>
                <w:lang w:val="en-GB"/>
              </w:rPr>
            </w:pPr>
            <w:r w:rsidRPr="00D948C1">
              <w:rPr>
                <w:color w:val="FFFFFF" w:themeColor="background1"/>
                <w:szCs w:val="24"/>
                <w:lang w:val="en-GB"/>
              </w:rPr>
              <w:t>£000</w:t>
            </w:r>
          </w:p>
        </w:tc>
      </w:tr>
      <w:tr w:rsidR="006C7F72" w:rsidRPr="00D948C1" w14:paraId="724E5D23" w14:textId="77777777" w:rsidTr="006637EE">
        <w:trPr>
          <w:trHeight w:hRule="exact" w:val="278"/>
        </w:trPr>
        <w:tc>
          <w:tcPr>
            <w:tcW w:w="4111" w:type="dxa"/>
            <w:vAlign w:val="bottom"/>
          </w:tcPr>
          <w:p w14:paraId="50506EAE" w14:textId="2D09716E" w:rsidR="006C7F72" w:rsidRPr="006C7F72" w:rsidRDefault="00D455BE" w:rsidP="00BA53E7">
            <w:pPr>
              <w:rPr>
                <w:szCs w:val="24"/>
              </w:rPr>
            </w:pPr>
            <w:r>
              <w:rPr>
                <w:szCs w:val="24"/>
              </w:rPr>
              <w:t>Between 5 and 10 years</w:t>
            </w:r>
          </w:p>
        </w:tc>
        <w:tc>
          <w:tcPr>
            <w:tcW w:w="1654" w:type="dxa"/>
            <w:vAlign w:val="center"/>
          </w:tcPr>
          <w:p w14:paraId="38B2DC28" w14:textId="3EA4F581" w:rsidR="006C7F72" w:rsidRPr="00D948C1" w:rsidRDefault="00945F1F" w:rsidP="00DD63D7">
            <w:pPr>
              <w:tabs>
                <w:tab w:val="decimal" w:pos="979"/>
              </w:tabs>
              <w:jc w:val="right"/>
              <w:rPr>
                <w:szCs w:val="24"/>
              </w:rPr>
            </w:pPr>
            <w:r>
              <w:rPr>
                <w:szCs w:val="24"/>
              </w:rPr>
              <w:t>650</w:t>
            </w:r>
          </w:p>
        </w:tc>
        <w:tc>
          <w:tcPr>
            <w:tcW w:w="1606" w:type="dxa"/>
            <w:vAlign w:val="center"/>
          </w:tcPr>
          <w:p w14:paraId="40B4C74B" w14:textId="53056698" w:rsidR="006C7F72" w:rsidRPr="00347B4C" w:rsidRDefault="006C7F72" w:rsidP="00DD63D7">
            <w:pPr>
              <w:tabs>
                <w:tab w:val="decimal" w:pos="979"/>
              </w:tabs>
              <w:jc w:val="right"/>
              <w:rPr>
                <w:szCs w:val="24"/>
              </w:rPr>
            </w:pPr>
            <w:r>
              <w:rPr>
                <w:szCs w:val="24"/>
              </w:rPr>
              <w:t>-</w:t>
            </w:r>
          </w:p>
        </w:tc>
      </w:tr>
      <w:tr w:rsidR="00BA53E7" w:rsidRPr="00D948C1" w14:paraId="31DB786B" w14:textId="77777777" w:rsidTr="006637EE">
        <w:trPr>
          <w:trHeight w:hRule="exact" w:val="278"/>
        </w:trPr>
        <w:tc>
          <w:tcPr>
            <w:tcW w:w="4111" w:type="dxa"/>
            <w:vAlign w:val="bottom"/>
          </w:tcPr>
          <w:p w14:paraId="74F22DAA" w14:textId="77777777" w:rsidR="00BA53E7" w:rsidRPr="006C7F72" w:rsidRDefault="00BA53E7" w:rsidP="00BA53E7">
            <w:pPr>
              <w:rPr>
                <w:szCs w:val="24"/>
              </w:rPr>
            </w:pPr>
            <w:r w:rsidRPr="006C7F72">
              <w:rPr>
                <w:szCs w:val="24"/>
              </w:rPr>
              <w:t>Over 10 years</w:t>
            </w:r>
          </w:p>
        </w:tc>
        <w:tc>
          <w:tcPr>
            <w:tcW w:w="1654" w:type="dxa"/>
            <w:vAlign w:val="center"/>
          </w:tcPr>
          <w:p w14:paraId="09CEC387" w14:textId="58FFC6A6" w:rsidR="00BA53E7" w:rsidRPr="00D948C1" w:rsidRDefault="00B2281C" w:rsidP="00DD63D7">
            <w:pPr>
              <w:tabs>
                <w:tab w:val="decimal" w:pos="979"/>
              </w:tabs>
              <w:jc w:val="right"/>
              <w:rPr>
                <w:szCs w:val="24"/>
              </w:rPr>
            </w:pPr>
            <w:r>
              <w:rPr>
                <w:szCs w:val="24"/>
              </w:rPr>
              <w:t>1,350</w:t>
            </w:r>
          </w:p>
        </w:tc>
        <w:tc>
          <w:tcPr>
            <w:tcW w:w="1606" w:type="dxa"/>
            <w:vAlign w:val="center"/>
          </w:tcPr>
          <w:p w14:paraId="0F650BAF" w14:textId="6CCF1E88" w:rsidR="00BA53E7" w:rsidRPr="00347B4C" w:rsidRDefault="00BA53E7" w:rsidP="00DD63D7">
            <w:pPr>
              <w:tabs>
                <w:tab w:val="decimal" w:pos="979"/>
              </w:tabs>
              <w:jc w:val="right"/>
              <w:rPr>
                <w:szCs w:val="24"/>
              </w:rPr>
            </w:pPr>
            <w:r w:rsidRPr="00347B4C">
              <w:rPr>
                <w:szCs w:val="24"/>
              </w:rPr>
              <w:t>2,000</w:t>
            </w:r>
          </w:p>
        </w:tc>
      </w:tr>
      <w:tr w:rsidR="00BA53E7" w:rsidRPr="00D948C1" w14:paraId="0BEF2570" w14:textId="77777777" w:rsidTr="006637EE">
        <w:trPr>
          <w:trHeight w:hRule="exact" w:val="278"/>
        </w:trPr>
        <w:tc>
          <w:tcPr>
            <w:tcW w:w="4111" w:type="dxa"/>
          </w:tcPr>
          <w:p w14:paraId="4BA76A86" w14:textId="5A084161" w:rsidR="00BA53E7" w:rsidRPr="00D948C1" w:rsidRDefault="00617696" w:rsidP="00BA53E7">
            <w:pPr>
              <w:rPr>
                <w:szCs w:val="24"/>
              </w:rPr>
            </w:pPr>
            <w:r w:rsidRPr="00D948C1">
              <w:rPr>
                <w:szCs w:val="24"/>
              </w:rPr>
              <w:t>Total</w:t>
            </w:r>
          </w:p>
        </w:tc>
        <w:tc>
          <w:tcPr>
            <w:tcW w:w="1654" w:type="dxa"/>
            <w:vAlign w:val="center"/>
          </w:tcPr>
          <w:p w14:paraId="70AE85B9" w14:textId="05E017C3" w:rsidR="00BA53E7" w:rsidRPr="00D948C1" w:rsidRDefault="006645D7" w:rsidP="00DD63D7">
            <w:pPr>
              <w:tabs>
                <w:tab w:val="decimal" w:pos="979"/>
              </w:tabs>
              <w:jc w:val="right"/>
              <w:rPr>
                <w:szCs w:val="24"/>
              </w:rPr>
            </w:pPr>
            <w:r>
              <w:rPr>
                <w:szCs w:val="24"/>
              </w:rPr>
              <w:t>2,000</w:t>
            </w:r>
          </w:p>
        </w:tc>
        <w:tc>
          <w:tcPr>
            <w:tcW w:w="1606" w:type="dxa"/>
            <w:vAlign w:val="center"/>
          </w:tcPr>
          <w:p w14:paraId="242BBC84" w14:textId="60D34549" w:rsidR="00BA53E7" w:rsidRPr="00347B4C" w:rsidRDefault="00BA53E7" w:rsidP="00DD63D7">
            <w:pPr>
              <w:tabs>
                <w:tab w:val="decimal" w:pos="979"/>
              </w:tabs>
              <w:jc w:val="right"/>
              <w:rPr>
                <w:szCs w:val="24"/>
              </w:rPr>
            </w:pPr>
            <w:r w:rsidRPr="00347B4C">
              <w:rPr>
                <w:szCs w:val="24"/>
              </w:rPr>
              <w:t>2,000</w:t>
            </w:r>
          </w:p>
        </w:tc>
      </w:tr>
    </w:tbl>
    <w:p w14:paraId="707BDF86" w14:textId="77777777" w:rsidR="00D90216" w:rsidRPr="00D948C1" w:rsidRDefault="00D90216" w:rsidP="00760673">
      <w:pPr>
        <w:jc w:val="both"/>
      </w:pPr>
    </w:p>
    <w:p w14:paraId="5B3B0D77" w14:textId="77777777" w:rsidR="00D90216" w:rsidRPr="00D948C1" w:rsidRDefault="007C6DCB" w:rsidP="00BE3374">
      <w:pPr>
        <w:pStyle w:val="Heading2"/>
        <w:jc w:val="left"/>
        <w:rPr>
          <w:sz w:val="24"/>
          <w:szCs w:val="24"/>
        </w:rPr>
      </w:pPr>
      <w:bookmarkStart w:id="37" w:name="_Toc233717528"/>
      <w:r w:rsidRPr="4DF76B8B">
        <w:rPr>
          <w:sz w:val="24"/>
          <w:szCs w:val="24"/>
        </w:rPr>
        <w:t>9</w:t>
      </w:r>
      <w:r w:rsidR="00D90216">
        <w:tab/>
      </w:r>
      <w:bookmarkStart w:id="38" w:name="N9"/>
      <w:bookmarkEnd w:id="38"/>
      <w:r w:rsidR="00D90216" w:rsidRPr="5B5E3480">
        <w:rPr>
          <w:sz w:val="24"/>
          <w:szCs w:val="24"/>
        </w:rPr>
        <w:t>Debtors</w:t>
      </w:r>
      <w:bookmarkEnd w:id="37"/>
    </w:p>
    <w:p w14:paraId="03807CC1" w14:textId="77777777" w:rsidR="00D90216" w:rsidRPr="00D948C1" w:rsidRDefault="00D90216" w:rsidP="00D90216">
      <w:pPr>
        <w:rPr>
          <w:szCs w:val="24"/>
          <w:u w:val="single"/>
        </w:rPr>
      </w:pPr>
    </w:p>
    <w:tbl>
      <w:tblPr>
        <w:tblW w:w="736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638"/>
        <w:gridCol w:w="1620"/>
      </w:tblGrid>
      <w:tr w:rsidR="001318F9" w:rsidRPr="00D948C1" w14:paraId="06B3951C" w14:textId="77777777" w:rsidTr="00611673">
        <w:trPr>
          <w:trHeight w:hRule="exact" w:val="578"/>
          <w:tblHeader/>
        </w:trPr>
        <w:tc>
          <w:tcPr>
            <w:tcW w:w="4111" w:type="dxa"/>
            <w:shd w:val="clear" w:color="auto" w:fill="BD2716"/>
          </w:tcPr>
          <w:p w14:paraId="733EA884" w14:textId="77777777" w:rsidR="001318F9" w:rsidRPr="00D948C1" w:rsidRDefault="001318F9" w:rsidP="001318F9">
            <w:pPr>
              <w:pStyle w:val="Footer"/>
              <w:tabs>
                <w:tab w:val="clear" w:pos="4153"/>
                <w:tab w:val="clear" w:pos="8306"/>
              </w:tabs>
              <w:rPr>
                <w:color w:val="FFFFFF" w:themeColor="background1"/>
                <w:szCs w:val="24"/>
              </w:rPr>
            </w:pPr>
          </w:p>
        </w:tc>
        <w:tc>
          <w:tcPr>
            <w:tcW w:w="1638" w:type="dxa"/>
            <w:shd w:val="clear" w:color="auto" w:fill="BD2716"/>
            <w:vAlign w:val="center"/>
          </w:tcPr>
          <w:p w14:paraId="422FF683" w14:textId="62BFD49F"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2025-26</w:t>
            </w:r>
          </w:p>
          <w:p w14:paraId="45D3B6D4" w14:textId="4510E20C"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20" w:type="dxa"/>
            <w:shd w:val="clear" w:color="auto" w:fill="BD2716"/>
            <w:vAlign w:val="center"/>
          </w:tcPr>
          <w:p w14:paraId="77901B5B" w14:textId="4DEF2D9F" w:rsidR="00BA36F3" w:rsidRPr="00D948C1" w:rsidRDefault="001A42DD" w:rsidP="00BA36F3">
            <w:pPr>
              <w:pStyle w:val="BodyTextIndent"/>
              <w:ind w:left="0"/>
              <w:jc w:val="right"/>
              <w:rPr>
                <w:color w:val="FFFFFF" w:themeColor="background1"/>
                <w:szCs w:val="24"/>
                <w:lang w:val="en-GB"/>
              </w:rPr>
            </w:pPr>
            <w:r>
              <w:rPr>
                <w:color w:val="FFFFFF" w:themeColor="background1"/>
                <w:szCs w:val="24"/>
                <w:lang w:val="en-GB"/>
              </w:rPr>
              <w:t>2024-25</w:t>
            </w:r>
          </w:p>
          <w:p w14:paraId="16E382CD" w14:textId="6E767734" w:rsidR="001318F9" w:rsidRPr="00D948C1" w:rsidRDefault="00BA36F3" w:rsidP="00BA36F3">
            <w:pPr>
              <w:pStyle w:val="BodyTextIndent"/>
              <w:ind w:left="-12"/>
              <w:jc w:val="right"/>
              <w:rPr>
                <w:color w:val="FFFFFF" w:themeColor="background1"/>
                <w:szCs w:val="24"/>
                <w:lang w:val="en-GB"/>
              </w:rPr>
            </w:pPr>
            <w:r w:rsidRPr="00D948C1">
              <w:rPr>
                <w:color w:val="FFFFFF" w:themeColor="background1"/>
                <w:szCs w:val="24"/>
                <w:lang w:val="en-GB"/>
              </w:rPr>
              <w:t>£000</w:t>
            </w:r>
          </w:p>
        </w:tc>
      </w:tr>
      <w:tr w:rsidR="00BA36F3" w:rsidRPr="00D948C1" w14:paraId="190CA419" w14:textId="77777777" w:rsidTr="006637EE">
        <w:trPr>
          <w:trHeight w:val="278"/>
        </w:trPr>
        <w:tc>
          <w:tcPr>
            <w:tcW w:w="4111" w:type="dxa"/>
          </w:tcPr>
          <w:p w14:paraId="11681FD0" w14:textId="77777777" w:rsidR="00BA36F3" w:rsidRPr="00D948C1" w:rsidRDefault="00BA36F3" w:rsidP="00BA36F3">
            <w:pPr>
              <w:pStyle w:val="Footer"/>
              <w:tabs>
                <w:tab w:val="clear" w:pos="4153"/>
                <w:tab w:val="clear" w:pos="8306"/>
                <w:tab w:val="left" w:pos="270"/>
              </w:tabs>
              <w:rPr>
                <w:szCs w:val="24"/>
              </w:rPr>
            </w:pPr>
            <w:r w:rsidRPr="00D948C1">
              <w:rPr>
                <w:szCs w:val="24"/>
              </w:rPr>
              <w:t>Trade debtors</w:t>
            </w:r>
          </w:p>
        </w:tc>
        <w:tc>
          <w:tcPr>
            <w:tcW w:w="1638" w:type="dxa"/>
            <w:vAlign w:val="center"/>
          </w:tcPr>
          <w:p w14:paraId="62991A3E" w14:textId="5206CA91" w:rsidR="00BA36F3" w:rsidRPr="005A4E16" w:rsidRDefault="005977B5" w:rsidP="00BA36F3">
            <w:pPr>
              <w:tabs>
                <w:tab w:val="decimal" w:pos="900"/>
              </w:tabs>
              <w:jc w:val="right"/>
            </w:pPr>
            <w:r>
              <w:t>2</w:t>
            </w:r>
            <w:r w:rsidR="004A29E0">
              <w:t>,</w:t>
            </w:r>
            <w:r>
              <w:t>628</w:t>
            </w:r>
          </w:p>
        </w:tc>
        <w:tc>
          <w:tcPr>
            <w:tcW w:w="1620" w:type="dxa"/>
            <w:vAlign w:val="center"/>
          </w:tcPr>
          <w:p w14:paraId="0F6EB3AA" w14:textId="4FC4DA2E" w:rsidR="00BA36F3" w:rsidRPr="00347B4C" w:rsidRDefault="00BA36F3" w:rsidP="00BA36F3">
            <w:pPr>
              <w:tabs>
                <w:tab w:val="decimal" w:pos="900"/>
              </w:tabs>
              <w:ind w:left="-12"/>
              <w:jc w:val="right"/>
            </w:pPr>
            <w:r>
              <w:t>1,959</w:t>
            </w:r>
          </w:p>
        </w:tc>
      </w:tr>
      <w:tr w:rsidR="00BA36F3" w:rsidRPr="00D948C1" w14:paraId="5F336B28" w14:textId="77777777" w:rsidTr="006637EE">
        <w:trPr>
          <w:trHeight w:val="278"/>
        </w:trPr>
        <w:tc>
          <w:tcPr>
            <w:tcW w:w="4111" w:type="dxa"/>
          </w:tcPr>
          <w:p w14:paraId="150020B6" w14:textId="77777777" w:rsidR="00BA36F3" w:rsidRPr="00D948C1" w:rsidRDefault="00BA36F3" w:rsidP="00BA36F3">
            <w:pPr>
              <w:tabs>
                <w:tab w:val="left" w:pos="270"/>
              </w:tabs>
              <w:rPr>
                <w:szCs w:val="24"/>
              </w:rPr>
            </w:pPr>
            <w:r w:rsidRPr="00D948C1">
              <w:rPr>
                <w:szCs w:val="24"/>
              </w:rPr>
              <w:t>VAT</w:t>
            </w:r>
          </w:p>
        </w:tc>
        <w:tc>
          <w:tcPr>
            <w:tcW w:w="1638" w:type="dxa"/>
            <w:vAlign w:val="center"/>
          </w:tcPr>
          <w:p w14:paraId="40F3A07D" w14:textId="1BFF446D" w:rsidR="00BA36F3" w:rsidRPr="005A4E16" w:rsidRDefault="00213BF1" w:rsidP="00BA36F3">
            <w:pPr>
              <w:tabs>
                <w:tab w:val="decimal" w:pos="900"/>
              </w:tabs>
              <w:jc w:val="right"/>
              <w:rPr>
                <w:szCs w:val="24"/>
              </w:rPr>
            </w:pPr>
            <w:r>
              <w:rPr>
                <w:szCs w:val="24"/>
              </w:rPr>
              <w:t>808</w:t>
            </w:r>
          </w:p>
        </w:tc>
        <w:tc>
          <w:tcPr>
            <w:tcW w:w="1620" w:type="dxa"/>
            <w:vAlign w:val="center"/>
          </w:tcPr>
          <w:p w14:paraId="06F03C44" w14:textId="7A4B56AE" w:rsidR="00BA36F3" w:rsidRPr="00347B4C" w:rsidRDefault="00BA36F3" w:rsidP="00BA36F3">
            <w:pPr>
              <w:tabs>
                <w:tab w:val="decimal" w:pos="900"/>
              </w:tabs>
              <w:ind w:left="-12"/>
              <w:jc w:val="right"/>
              <w:rPr>
                <w:szCs w:val="24"/>
              </w:rPr>
            </w:pPr>
            <w:r w:rsidRPr="005A4E16">
              <w:rPr>
                <w:szCs w:val="24"/>
              </w:rPr>
              <w:t>386</w:t>
            </w:r>
          </w:p>
        </w:tc>
      </w:tr>
      <w:tr w:rsidR="00BA36F3" w:rsidRPr="00D948C1" w14:paraId="17D5964D" w14:textId="77777777" w:rsidTr="006637EE">
        <w:trPr>
          <w:trHeight w:val="278"/>
        </w:trPr>
        <w:tc>
          <w:tcPr>
            <w:tcW w:w="4111" w:type="dxa"/>
          </w:tcPr>
          <w:p w14:paraId="52A2CE39" w14:textId="77777777" w:rsidR="00BA36F3" w:rsidRPr="00D948C1" w:rsidRDefault="00BA36F3" w:rsidP="00BA36F3">
            <w:pPr>
              <w:tabs>
                <w:tab w:val="left" w:pos="270"/>
              </w:tabs>
              <w:rPr>
                <w:szCs w:val="24"/>
              </w:rPr>
            </w:pPr>
            <w:r w:rsidRPr="00D948C1">
              <w:rPr>
                <w:szCs w:val="24"/>
              </w:rPr>
              <w:t>Local taxation debtors</w:t>
            </w:r>
          </w:p>
        </w:tc>
        <w:tc>
          <w:tcPr>
            <w:tcW w:w="1638" w:type="dxa"/>
            <w:vAlign w:val="center"/>
          </w:tcPr>
          <w:p w14:paraId="4ACE41BD" w14:textId="3CB93847" w:rsidR="00BA36F3" w:rsidRPr="005A4E16" w:rsidRDefault="001421B6" w:rsidP="00BA36F3">
            <w:pPr>
              <w:tabs>
                <w:tab w:val="decimal" w:pos="900"/>
              </w:tabs>
              <w:jc w:val="right"/>
              <w:rPr>
                <w:szCs w:val="24"/>
              </w:rPr>
            </w:pPr>
            <w:r>
              <w:rPr>
                <w:szCs w:val="24"/>
              </w:rPr>
              <w:t>5,025</w:t>
            </w:r>
          </w:p>
        </w:tc>
        <w:tc>
          <w:tcPr>
            <w:tcW w:w="1620" w:type="dxa"/>
            <w:vAlign w:val="center"/>
          </w:tcPr>
          <w:p w14:paraId="6CD6D2FB" w14:textId="0F752756" w:rsidR="00BA36F3" w:rsidRPr="00347B4C" w:rsidRDefault="00BA36F3" w:rsidP="00BA36F3">
            <w:pPr>
              <w:tabs>
                <w:tab w:val="decimal" w:pos="900"/>
              </w:tabs>
              <w:ind w:left="-12"/>
              <w:jc w:val="right"/>
              <w:rPr>
                <w:szCs w:val="24"/>
              </w:rPr>
            </w:pPr>
            <w:r w:rsidRPr="005A4E16">
              <w:rPr>
                <w:szCs w:val="24"/>
              </w:rPr>
              <w:t>4,456</w:t>
            </w:r>
          </w:p>
        </w:tc>
      </w:tr>
      <w:tr w:rsidR="00BA36F3" w:rsidRPr="00D948C1" w14:paraId="2C0F6E9E" w14:textId="77777777" w:rsidTr="006637EE">
        <w:trPr>
          <w:trHeight w:val="278"/>
        </w:trPr>
        <w:tc>
          <w:tcPr>
            <w:tcW w:w="4111" w:type="dxa"/>
          </w:tcPr>
          <w:p w14:paraId="77F3D3CC" w14:textId="77777777" w:rsidR="00BA36F3" w:rsidRPr="00D948C1" w:rsidRDefault="00BA36F3" w:rsidP="00BA36F3">
            <w:pPr>
              <w:tabs>
                <w:tab w:val="left" w:pos="270"/>
              </w:tabs>
              <w:rPr>
                <w:szCs w:val="24"/>
              </w:rPr>
            </w:pPr>
            <w:r w:rsidRPr="00D948C1">
              <w:rPr>
                <w:szCs w:val="24"/>
              </w:rPr>
              <w:t>Other debtors</w:t>
            </w:r>
          </w:p>
        </w:tc>
        <w:tc>
          <w:tcPr>
            <w:tcW w:w="1638" w:type="dxa"/>
            <w:vAlign w:val="center"/>
          </w:tcPr>
          <w:p w14:paraId="6011326B" w14:textId="086B1178" w:rsidR="00BA36F3" w:rsidRPr="005A4E16" w:rsidRDefault="00162995" w:rsidP="00BA36F3">
            <w:pPr>
              <w:tabs>
                <w:tab w:val="decimal" w:pos="900"/>
              </w:tabs>
              <w:jc w:val="right"/>
              <w:rPr>
                <w:szCs w:val="24"/>
              </w:rPr>
            </w:pPr>
            <w:r>
              <w:rPr>
                <w:szCs w:val="24"/>
              </w:rPr>
              <w:t>2,</w:t>
            </w:r>
            <w:r w:rsidR="00BE28B7">
              <w:rPr>
                <w:szCs w:val="24"/>
              </w:rPr>
              <w:t>652</w:t>
            </w:r>
          </w:p>
        </w:tc>
        <w:tc>
          <w:tcPr>
            <w:tcW w:w="1620" w:type="dxa"/>
            <w:vAlign w:val="center"/>
          </w:tcPr>
          <w:p w14:paraId="3AC99AFD" w14:textId="77A436DA" w:rsidR="00BA36F3" w:rsidRPr="00347B4C" w:rsidRDefault="00BA36F3" w:rsidP="00BA36F3">
            <w:pPr>
              <w:tabs>
                <w:tab w:val="decimal" w:pos="900"/>
              </w:tabs>
              <w:ind w:left="-12"/>
              <w:jc w:val="right"/>
              <w:rPr>
                <w:szCs w:val="24"/>
              </w:rPr>
            </w:pPr>
            <w:r w:rsidRPr="005A4E16">
              <w:rPr>
                <w:szCs w:val="24"/>
              </w:rPr>
              <w:t>1,124</w:t>
            </w:r>
          </w:p>
        </w:tc>
      </w:tr>
      <w:tr w:rsidR="00BA36F3" w:rsidRPr="00D948C1" w14:paraId="1F93D5D5" w14:textId="77777777" w:rsidTr="006637EE">
        <w:trPr>
          <w:trHeight w:val="278"/>
        </w:trPr>
        <w:tc>
          <w:tcPr>
            <w:tcW w:w="4111" w:type="dxa"/>
          </w:tcPr>
          <w:p w14:paraId="67137166" w14:textId="1BB078B9" w:rsidR="00BA36F3" w:rsidRPr="00D948C1" w:rsidRDefault="00BA36F3" w:rsidP="00BA36F3">
            <w:pPr>
              <w:tabs>
                <w:tab w:val="left" w:pos="270"/>
              </w:tabs>
              <w:rPr>
                <w:szCs w:val="24"/>
              </w:rPr>
            </w:pPr>
            <w:r w:rsidRPr="00D948C1">
              <w:rPr>
                <w:szCs w:val="24"/>
              </w:rPr>
              <w:t>Total</w:t>
            </w:r>
          </w:p>
        </w:tc>
        <w:tc>
          <w:tcPr>
            <w:tcW w:w="1638" w:type="dxa"/>
            <w:vAlign w:val="center"/>
          </w:tcPr>
          <w:p w14:paraId="6FF23343" w14:textId="50F55B11" w:rsidR="00BA36F3" w:rsidRPr="005A4E16" w:rsidRDefault="00647DA7" w:rsidP="00BA36F3">
            <w:pPr>
              <w:tabs>
                <w:tab w:val="decimal" w:pos="900"/>
              </w:tabs>
              <w:jc w:val="right"/>
              <w:rPr>
                <w:szCs w:val="24"/>
              </w:rPr>
            </w:pPr>
            <w:r>
              <w:rPr>
                <w:szCs w:val="24"/>
              </w:rPr>
              <w:t>11,</w:t>
            </w:r>
            <w:r w:rsidR="00F73537">
              <w:rPr>
                <w:szCs w:val="24"/>
              </w:rPr>
              <w:t>113</w:t>
            </w:r>
          </w:p>
        </w:tc>
        <w:tc>
          <w:tcPr>
            <w:tcW w:w="1620" w:type="dxa"/>
            <w:vAlign w:val="center"/>
          </w:tcPr>
          <w:p w14:paraId="6ACA7572" w14:textId="363B12BD" w:rsidR="00BA36F3" w:rsidRPr="00347B4C" w:rsidRDefault="00BA36F3" w:rsidP="00BA36F3">
            <w:pPr>
              <w:tabs>
                <w:tab w:val="decimal" w:pos="900"/>
              </w:tabs>
              <w:ind w:left="-12"/>
              <w:jc w:val="right"/>
              <w:rPr>
                <w:szCs w:val="24"/>
              </w:rPr>
            </w:pPr>
            <w:r w:rsidRPr="009728D6">
              <w:rPr>
                <w:szCs w:val="24"/>
              </w:rPr>
              <w:t>7</w:t>
            </w:r>
            <w:r w:rsidRPr="005A4E16">
              <w:rPr>
                <w:szCs w:val="24"/>
              </w:rPr>
              <w:t>,</w:t>
            </w:r>
            <w:r w:rsidRPr="009728D6">
              <w:rPr>
                <w:szCs w:val="24"/>
              </w:rPr>
              <w:t>925</w:t>
            </w:r>
          </w:p>
        </w:tc>
      </w:tr>
    </w:tbl>
    <w:p w14:paraId="057F0C12" w14:textId="77777777" w:rsidR="00B71D39" w:rsidRPr="00D948C1" w:rsidRDefault="00B71D39" w:rsidP="00D90216">
      <w:pPr>
        <w:rPr>
          <w:sz w:val="22"/>
        </w:rPr>
      </w:pPr>
    </w:p>
    <w:p w14:paraId="75FED126" w14:textId="6E66BDDB" w:rsidR="00D90216" w:rsidRPr="00D948C1" w:rsidRDefault="001C592E" w:rsidP="00BC6C4F">
      <w:pPr>
        <w:pStyle w:val="Heading2"/>
        <w:jc w:val="left"/>
        <w:rPr>
          <w:sz w:val="24"/>
          <w:szCs w:val="24"/>
        </w:rPr>
      </w:pPr>
      <w:bookmarkStart w:id="39" w:name="_Toc233717529"/>
      <w:r w:rsidRPr="2B501F8B">
        <w:rPr>
          <w:sz w:val="24"/>
          <w:szCs w:val="24"/>
        </w:rPr>
        <w:t>1</w:t>
      </w:r>
      <w:r w:rsidR="007C6DCB" w:rsidRPr="2B501F8B">
        <w:rPr>
          <w:sz w:val="24"/>
          <w:szCs w:val="24"/>
        </w:rPr>
        <w:t>0</w:t>
      </w:r>
      <w:r w:rsidR="00B71D39">
        <w:tab/>
      </w:r>
      <w:bookmarkStart w:id="40" w:name="N10"/>
      <w:bookmarkEnd w:id="40"/>
      <w:r w:rsidR="00D90216" w:rsidRPr="2B501F8B">
        <w:rPr>
          <w:sz w:val="24"/>
          <w:szCs w:val="24"/>
        </w:rPr>
        <w:t>Cash &amp; Cash Equivalents</w:t>
      </w:r>
      <w:bookmarkEnd w:id="39"/>
    </w:p>
    <w:p w14:paraId="4BAA8B00" w14:textId="77777777" w:rsidR="00D90216" w:rsidRPr="00D948C1" w:rsidRDefault="00D90216" w:rsidP="00BC6C4F">
      <w:pPr>
        <w:ind w:left="720"/>
      </w:pPr>
    </w:p>
    <w:p w14:paraId="68A363ED" w14:textId="77777777" w:rsidR="00D90216" w:rsidRPr="00D948C1" w:rsidRDefault="00D90216" w:rsidP="00BC6C4F">
      <w:pPr>
        <w:ind w:left="720"/>
      </w:pPr>
      <w:r>
        <w:t>The balance of cash &amp; cash equivalents is made up of the following elements:</w:t>
      </w:r>
    </w:p>
    <w:p w14:paraId="5F3D6EA3" w14:textId="77777777" w:rsidR="00D90216" w:rsidRPr="00D948C1" w:rsidRDefault="00D90216" w:rsidP="00D90216">
      <w:pPr>
        <w:ind w:left="720"/>
        <w:jc w:val="both"/>
        <w:rPr>
          <w:sz w:val="22"/>
        </w:rPr>
      </w:pPr>
    </w:p>
    <w:tbl>
      <w:tblPr>
        <w:tblW w:w="91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gridCol w:w="1638"/>
        <w:gridCol w:w="1620"/>
      </w:tblGrid>
      <w:tr w:rsidR="001318F9" w:rsidRPr="00D948C1" w14:paraId="0613C634" w14:textId="77777777" w:rsidTr="00611673">
        <w:trPr>
          <w:trHeight w:hRule="exact" w:val="578"/>
          <w:tblHeader/>
        </w:trPr>
        <w:tc>
          <w:tcPr>
            <w:tcW w:w="5909" w:type="dxa"/>
            <w:shd w:val="clear" w:color="auto" w:fill="BD2716"/>
          </w:tcPr>
          <w:p w14:paraId="52CA4080" w14:textId="77777777" w:rsidR="001318F9" w:rsidRPr="00D948C1" w:rsidRDefault="001318F9" w:rsidP="001318F9">
            <w:pPr>
              <w:pStyle w:val="Footer"/>
              <w:tabs>
                <w:tab w:val="clear" w:pos="4153"/>
                <w:tab w:val="clear" w:pos="8306"/>
              </w:tabs>
              <w:rPr>
                <w:color w:val="FFFFFF" w:themeColor="background1"/>
                <w:szCs w:val="24"/>
              </w:rPr>
            </w:pPr>
          </w:p>
        </w:tc>
        <w:tc>
          <w:tcPr>
            <w:tcW w:w="1638" w:type="dxa"/>
            <w:shd w:val="clear" w:color="auto" w:fill="BD2716"/>
            <w:vAlign w:val="center"/>
          </w:tcPr>
          <w:p w14:paraId="64BCF25E" w14:textId="4106476C"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2025-26</w:t>
            </w:r>
          </w:p>
          <w:p w14:paraId="34194DCF" w14:textId="3FAAE4DA"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20" w:type="dxa"/>
            <w:shd w:val="clear" w:color="auto" w:fill="BD2716"/>
            <w:vAlign w:val="center"/>
          </w:tcPr>
          <w:p w14:paraId="673E3B31" w14:textId="401F9F84" w:rsidR="00114D55" w:rsidRPr="00D948C1" w:rsidRDefault="001A42DD" w:rsidP="00114D55">
            <w:pPr>
              <w:pStyle w:val="BodyTextIndent"/>
              <w:ind w:left="0"/>
              <w:jc w:val="right"/>
              <w:rPr>
                <w:color w:val="FFFFFF" w:themeColor="background1"/>
                <w:szCs w:val="24"/>
                <w:lang w:val="en-GB"/>
              </w:rPr>
            </w:pPr>
            <w:r>
              <w:rPr>
                <w:color w:val="FFFFFF" w:themeColor="background1"/>
                <w:szCs w:val="24"/>
                <w:lang w:val="en-GB"/>
              </w:rPr>
              <w:t>2024-25</w:t>
            </w:r>
          </w:p>
          <w:p w14:paraId="4FF6DA7A" w14:textId="5971BDC9" w:rsidR="001318F9" w:rsidRPr="00D948C1" w:rsidRDefault="00114D55" w:rsidP="00114D55">
            <w:pPr>
              <w:pStyle w:val="BodyTextIndent"/>
              <w:ind w:left="0"/>
              <w:jc w:val="right"/>
              <w:rPr>
                <w:color w:val="FFFFFF" w:themeColor="background1"/>
                <w:szCs w:val="24"/>
                <w:lang w:val="en-GB"/>
              </w:rPr>
            </w:pPr>
            <w:r w:rsidRPr="00D948C1">
              <w:rPr>
                <w:color w:val="FFFFFF" w:themeColor="background1"/>
                <w:szCs w:val="24"/>
                <w:lang w:val="en-GB"/>
              </w:rPr>
              <w:t>£000</w:t>
            </w:r>
          </w:p>
        </w:tc>
      </w:tr>
      <w:tr w:rsidR="00114D55" w:rsidRPr="00D948C1" w14:paraId="240FCBA4" w14:textId="77777777" w:rsidTr="00DD63D7">
        <w:trPr>
          <w:trHeight w:hRule="exact" w:val="300"/>
        </w:trPr>
        <w:tc>
          <w:tcPr>
            <w:tcW w:w="5909" w:type="dxa"/>
          </w:tcPr>
          <w:p w14:paraId="44A7BD16" w14:textId="77777777" w:rsidR="00114D55" w:rsidRPr="00D948C1" w:rsidRDefault="00114D55" w:rsidP="00114D55">
            <w:pPr>
              <w:pStyle w:val="Footer"/>
              <w:tabs>
                <w:tab w:val="clear" w:pos="4153"/>
                <w:tab w:val="clear" w:pos="8306"/>
                <w:tab w:val="left" w:pos="270"/>
              </w:tabs>
              <w:rPr>
                <w:szCs w:val="24"/>
              </w:rPr>
            </w:pPr>
            <w:r w:rsidRPr="00D948C1">
              <w:rPr>
                <w:szCs w:val="24"/>
              </w:rPr>
              <w:t>Cash held by the Authority</w:t>
            </w:r>
          </w:p>
        </w:tc>
        <w:tc>
          <w:tcPr>
            <w:tcW w:w="1638" w:type="dxa"/>
            <w:vAlign w:val="center"/>
          </w:tcPr>
          <w:p w14:paraId="720DCA68" w14:textId="59943339" w:rsidR="00114D55" w:rsidRPr="00D948C1" w:rsidRDefault="00381D03" w:rsidP="00114D55">
            <w:pPr>
              <w:tabs>
                <w:tab w:val="decimal" w:pos="900"/>
              </w:tabs>
              <w:jc w:val="right"/>
              <w:rPr>
                <w:szCs w:val="24"/>
              </w:rPr>
            </w:pPr>
            <w:r>
              <w:rPr>
                <w:szCs w:val="24"/>
              </w:rPr>
              <w:t>57</w:t>
            </w:r>
          </w:p>
        </w:tc>
        <w:tc>
          <w:tcPr>
            <w:tcW w:w="1620" w:type="dxa"/>
            <w:vAlign w:val="center"/>
          </w:tcPr>
          <w:p w14:paraId="28CE2024" w14:textId="03716474" w:rsidR="00114D55" w:rsidRPr="00347B4C" w:rsidRDefault="00114D55" w:rsidP="00114D55">
            <w:pPr>
              <w:tabs>
                <w:tab w:val="decimal" w:pos="900"/>
              </w:tabs>
              <w:jc w:val="right"/>
              <w:rPr>
                <w:szCs w:val="24"/>
              </w:rPr>
            </w:pPr>
            <w:r>
              <w:rPr>
                <w:szCs w:val="24"/>
              </w:rPr>
              <w:t>57</w:t>
            </w:r>
          </w:p>
        </w:tc>
      </w:tr>
      <w:tr w:rsidR="00114D55" w:rsidRPr="00D948C1" w14:paraId="60BAD94D" w14:textId="77777777" w:rsidTr="00DD63D7">
        <w:trPr>
          <w:trHeight w:hRule="exact" w:val="300"/>
        </w:trPr>
        <w:tc>
          <w:tcPr>
            <w:tcW w:w="5909" w:type="dxa"/>
          </w:tcPr>
          <w:p w14:paraId="0D0411AC" w14:textId="77777777" w:rsidR="00114D55" w:rsidRPr="00D948C1" w:rsidRDefault="00114D55" w:rsidP="00114D55">
            <w:pPr>
              <w:tabs>
                <w:tab w:val="left" w:pos="270"/>
              </w:tabs>
              <w:rPr>
                <w:szCs w:val="24"/>
              </w:rPr>
            </w:pPr>
            <w:r w:rsidRPr="00D948C1">
              <w:rPr>
                <w:szCs w:val="24"/>
              </w:rPr>
              <w:t xml:space="preserve">Cash held by </w:t>
            </w:r>
            <w:proofErr w:type="gramStart"/>
            <w:r w:rsidRPr="00D948C1">
              <w:rPr>
                <w:szCs w:val="24"/>
              </w:rPr>
              <w:t>North West</w:t>
            </w:r>
            <w:proofErr w:type="gramEnd"/>
            <w:r w:rsidRPr="00D948C1">
              <w:rPr>
                <w:szCs w:val="24"/>
              </w:rPr>
              <w:t xml:space="preserve"> FireControl (25% share)</w:t>
            </w:r>
          </w:p>
        </w:tc>
        <w:tc>
          <w:tcPr>
            <w:tcW w:w="1638" w:type="dxa"/>
            <w:vAlign w:val="center"/>
          </w:tcPr>
          <w:p w14:paraId="7026A4B6" w14:textId="4D79FA43" w:rsidR="00114D55" w:rsidRPr="00D948C1" w:rsidRDefault="002039BE" w:rsidP="00114D55">
            <w:pPr>
              <w:tabs>
                <w:tab w:val="decimal" w:pos="900"/>
              </w:tabs>
              <w:jc w:val="right"/>
              <w:rPr>
                <w:szCs w:val="24"/>
              </w:rPr>
            </w:pPr>
            <w:r>
              <w:rPr>
                <w:szCs w:val="24"/>
              </w:rPr>
              <w:t>394</w:t>
            </w:r>
          </w:p>
        </w:tc>
        <w:tc>
          <w:tcPr>
            <w:tcW w:w="1620" w:type="dxa"/>
            <w:vAlign w:val="center"/>
          </w:tcPr>
          <w:p w14:paraId="3893878F" w14:textId="705CA2FA" w:rsidR="00114D55" w:rsidRPr="00347B4C" w:rsidRDefault="00114D55" w:rsidP="00114D55">
            <w:pPr>
              <w:tabs>
                <w:tab w:val="decimal" w:pos="900"/>
              </w:tabs>
              <w:jc w:val="right"/>
              <w:rPr>
                <w:szCs w:val="24"/>
              </w:rPr>
            </w:pPr>
            <w:r>
              <w:rPr>
                <w:szCs w:val="24"/>
              </w:rPr>
              <w:t>525</w:t>
            </w:r>
          </w:p>
        </w:tc>
      </w:tr>
      <w:tr w:rsidR="00114D55" w:rsidRPr="00D948C1" w14:paraId="3970DC33" w14:textId="77777777" w:rsidTr="00480E4B">
        <w:trPr>
          <w:trHeight w:hRule="exact" w:val="300"/>
        </w:trPr>
        <w:tc>
          <w:tcPr>
            <w:tcW w:w="5909" w:type="dxa"/>
            <w:tcBorders>
              <w:top w:val="single" w:sz="4" w:space="0" w:color="auto"/>
              <w:left w:val="single" w:sz="4" w:space="0" w:color="auto"/>
              <w:bottom w:val="single" w:sz="4" w:space="0" w:color="auto"/>
              <w:right w:val="single" w:sz="4" w:space="0" w:color="auto"/>
            </w:tcBorders>
          </w:tcPr>
          <w:p w14:paraId="7E11EFC8" w14:textId="56F5F4FF" w:rsidR="00114D55" w:rsidRPr="00D948C1" w:rsidRDefault="00114D55" w:rsidP="00114D55">
            <w:pPr>
              <w:tabs>
                <w:tab w:val="left" w:pos="270"/>
              </w:tabs>
              <w:rPr>
                <w:szCs w:val="24"/>
              </w:rPr>
            </w:pPr>
            <w:r w:rsidRPr="00D948C1">
              <w:rPr>
                <w:szCs w:val="24"/>
              </w:rPr>
              <w:t>Total</w:t>
            </w:r>
          </w:p>
        </w:tc>
        <w:tc>
          <w:tcPr>
            <w:tcW w:w="1638" w:type="dxa"/>
            <w:tcBorders>
              <w:top w:val="single" w:sz="4" w:space="0" w:color="auto"/>
              <w:left w:val="single" w:sz="4" w:space="0" w:color="auto"/>
              <w:bottom w:val="single" w:sz="4" w:space="0" w:color="auto"/>
              <w:right w:val="single" w:sz="4" w:space="0" w:color="auto"/>
            </w:tcBorders>
            <w:vAlign w:val="center"/>
          </w:tcPr>
          <w:p w14:paraId="1128B768" w14:textId="7D049D4E" w:rsidR="00114D55" w:rsidRPr="00D948C1" w:rsidRDefault="009D406D" w:rsidP="00114D55">
            <w:pPr>
              <w:tabs>
                <w:tab w:val="decimal" w:pos="900"/>
              </w:tabs>
              <w:jc w:val="right"/>
              <w:rPr>
                <w:szCs w:val="24"/>
              </w:rPr>
            </w:pPr>
            <w:r>
              <w:rPr>
                <w:szCs w:val="24"/>
              </w:rPr>
              <w:t>451</w:t>
            </w:r>
          </w:p>
        </w:tc>
        <w:tc>
          <w:tcPr>
            <w:tcW w:w="1620" w:type="dxa"/>
            <w:tcBorders>
              <w:top w:val="single" w:sz="4" w:space="0" w:color="auto"/>
              <w:left w:val="single" w:sz="4" w:space="0" w:color="auto"/>
              <w:bottom w:val="single" w:sz="4" w:space="0" w:color="auto"/>
              <w:right w:val="single" w:sz="4" w:space="0" w:color="auto"/>
            </w:tcBorders>
            <w:vAlign w:val="center"/>
          </w:tcPr>
          <w:p w14:paraId="41BFB273" w14:textId="0FE12193" w:rsidR="00114D55" w:rsidRPr="00347B4C" w:rsidRDefault="00114D55" w:rsidP="00114D55">
            <w:pPr>
              <w:tabs>
                <w:tab w:val="decimal" w:pos="900"/>
              </w:tabs>
              <w:jc w:val="right"/>
              <w:rPr>
                <w:szCs w:val="24"/>
              </w:rPr>
            </w:pPr>
            <w:r>
              <w:rPr>
                <w:szCs w:val="24"/>
              </w:rPr>
              <w:t>582</w:t>
            </w:r>
          </w:p>
        </w:tc>
      </w:tr>
    </w:tbl>
    <w:p w14:paraId="39BC6353" w14:textId="77777777" w:rsidR="00D90216" w:rsidRPr="00D948C1" w:rsidRDefault="00D90216" w:rsidP="00D90216">
      <w:pPr>
        <w:ind w:left="720"/>
        <w:jc w:val="both"/>
        <w:rPr>
          <w:sz w:val="22"/>
        </w:rPr>
      </w:pPr>
    </w:p>
    <w:p w14:paraId="644DA1EB" w14:textId="0C4DBBD9" w:rsidR="00EF5D8C" w:rsidRDefault="00F80385" w:rsidP="00EF5D8C">
      <w:pPr>
        <w:ind w:left="720"/>
      </w:pPr>
      <w:r>
        <w:t xml:space="preserve">During the year the Fire Authority </w:t>
      </w:r>
      <w:r w:rsidR="00F2427E">
        <w:t>invest</w:t>
      </w:r>
      <w:r w:rsidR="00341907">
        <w:t>ed</w:t>
      </w:r>
      <w:r w:rsidR="00F2427E">
        <w:t xml:space="preserve"> in fixed term deposits with </w:t>
      </w:r>
      <w:r w:rsidR="004B3589">
        <w:t>the</w:t>
      </w:r>
      <w:r w:rsidR="00F2427E">
        <w:t xml:space="preserve"> Debt Management Office</w:t>
      </w:r>
      <w:r w:rsidR="00A92CD4">
        <w:t>.</w:t>
      </w:r>
    </w:p>
    <w:p w14:paraId="1D2C1C5F" w14:textId="77777777" w:rsidR="00EF5D8C" w:rsidRDefault="00EF5D8C">
      <w:r>
        <w:br w:type="page"/>
      </w:r>
    </w:p>
    <w:p w14:paraId="07694C61" w14:textId="77777777" w:rsidR="00D90216" w:rsidRPr="00D948C1" w:rsidRDefault="001C592E" w:rsidP="00BE3374">
      <w:pPr>
        <w:pStyle w:val="Heading2"/>
        <w:jc w:val="left"/>
        <w:rPr>
          <w:sz w:val="24"/>
          <w:szCs w:val="24"/>
        </w:rPr>
      </w:pPr>
      <w:bookmarkStart w:id="41" w:name="_Toc233717530"/>
      <w:r w:rsidRPr="00EB70E8">
        <w:rPr>
          <w:sz w:val="24"/>
          <w:szCs w:val="24"/>
        </w:rPr>
        <w:lastRenderedPageBreak/>
        <w:t>1</w:t>
      </w:r>
      <w:r w:rsidR="007C6DCB" w:rsidRPr="00EB70E8">
        <w:rPr>
          <w:sz w:val="24"/>
          <w:szCs w:val="24"/>
        </w:rPr>
        <w:t>1</w:t>
      </w:r>
      <w:r w:rsidR="00D90216" w:rsidRPr="00EB70E8">
        <w:rPr>
          <w:sz w:val="24"/>
          <w:szCs w:val="24"/>
        </w:rPr>
        <w:tab/>
      </w:r>
      <w:bookmarkStart w:id="42" w:name="N11"/>
      <w:bookmarkEnd w:id="42"/>
      <w:r w:rsidR="00D90216" w:rsidRPr="00EB70E8">
        <w:rPr>
          <w:sz w:val="24"/>
          <w:szCs w:val="24"/>
        </w:rPr>
        <w:t>Creditors</w:t>
      </w:r>
      <w:bookmarkEnd w:id="41"/>
    </w:p>
    <w:p w14:paraId="6DA3E2E7" w14:textId="77777777" w:rsidR="00D90216" w:rsidRPr="00D948C1" w:rsidRDefault="00D90216" w:rsidP="00D90216">
      <w:pPr>
        <w:ind w:left="720"/>
        <w:rPr>
          <w:szCs w:val="24"/>
        </w:rPr>
      </w:pPr>
    </w:p>
    <w:tbl>
      <w:tblPr>
        <w:tblW w:w="7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1654"/>
        <w:gridCol w:w="1606"/>
      </w:tblGrid>
      <w:tr w:rsidR="001318F9" w:rsidRPr="00D948C1" w14:paraId="0BA91B12" w14:textId="77777777" w:rsidTr="00611673">
        <w:trPr>
          <w:trHeight w:hRule="exact" w:val="578"/>
          <w:tblHeader/>
        </w:trPr>
        <w:tc>
          <w:tcPr>
            <w:tcW w:w="4208" w:type="dxa"/>
            <w:shd w:val="clear" w:color="auto" w:fill="BD2716"/>
          </w:tcPr>
          <w:p w14:paraId="4344A490" w14:textId="77777777" w:rsidR="001318F9" w:rsidRPr="00D948C1" w:rsidRDefault="001318F9" w:rsidP="001318F9">
            <w:pPr>
              <w:pStyle w:val="Footer"/>
              <w:tabs>
                <w:tab w:val="clear" w:pos="4153"/>
                <w:tab w:val="clear" w:pos="8306"/>
              </w:tabs>
              <w:rPr>
                <w:color w:val="FFFFFF" w:themeColor="background1"/>
                <w:szCs w:val="24"/>
              </w:rPr>
            </w:pPr>
          </w:p>
        </w:tc>
        <w:tc>
          <w:tcPr>
            <w:tcW w:w="1654" w:type="dxa"/>
            <w:shd w:val="clear" w:color="auto" w:fill="BD2716"/>
            <w:vAlign w:val="center"/>
          </w:tcPr>
          <w:p w14:paraId="54A497A5" w14:textId="6DEBA754"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2025-26</w:t>
            </w:r>
          </w:p>
          <w:p w14:paraId="3B6A10D7" w14:textId="495A7BE5"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22F992C6" w14:textId="1F6A99B2"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2024-25</w:t>
            </w:r>
          </w:p>
          <w:p w14:paraId="302ECE78" w14:textId="5B8078FD"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r>
      <w:tr w:rsidR="00277960" w:rsidRPr="00D948C1" w14:paraId="5849A45D" w14:textId="77777777" w:rsidTr="006637EE">
        <w:trPr>
          <w:trHeight w:hRule="exact" w:val="278"/>
        </w:trPr>
        <w:tc>
          <w:tcPr>
            <w:tcW w:w="4208" w:type="dxa"/>
          </w:tcPr>
          <w:p w14:paraId="416DA00D" w14:textId="59910223" w:rsidR="00277960" w:rsidRPr="00D948C1" w:rsidRDefault="00277960" w:rsidP="00277960">
            <w:pPr>
              <w:pStyle w:val="Footer"/>
              <w:tabs>
                <w:tab w:val="clear" w:pos="4153"/>
                <w:tab w:val="clear" w:pos="8306"/>
                <w:tab w:val="left" w:pos="270"/>
              </w:tabs>
              <w:rPr>
                <w:szCs w:val="24"/>
              </w:rPr>
            </w:pPr>
            <w:r w:rsidRPr="00D948C1">
              <w:rPr>
                <w:szCs w:val="24"/>
              </w:rPr>
              <w:t>Goods and services creditors</w:t>
            </w:r>
          </w:p>
        </w:tc>
        <w:tc>
          <w:tcPr>
            <w:tcW w:w="1654" w:type="dxa"/>
            <w:vAlign w:val="center"/>
          </w:tcPr>
          <w:p w14:paraId="25A1F9FA" w14:textId="10DA0413" w:rsidR="00277960" w:rsidRPr="005A4E16" w:rsidRDefault="00CF6E0D" w:rsidP="00277960">
            <w:pPr>
              <w:pStyle w:val="Footer"/>
              <w:tabs>
                <w:tab w:val="clear" w:pos="4153"/>
                <w:tab w:val="clear" w:pos="8306"/>
                <w:tab w:val="decimal" w:pos="979"/>
              </w:tabs>
              <w:jc w:val="right"/>
              <w:rPr>
                <w:szCs w:val="24"/>
              </w:rPr>
            </w:pPr>
            <w:r>
              <w:rPr>
                <w:szCs w:val="24"/>
              </w:rPr>
              <w:t>4,144</w:t>
            </w:r>
          </w:p>
        </w:tc>
        <w:tc>
          <w:tcPr>
            <w:tcW w:w="1606" w:type="dxa"/>
            <w:vAlign w:val="center"/>
          </w:tcPr>
          <w:p w14:paraId="62A393FE" w14:textId="37D703AE" w:rsidR="00277960" w:rsidRPr="00347B4C" w:rsidRDefault="00277960" w:rsidP="00277960">
            <w:pPr>
              <w:pStyle w:val="Footer"/>
              <w:tabs>
                <w:tab w:val="clear" w:pos="4153"/>
                <w:tab w:val="clear" w:pos="8306"/>
                <w:tab w:val="decimal" w:pos="979"/>
              </w:tabs>
              <w:jc w:val="right"/>
              <w:rPr>
                <w:szCs w:val="24"/>
              </w:rPr>
            </w:pPr>
            <w:r>
              <w:rPr>
                <w:szCs w:val="24"/>
              </w:rPr>
              <w:t>3</w:t>
            </w:r>
            <w:r w:rsidR="007D1D0E">
              <w:rPr>
                <w:szCs w:val="24"/>
              </w:rPr>
              <w:t>,</w:t>
            </w:r>
            <w:r>
              <w:rPr>
                <w:szCs w:val="24"/>
              </w:rPr>
              <w:t>294</w:t>
            </w:r>
          </w:p>
        </w:tc>
      </w:tr>
      <w:tr w:rsidR="00277960" w:rsidRPr="00D948C1" w14:paraId="3C31CE53" w14:textId="77777777" w:rsidTr="006637EE">
        <w:trPr>
          <w:trHeight w:hRule="exact" w:val="278"/>
        </w:trPr>
        <w:tc>
          <w:tcPr>
            <w:tcW w:w="4208" w:type="dxa"/>
          </w:tcPr>
          <w:p w14:paraId="1C336EB6" w14:textId="7090F36E" w:rsidR="00277960" w:rsidRPr="00D948C1" w:rsidRDefault="00277960" w:rsidP="00277960">
            <w:pPr>
              <w:tabs>
                <w:tab w:val="left" w:pos="270"/>
              </w:tabs>
              <w:rPr>
                <w:szCs w:val="24"/>
              </w:rPr>
            </w:pPr>
            <w:r w:rsidRPr="00D948C1">
              <w:rPr>
                <w:szCs w:val="24"/>
              </w:rPr>
              <w:t>P</w:t>
            </w:r>
            <w:r w:rsidR="007F1302">
              <w:rPr>
                <w:szCs w:val="24"/>
              </w:rPr>
              <w:t xml:space="preserve">ay </w:t>
            </w:r>
            <w:r w:rsidRPr="00D948C1">
              <w:rPr>
                <w:szCs w:val="24"/>
              </w:rPr>
              <w:t>A</w:t>
            </w:r>
            <w:r w:rsidR="00F94712">
              <w:rPr>
                <w:szCs w:val="24"/>
              </w:rPr>
              <w:t xml:space="preserve">s </w:t>
            </w:r>
            <w:r w:rsidRPr="00D948C1">
              <w:rPr>
                <w:szCs w:val="24"/>
              </w:rPr>
              <w:t>Y</w:t>
            </w:r>
            <w:r w:rsidR="00F94712">
              <w:rPr>
                <w:szCs w:val="24"/>
              </w:rPr>
              <w:t xml:space="preserve">ou </w:t>
            </w:r>
            <w:r w:rsidRPr="00D948C1">
              <w:rPr>
                <w:szCs w:val="24"/>
              </w:rPr>
              <w:t>E</w:t>
            </w:r>
            <w:r w:rsidR="00F94712">
              <w:rPr>
                <w:szCs w:val="24"/>
              </w:rPr>
              <w:t>arn (PAYE)</w:t>
            </w:r>
            <w:r w:rsidR="007F1302">
              <w:rPr>
                <w:szCs w:val="24"/>
              </w:rPr>
              <w:t xml:space="preserve"> and </w:t>
            </w:r>
            <w:r w:rsidRPr="00D948C1">
              <w:rPr>
                <w:szCs w:val="24"/>
              </w:rPr>
              <w:t>NI</w:t>
            </w:r>
          </w:p>
          <w:p w14:paraId="7C2AF74F" w14:textId="77777777" w:rsidR="00277960" w:rsidRPr="00D948C1" w:rsidRDefault="00277960" w:rsidP="00277960">
            <w:pPr>
              <w:tabs>
                <w:tab w:val="left" w:pos="270"/>
              </w:tabs>
              <w:rPr>
                <w:szCs w:val="24"/>
              </w:rPr>
            </w:pPr>
          </w:p>
        </w:tc>
        <w:tc>
          <w:tcPr>
            <w:tcW w:w="1654" w:type="dxa"/>
          </w:tcPr>
          <w:p w14:paraId="175E7E93" w14:textId="67B9C015" w:rsidR="00277960" w:rsidRPr="005A4E16" w:rsidRDefault="00926723" w:rsidP="00277960">
            <w:pPr>
              <w:pStyle w:val="Footer"/>
              <w:tabs>
                <w:tab w:val="clear" w:pos="4153"/>
                <w:tab w:val="clear" w:pos="8306"/>
                <w:tab w:val="decimal" w:pos="979"/>
              </w:tabs>
              <w:jc w:val="right"/>
              <w:rPr>
                <w:szCs w:val="24"/>
              </w:rPr>
            </w:pPr>
            <w:r>
              <w:rPr>
                <w:szCs w:val="24"/>
              </w:rPr>
              <w:t>1,004</w:t>
            </w:r>
          </w:p>
        </w:tc>
        <w:tc>
          <w:tcPr>
            <w:tcW w:w="1606" w:type="dxa"/>
          </w:tcPr>
          <w:p w14:paraId="703000F6" w14:textId="34A9BBA8" w:rsidR="00277960" w:rsidRPr="00347B4C" w:rsidRDefault="00277960" w:rsidP="00277960">
            <w:pPr>
              <w:pStyle w:val="Footer"/>
              <w:tabs>
                <w:tab w:val="clear" w:pos="4153"/>
                <w:tab w:val="clear" w:pos="8306"/>
                <w:tab w:val="decimal" w:pos="979"/>
              </w:tabs>
              <w:jc w:val="right"/>
              <w:rPr>
                <w:szCs w:val="24"/>
              </w:rPr>
            </w:pPr>
            <w:r w:rsidRPr="005A4E16">
              <w:rPr>
                <w:szCs w:val="24"/>
              </w:rPr>
              <w:t>1,472</w:t>
            </w:r>
          </w:p>
        </w:tc>
      </w:tr>
      <w:tr w:rsidR="00277960" w:rsidRPr="00D948C1" w14:paraId="67C939B9" w14:textId="77777777" w:rsidTr="006637EE">
        <w:trPr>
          <w:trHeight w:val="278"/>
        </w:trPr>
        <w:tc>
          <w:tcPr>
            <w:tcW w:w="4208" w:type="dxa"/>
          </w:tcPr>
          <w:p w14:paraId="5610652A" w14:textId="5C5FDCBD" w:rsidR="00277960" w:rsidRPr="00D948C1" w:rsidRDefault="00277960" w:rsidP="00277960">
            <w:pPr>
              <w:tabs>
                <w:tab w:val="left" w:pos="270"/>
              </w:tabs>
              <w:rPr>
                <w:szCs w:val="24"/>
              </w:rPr>
            </w:pPr>
            <w:r w:rsidRPr="00D948C1">
              <w:rPr>
                <w:szCs w:val="24"/>
              </w:rPr>
              <w:t>VAT</w:t>
            </w:r>
          </w:p>
        </w:tc>
        <w:tc>
          <w:tcPr>
            <w:tcW w:w="1654" w:type="dxa"/>
          </w:tcPr>
          <w:p w14:paraId="4E05DF8A" w14:textId="338BAB11" w:rsidR="00277960" w:rsidRPr="005A4E16" w:rsidRDefault="00A84154" w:rsidP="00277960">
            <w:pPr>
              <w:pStyle w:val="Footer"/>
              <w:tabs>
                <w:tab w:val="clear" w:pos="4153"/>
                <w:tab w:val="clear" w:pos="8306"/>
                <w:tab w:val="decimal" w:pos="979"/>
              </w:tabs>
              <w:jc w:val="right"/>
              <w:rPr>
                <w:szCs w:val="24"/>
              </w:rPr>
            </w:pPr>
            <w:r>
              <w:rPr>
                <w:szCs w:val="24"/>
              </w:rPr>
              <w:t>-</w:t>
            </w:r>
          </w:p>
        </w:tc>
        <w:tc>
          <w:tcPr>
            <w:tcW w:w="1606" w:type="dxa"/>
          </w:tcPr>
          <w:p w14:paraId="525D7E75" w14:textId="480A76A5" w:rsidR="00277960" w:rsidRPr="00347B4C" w:rsidRDefault="00277960" w:rsidP="00277960">
            <w:pPr>
              <w:pStyle w:val="Footer"/>
              <w:tabs>
                <w:tab w:val="clear" w:pos="4153"/>
                <w:tab w:val="clear" w:pos="8306"/>
                <w:tab w:val="decimal" w:pos="979"/>
              </w:tabs>
              <w:jc w:val="right"/>
              <w:rPr>
                <w:szCs w:val="24"/>
              </w:rPr>
            </w:pPr>
            <w:r w:rsidRPr="005A4E16">
              <w:rPr>
                <w:szCs w:val="24"/>
              </w:rPr>
              <w:t>-</w:t>
            </w:r>
          </w:p>
        </w:tc>
      </w:tr>
      <w:tr w:rsidR="00277960" w:rsidRPr="00D948C1" w14:paraId="691A92EF" w14:textId="77777777" w:rsidTr="006637EE">
        <w:trPr>
          <w:trHeight w:val="278"/>
        </w:trPr>
        <w:tc>
          <w:tcPr>
            <w:tcW w:w="4208" w:type="dxa"/>
          </w:tcPr>
          <w:p w14:paraId="5DC522B0" w14:textId="77777777" w:rsidR="00277960" w:rsidRPr="00D948C1" w:rsidRDefault="00277960" w:rsidP="00277960">
            <w:pPr>
              <w:tabs>
                <w:tab w:val="left" w:pos="270"/>
              </w:tabs>
              <w:rPr>
                <w:szCs w:val="24"/>
              </w:rPr>
            </w:pPr>
            <w:r w:rsidRPr="00D948C1">
              <w:rPr>
                <w:szCs w:val="24"/>
              </w:rPr>
              <w:t>Local taxation creditors</w:t>
            </w:r>
          </w:p>
        </w:tc>
        <w:tc>
          <w:tcPr>
            <w:tcW w:w="1654" w:type="dxa"/>
          </w:tcPr>
          <w:p w14:paraId="6ED0A049" w14:textId="63DAA29E" w:rsidR="00277960" w:rsidRPr="005A4E16" w:rsidRDefault="002F206F" w:rsidP="00277960">
            <w:pPr>
              <w:pStyle w:val="Footer"/>
              <w:tabs>
                <w:tab w:val="clear" w:pos="4153"/>
                <w:tab w:val="clear" w:pos="8306"/>
                <w:tab w:val="decimal" w:pos="979"/>
              </w:tabs>
              <w:jc w:val="right"/>
              <w:rPr>
                <w:szCs w:val="24"/>
              </w:rPr>
            </w:pPr>
            <w:r>
              <w:rPr>
                <w:szCs w:val="24"/>
              </w:rPr>
              <w:t>4,055</w:t>
            </w:r>
          </w:p>
        </w:tc>
        <w:tc>
          <w:tcPr>
            <w:tcW w:w="1606" w:type="dxa"/>
          </w:tcPr>
          <w:p w14:paraId="65EF5C1E" w14:textId="5D5FA9B1" w:rsidR="00277960" w:rsidRPr="008E28A7" w:rsidRDefault="00277960" w:rsidP="00277960">
            <w:pPr>
              <w:pStyle w:val="Footer"/>
              <w:tabs>
                <w:tab w:val="clear" w:pos="4153"/>
                <w:tab w:val="clear" w:pos="8306"/>
                <w:tab w:val="decimal" w:pos="979"/>
              </w:tabs>
              <w:jc w:val="right"/>
              <w:rPr>
                <w:szCs w:val="24"/>
              </w:rPr>
            </w:pPr>
            <w:r w:rsidRPr="005A4E16">
              <w:rPr>
                <w:szCs w:val="24"/>
              </w:rPr>
              <w:t>3,390</w:t>
            </w:r>
          </w:p>
        </w:tc>
      </w:tr>
      <w:tr w:rsidR="00277960" w:rsidRPr="00D948C1" w14:paraId="21D057D8" w14:textId="77777777" w:rsidTr="006637EE">
        <w:trPr>
          <w:trHeight w:val="278"/>
        </w:trPr>
        <w:tc>
          <w:tcPr>
            <w:tcW w:w="4208" w:type="dxa"/>
          </w:tcPr>
          <w:p w14:paraId="3B83C838" w14:textId="2B0BEE21" w:rsidR="00277960" w:rsidRPr="00D948C1" w:rsidRDefault="00277960" w:rsidP="00277960">
            <w:pPr>
              <w:rPr>
                <w:szCs w:val="24"/>
              </w:rPr>
            </w:pPr>
            <w:r w:rsidRPr="00D948C1">
              <w:rPr>
                <w:szCs w:val="24"/>
              </w:rPr>
              <w:t>Other creditors</w:t>
            </w:r>
          </w:p>
        </w:tc>
        <w:tc>
          <w:tcPr>
            <w:tcW w:w="1654" w:type="dxa"/>
          </w:tcPr>
          <w:p w14:paraId="49A4EDAD" w14:textId="630DBF3C" w:rsidR="00277960" w:rsidRPr="005A4E16" w:rsidRDefault="008926DA" w:rsidP="00277960">
            <w:pPr>
              <w:pStyle w:val="Footer"/>
              <w:tabs>
                <w:tab w:val="clear" w:pos="4153"/>
                <w:tab w:val="clear" w:pos="8306"/>
                <w:tab w:val="decimal" w:pos="979"/>
              </w:tabs>
              <w:jc w:val="right"/>
            </w:pPr>
            <w:r>
              <w:t>2,</w:t>
            </w:r>
            <w:r w:rsidR="00B2113A">
              <w:t>090</w:t>
            </w:r>
          </w:p>
        </w:tc>
        <w:tc>
          <w:tcPr>
            <w:tcW w:w="1606" w:type="dxa"/>
          </w:tcPr>
          <w:p w14:paraId="67899685" w14:textId="58E537B6" w:rsidR="00277960" w:rsidRPr="008E28A7" w:rsidRDefault="00277960" w:rsidP="00277960">
            <w:pPr>
              <w:pStyle w:val="Footer"/>
              <w:tabs>
                <w:tab w:val="clear" w:pos="4153"/>
                <w:tab w:val="clear" w:pos="8306"/>
                <w:tab w:val="decimal" w:pos="979"/>
              </w:tabs>
              <w:jc w:val="right"/>
              <w:rPr>
                <w:szCs w:val="24"/>
              </w:rPr>
            </w:pPr>
            <w:r w:rsidRPr="005A4E16">
              <w:rPr>
                <w:szCs w:val="24"/>
              </w:rPr>
              <w:t>6,576</w:t>
            </w:r>
          </w:p>
        </w:tc>
      </w:tr>
      <w:tr w:rsidR="00277960" w:rsidRPr="00D948C1" w14:paraId="16899866" w14:textId="77777777" w:rsidTr="006637EE">
        <w:trPr>
          <w:trHeight w:val="278"/>
        </w:trPr>
        <w:tc>
          <w:tcPr>
            <w:tcW w:w="4208" w:type="dxa"/>
          </w:tcPr>
          <w:p w14:paraId="3824DC50" w14:textId="69585E34" w:rsidR="00277960" w:rsidRPr="00D948C1" w:rsidRDefault="00277960" w:rsidP="00277960">
            <w:pPr>
              <w:rPr>
                <w:szCs w:val="24"/>
              </w:rPr>
            </w:pPr>
            <w:r w:rsidRPr="00D948C1">
              <w:rPr>
                <w:szCs w:val="24"/>
              </w:rPr>
              <w:t>Total</w:t>
            </w:r>
          </w:p>
        </w:tc>
        <w:tc>
          <w:tcPr>
            <w:tcW w:w="1654" w:type="dxa"/>
          </w:tcPr>
          <w:p w14:paraId="7924C7B2" w14:textId="3BD6B304" w:rsidR="00277960" w:rsidRPr="005A4E16" w:rsidRDefault="0073732B" w:rsidP="00277960">
            <w:pPr>
              <w:tabs>
                <w:tab w:val="decimal" w:pos="979"/>
              </w:tabs>
              <w:jc w:val="right"/>
              <w:rPr>
                <w:szCs w:val="24"/>
              </w:rPr>
            </w:pPr>
            <w:r>
              <w:rPr>
                <w:szCs w:val="24"/>
              </w:rPr>
              <w:t>11,294</w:t>
            </w:r>
          </w:p>
        </w:tc>
        <w:tc>
          <w:tcPr>
            <w:tcW w:w="1606" w:type="dxa"/>
          </w:tcPr>
          <w:p w14:paraId="27C38CAB" w14:textId="7FC90E71" w:rsidR="00277960" w:rsidRPr="008E28A7" w:rsidRDefault="00277960" w:rsidP="00277960">
            <w:pPr>
              <w:tabs>
                <w:tab w:val="decimal" w:pos="979"/>
              </w:tabs>
              <w:jc w:val="right"/>
              <w:rPr>
                <w:szCs w:val="24"/>
              </w:rPr>
            </w:pPr>
            <w:r w:rsidRPr="005A4E16">
              <w:rPr>
                <w:szCs w:val="24"/>
              </w:rPr>
              <w:t>1</w:t>
            </w:r>
            <w:r>
              <w:rPr>
                <w:szCs w:val="24"/>
              </w:rPr>
              <w:t>4</w:t>
            </w:r>
            <w:r w:rsidRPr="005A4E16">
              <w:rPr>
                <w:szCs w:val="24"/>
              </w:rPr>
              <w:t>,</w:t>
            </w:r>
            <w:r>
              <w:rPr>
                <w:szCs w:val="24"/>
              </w:rPr>
              <w:t>732</w:t>
            </w:r>
          </w:p>
        </w:tc>
      </w:tr>
    </w:tbl>
    <w:p w14:paraId="1A5A7BFE" w14:textId="74BDA755" w:rsidR="00BE3374" w:rsidRDefault="00BE3374" w:rsidP="00300384">
      <w:pPr>
        <w:rPr>
          <w:b/>
          <w:sz w:val="22"/>
        </w:rPr>
      </w:pPr>
    </w:p>
    <w:p w14:paraId="5F8530E9" w14:textId="2C2C1D3D" w:rsidR="00307925" w:rsidRPr="00D948C1" w:rsidRDefault="00307925" w:rsidP="00307925">
      <w:pPr>
        <w:pStyle w:val="Heading2"/>
        <w:jc w:val="left"/>
        <w:rPr>
          <w:sz w:val="24"/>
          <w:szCs w:val="24"/>
        </w:rPr>
      </w:pPr>
      <w:bookmarkStart w:id="43" w:name="_12_Grants_Received"/>
      <w:bookmarkStart w:id="44" w:name="_Toc233717531"/>
      <w:bookmarkEnd w:id="43"/>
      <w:r w:rsidRPr="56D13D89">
        <w:rPr>
          <w:sz w:val="24"/>
          <w:szCs w:val="24"/>
        </w:rPr>
        <w:t>12</w:t>
      </w:r>
      <w:r>
        <w:tab/>
      </w:r>
      <w:r w:rsidRPr="56D13D89">
        <w:rPr>
          <w:sz w:val="24"/>
          <w:szCs w:val="24"/>
        </w:rPr>
        <w:t>Grants Received in Advance</w:t>
      </w:r>
      <w:bookmarkEnd w:id="44"/>
    </w:p>
    <w:p w14:paraId="62E6777C" w14:textId="336A7278" w:rsidR="00307925" w:rsidRPr="00B649F5" w:rsidRDefault="00307925" w:rsidP="00B649F5">
      <w:pPr>
        <w:pStyle w:val="BodyTextIndent2"/>
        <w:ind w:firstLine="0"/>
      </w:pPr>
      <w:r>
        <w:rPr>
          <w:b/>
          <w:sz w:val="22"/>
        </w:rPr>
        <w:tab/>
      </w:r>
    </w:p>
    <w:p w14:paraId="5228EB78" w14:textId="6C03FEF9" w:rsidR="00B649F5" w:rsidRDefault="000F3EA5" w:rsidP="00B649F5">
      <w:pPr>
        <w:pStyle w:val="BodyTextIndent2"/>
        <w:ind w:firstLine="0"/>
      </w:pPr>
      <w:r>
        <w:t xml:space="preserve">The Authority </w:t>
      </w:r>
      <w:r w:rsidR="00B22004">
        <w:t xml:space="preserve">has </w:t>
      </w:r>
      <w:r w:rsidR="00E74D01">
        <w:t xml:space="preserve">received </w:t>
      </w:r>
      <w:r w:rsidR="00B22004">
        <w:t xml:space="preserve">the following revenue grants </w:t>
      </w:r>
      <w:r w:rsidR="00E74D01">
        <w:t>r</w:t>
      </w:r>
      <w:r w:rsidR="00B22004">
        <w:t>ecei</w:t>
      </w:r>
      <w:r w:rsidR="00E74D01">
        <w:t>pts</w:t>
      </w:r>
      <w:r w:rsidR="00B22004">
        <w:t xml:space="preserve"> in advance</w:t>
      </w:r>
      <w:r w:rsidR="009900C2">
        <w:t xml:space="preserve"> (see accounting policy </w:t>
      </w:r>
      <w:hyperlink w:anchor="_30_Accounting_Policies" w:history="1">
        <w:r w:rsidR="009900C2" w:rsidRPr="56D13D89">
          <w:rPr>
            <w:rStyle w:val="Hyperlink"/>
          </w:rPr>
          <w:t>Note 30</w:t>
        </w:r>
      </w:hyperlink>
      <w:r w:rsidR="009900C2">
        <w:t>, section h)</w:t>
      </w:r>
      <w:r w:rsidR="00B22004">
        <w:t>:</w:t>
      </w:r>
    </w:p>
    <w:p w14:paraId="3BF0931F" w14:textId="77777777" w:rsidR="00B22004" w:rsidRDefault="00B22004" w:rsidP="00B649F5">
      <w:pPr>
        <w:pStyle w:val="BodyTextIndent2"/>
        <w:ind w:firstLine="0"/>
        <w:rPr>
          <w:szCs w:val="24"/>
        </w:rPr>
      </w:pPr>
    </w:p>
    <w:tbl>
      <w:tblPr>
        <w:tblW w:w="7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1654"/>
        <w:gridCol w:w="1606"/>
      </w:tblGrid>
      <w:tr w:rsidR="00B22004" w:rsidRPr="00D948C1" w14:paraId="4D61DA23" w14:textId="77777777" w:rsidTr="0083221B">
        <w:trPr>
          <w:trHeight w:hRule="exact" w:val="578"/>
          <w:tblHeader/>
        </w:trPr>
        <w:tc>
          <w:tcPr>
            <w:tcW w:w="4208" w:type="dxa"/>
            <w:shd w:val="clear" w:color="auto" w:fill="BD2716"/>
          </w:tcPr>
          <w:p w14:paraId="351D5F38" w14:textId="77777777" w:rsidR="00B22004" w:rsidRPr="00D948C1" w:rsidRDefault="00B22004" w:rsidP="0083221B">
            <w:pPr>
              <w:pStyle w:val="Footer"/>
              <w:tabs>
                <w:tab w:val="clear" w:pos="4153"/>
                <w:tab w:val="clear" w:pos="8306"/>
              </w:tabs>
              <w:rPr>
                <w:color w:val="FFFFFF" w:themeColor="background1"/>
                <w:szCs w:val="24"/>
              </w:rPr>
            </w:pPr>
          </w:p>
        </w:tc>
        <w:tc>
          <w:tcPr>
            <w:tcW w:w="1654" w:type="dxa"/>
            <w:shd w:val="clear" w:color="auto" w:fill="BD2716"/>
            <w:vAlign w:val="center"/>
          </w:tcPr>
          <w:p w14:paraId="42DAB56B" w14:textId="20E0C367" w:rsidR="00B22004" w:rsidRPr="00D948C1" w:rsidRDefault="001A42DD" w:rsidP="0083221B">
            <w:pPr>
              <w:pStyle w:val="BodyTextIndent"/>
              <w:ind w:left="0"/>
              <w:jc w:val="right"/>
              <w:rPr>
                <w:color w:val="FFFFFF" w:themeColor="background1"/>
                <w:szCs w:val="24"/>
                <w:lang w:val="en-GB"/>
              </w:rPr>
            </w:pPr>
            <w:r>
              <w:rPr>
                <w:color w:val="FFFFFF" w:themeColor="background1"/>
                <w:szCs w:val="24"/>
                <w:lang w:val="en-GB"/>
              </w:rPr>
              <w:t>2025-26</w:t>
            </w:r>
          </w:p>
          <w:p w14:paraId="5B6EAE0D" w14:textId="77777777" w:rsidR="00B22004" w:rsidRPr="00D948C1" w:rsidRDefault="00B22004" w:rsidP="0083221B">
            <w:pPr>
              <w:pStyle w:val="BodyTextIndent"/>
              <w:ind w:left="0"/>
              <w:jc w:val="right"/>
              <w:rPr>
                <w:color w:val="FFFFFF" w:themeColor="background1"/>
                <w:szCs w:val="24"/>
                <w:lang w:val="en-GB"/>
              </w:rPr>
            </w:pPr>
            <w:r w:rsidRPr="00D948C1">
              <w:rPr>
                <w:color w:val="FFFFFF" w:themeColor="background1"/>
                <w:szCs w:val="24"/>
                <w:lang w:val="en-GB"/>
              </w:rPr>
              <w:t>£000</w:t>
            </w:r>
          </w:p>
        </w:tc>
        <w:tc>
          <w:tcPr>
            <w:tcW w:w="1606" w:type="dxa"/>
            <w:shd w:val="clear" w:color="auto" w:fill="BD2716"/>
            <w:vAlign w:val="center"/>
          </w:tcPr>
          <w:p w14:paraId="5CB5EFEE" w14:textId="5A3DBE96" w:rsidR="00341907" w:rsidRPr="00D948C1" w:rsidRDefault="001A42DD" w:rsidP="00341907">
            <w:pPr>
              <w:pStyle w:val="BodyTextIndent"/>
              <w:ind w:left="0"/>
              <w:jc w:val="right"/>
              <w:rPr>
                <w:color w:val="FFFFFF" w:themeColor="background1"/>
                <w:szCs w:val="24"/>
                <w:lang w:val="en-GB"/>
              </w:rPr>
            </w:pPr>
            <w:r>
              <w:rPr>
                <w:color w:val="FFFFFF" w:themeColor="background1"/>
                <w:szCs w:val="24"/>
                <w:lang w:val="en-GB"/>
              </w:rPr>
              <w:t>2024-25</w:t>
            </w:r>
          </w:p>
          <w:p w14:paraId="734F89AE" w14:textId="4AC2739F" w:rsidR="00B22004" w:rsidRPr="00D948C1" w:rsidRDefault="00341907" w:rsidP="00341907">
            <w:pPr>
              <w:pStyle w:val="BodyTextIndent"/>
              <w:ind w:left="0"/>
              <w:jc w:val="right"/>
              <w:rPr>
                <w:color w:val="FFFFFF" w:themeColor="background1"/>
                <w:szCs w:val="24"/>
                <w:lang w:val="en-GB"/>
              </w:rPr>
            </w:pPr>
            <w:r w:rsidRPr="00D948C1">
              <w:rPr>
                <w:color w:val="FFFFFF" w:themeColor="background1"/>
                <w:szCs w:val="24"/>
                <w:lang w:val="en-GB"/>
              </w:rPr>
              <w:t>£000</w:t>
            </w:r>
          </w:p>
        </w:tc>
      </w:tr>
      <w:tr w:rsidR="00B22004" w:rsidRPr="00347B4C" w14:paraId="7C949D20" w14:textId="77777777" w:rsidTr="0083221B">
        <w:trPr>
          <w:trHeight w:hRule="exact" w:val="278"/>
        </w:trPr>
        <w:tc>
          <w:tcPr>
            <w:tcW w:w="4208" w:type="dxa"/>
          </w:tcPr>
          <w:p w14:paraId="3DFA495B" w14:textId="67328AA8" w:rsidR="00B22004" w:rsidRPr="00D948C1" w:rsidRDefault="00341907" w:rsidP="0083221B">
            <w:pPr>
              <w:pStyle w:val="Footer"/>
              <w:tabs>
                <w:tab w:val="clear" w:pos="4153"/>
                <w:tab w:val="clear" w:pos="8306"/>
                <w:tab w:val="left" w:pos="270"/>
              </w:tabs>
              <w:rPr>
                <w:szCs w:val="24"/>
              </w:rPr>
            </w:pPr>
            <w:r>
              <w:rPr>
                <w:szCs w:val="24"/>
              </w:rPr>
              <w:t>Wildfire Suppression Grant</w:t>
            </w:r>
          </w:p>
        </w:tc>
        <w:tc>
          <w:tcPr>
            <w:tcW w:w="1654" w:type="dxa"/>
            <w:vAlign w:val="center"/>
          </w:tcPr>
          <w:p w14:paraId="45DCFD54" w14:textId="6ECA4A06" w:rsidR="00B22004" w:rsidRPr="005A4E16" w:rsidRDefault="00D455BE" w:rsidP="0083221B">
            <w:pPr>
              <w:pStyle w:val="Footer"/>
              <w:tabs>
                <w:tab w:val="clear" w:pos="4153"/>
                <w:tab w:val="clear" w:pos="8306"/>
                <w:tab w:val="decimal" w:pos="979"/>
              </w:tabs>
              <w:jc w:val="right"/>
              <w:rPr>
                <w:szCs w:val="24"/>
              </w:rPr>
            </w:pPr>
            <w:r>
              <w:rPr>
                <w:szCs w:val="24"/>
              </w:rPr>
              <w:t>440</w:t>
            </w:r>
          </w:p>
        </w:tc>
        <w:tc>
          <w:tcPr>
            <w:tcW w:w="1606" w:type="dxa"/>
            <w:vAlign w:val="center"/>
          </w:tcPr>
          <w:p w14:paraId="49EF4E1D" w14:textId="7B28A1C2" w:rsidR="00B22004" w:rsidRPr="00347B4C" w:rsidRDefault="005350DB" w:rsidP="0083221B">
            <w:pPr>
              <w:pStyle w:val="Footer"/>
              <w:tabs>
                <w:tab w:val="clear" w:pos="4153"/>
                <w:tab w:val="clear" w:pos="8306"/>
                <w:tab w:val="decimal" w:pos="979"/>
              </w:tabs>
              <w:jc w:val="right"/>
              <w:rPr>
                <w:szCs w:val="24"/>
              </w:rPr>
            </w:pPr>
            <w:r>
              <w:rPr>
                <w:szCs w:val="24"/>
              </w:rPr>
              <w:t>-</w:t>
            </w:r>
          </w:p>
        </w:tc>
      </w:tr>
      <w:tr w:rsidR="00277960" w:rsidRPr="00347B4C" w14:paraId="648C5169" w14:textId="77777777" w:rsidTr="0083221B">
        <w:trPr>
          <w:trHeight w:hRule="exact" w:val="278"/>
        </w:trPr>
        <w:tc>
          <w:tcPr>
            <w:tcW w:w="4208" w:type="dxa"/>
          </w:tcPr>
          <w:p w14:paraId="0E193193" w14:textId="7F70835F" w:rsidR="00277960" w:rsidRDefault="00277960" w:rsidP="00277960">
            <w:pPr>
              <w:pStyle w:val="Footer"/>
              <w:tabs>
                <w:tab w:val="clear" w:pos="4153"/>
                <w:tab w:val="clear" w:pos="8306"/>
                <w:tab w:val="left" w:pos="270"/>
              </w:tabs>
              <w:rPr>
                <w:szCs w:val="24"/>
              </w:rPr>
            </w:pPr>
            <w:r>
              <w:rPr>
                <w:szCs w:val="24"/>
              </w:rPr>
              <w:t>Revenue Support Grant</w:t>
            </w:r>
          </w:p>
        </w:tc>
        <w:tc>
          <w:tcPr>
            <w:tcW w:w="1654" w:type="dxa"/>
            <w:vAlign w:val="center"/>
          </w:tcPr>
          <w:p w14:paraId="778F9716" w14:textId="6186C4C9" w:rsidR="00277960" w:rsidRDefault="00D455BE" w:rsidP="00277960">
            <w:pPr>
              <w:pStyle w:val="Footer"/>
              <w:tabs>
                <w:tab w:val="clear" w:pos="4153"/>
                <w:tab w:val="clear" w:pos="8306"/>
                <w:tab w:val="decimal" w:pos="979"/>
              </w:tabs>
              <w:jc w:val="right"/>
              <w:rPr>
                <w:szCs w:val="24"/>
              </w:rPr>
            </w:pPr>
            <w:r>
              <w:rPr>
                <w:szCs w:val="24"/>
              </w:rPr>
              <w:t>-</w:t>
            </w:r>
          </w:p>
        </w:tc>
        <w:tc>
          <w:tcPr>
            <w:tcW w:w="1606" w:type="dxa"/>
            <w:vAlign w:val="center"/>
          </w:tcPr>
          <w:p w14:paraId="5AA41A28" w14:textId="72A1CFFC" w:rsidR="00277960" w:rsidRDefault="00277960" w:rsidP="00277960">
            <w:pPr>
              <w:pStyle w:val="Footer"/>
              <w:tabs>
                <w:tab w:val="clear" w:pos="4153"/>
                <w:tab w:val="clear" w:pos="8306"/>
                <w:tab w:val="decimal" w:pos="979"/>
              </w:tabs>
              <w:jc w:val="right"/>
              <w:rPr>
                <w:szCs w:val="24"/>
              </w:rPr>
            </w:pPr>
            <w:r>
              <w:rPr>
                <w:szCs w:val="24"/>
              </w:rPr>
              <w:t>4,581</w:t>
            </w:r>
          </w:p>
        </w:tc>
      </w:tr>
      <w:tr w:rsidR="00277960" w:rsidRPr="00347B4C" w14:paraId="207DD50F" w14:textId="77777777" w:rsidTr="0083221B">
        <w:trPr>
          <w:trHeight w:hRule="exact" w:val="278"/>
        </w:trPr>
        <w:tc>
          <w:tcPr>
            <w:tcW w:w="4208" w:type="dxa"/>
          </w:tcPr>
          <w:p w14:paraId="6C5CD8B9" w14:textId="1EF6D249" w:rsidR="00277960" w:rsidRPr="00D948C1" w:rsidRDefault="00277960" w:rsidP="00277960">
            <w:pPr>
              <w:tabs>
                <w:tab w:val="left" w:pos="270"/>
              </w:tabs>
              <w:rPr>
                <w:szCs w:val="24"/>
              </w:rPr>
            </w:pPr>
            <w:r>
              <w:rPr>
                <w:szCs w:val="24"/>
              </w:rPr>
              <w:t>Total</w:t>
            </w:r>
          </w:p>
          <w:p w14:paraId="40F3140A" w14:textId="77777777" w:rsidR="00277960" w:rsidRPr="00D948C1" w:rsidRDefault="00277960" w:rsidP="00277960">
            <w:pPr>
              <w:tabs>
                <w:tab w:val="left" w:pos="270"/>
              </w:tabs>
              <w:rPr>
                <w:szCs w:val="24"/>
              </w:rPr>
            </w:pPr>
          </w:p>
        </w:tc>
        <w:tc>
          <w:tcPr>
            <w:tcW w:w="1654" w:type="dxa"/>
          </w:tcPr>
          <w:p w14:paraId="48548D96" w14:textId="1B1915AD" w:rsidR="00277960" w:rsidRPr="005A4E16" w:rsidRDefault="00D455BE" w:rsidP="00277960">
            <w:pPr>
              <w:pStyle w:val="Footer"/>
              <w:tabs>
                <w:tab w:val="clear" w:pos="4153"/>
                <w:tab w:val="clear" w:pos="8306"/>
                <w:tab w:val="decimal" w:pos="979"/>
              </w:tabs>
              <w:jc w:val="right"/>
              <w:rPr>
                <w:szCs w:val="24"/>
              </w:rPr>
            </w:pPr>
            <w:r>
              <w:rPr>
                <w:szCs w:val="24"/>
              </w:rPr>
              <w:t>440</w:t>
            </w:r>
          </w:p>
        </w:tc>
        <w:tc>
          <w:tcPr>
            <w:tcW w:w="1606" w:type="dxa"/>
          </w:tcPr>
          <w:p w14:paraId="6EC8980B" w14:textId="6BF6B634" w:rsidR="00277960" w:rsidRPr="00347B4C" w:rsidRDefault="00277960" w:rsidP="00277960">
            <w:pPr>
              <w:pStyle w:val="Footer"/>
              <w:tabs>
                <w:tab w:val="clear" w:pos="4153"/>
                <w:tab w:val="clear" w:pos="8306"/>
                <w:tab w:val="decimal" w:pos="979"/>
              </w:tabs>
              <w:jc w:val="right"/>
              <w:rPr>
                <w:szCs w:val="24"/>
              </w:rPr>
            </w:pPr>
            <w:r>
              <w:rPr>
                <w:szCs w:val="24"/>
              </w:rPr>
              <w:t>4,581</w:t>
            </w:r>
          </w:p>
        </w:tc>
      </w:tr>
    </w:tbl>
    <w:p w14:paraId="0AF5D7AA" w14:textId="5591FF69" w:rsidR="00307925" w:rsidRPr="00B649F5" w:rsidRDefault="00307925" w:rsidP="00B649F5">
      <w:pPr>
        <w:pStyle w:val="BodyTextIndent2"/>
        <w:ind w:firstLine="0"/>
        <w:rPr>
          <w:szCs w:val="24"/>
        </w:rPr>
      </w:pPr>
      <w:r w:rsidRPr="00B649F5">
        <w:rPr>
          <w:szCs w:val="24"/>
        </w:rPr>
        <w:tab/>
      </w:r>
    </w:p>
    <w:p w14:paraId="43B16347" w14:textId="10E3F5A6" w:rsidR="00D90216" w:rsidRPr="00BE1C0D" w:rsidRDefault="001C592E" w:rsidP="00617696">
      <w:pPr>
        <w:pStyle w:val="Heading2"/>
        <w:jc w:val="left"/>
        <w:rPr>
          <w:sz w:val="24"/>
          <w:szCs w:val="24"/>
        </w:rPr>
      </w:pPr>
      <w:bookmarkStart w:id="45" w:name="_13_Provisions"/>
      <w:bookmarkStart w:id="46" w:name="_Toc233717532"/>
      <w:bookmarkEnd w:id="45"/>
      <w:r w:rsidRPr="00D948C1">
        <w:rPr>
          <w:sz w:val="24"/>
          <w:szCs w:val="24"/>
        </w:rPr>
        <w:t>1</w:t>
      </w:r>
      <w:r w:rsidR="00DF5489">
        <w:rPr>
          <w:sz w:val="24"/>
          <w:szCs w:val="24"/>
        </w:rPr>
        <w:t>3</w:t>
      </w:r>
      <w:r w:rsidR="00D90216">
        <w:tab/>
      </w:r>
      <w:bookmarkStart w:id="47" w:name="N12"/>
      <w:bookmarkEnd w:id="47"/>
      <w:r w:rsidR="00D90216" w:rsidRPr="00BE1C0D">
        <w:rPr>
          <w:sz w:val="24"/>
          <w:szCs w:val="24"/>
        </w:rPr>
        <w:t>Provisions</w:t>
      </w:r>
      <w:bookmarkEnd w:id="46"/>
    </w:p>
    <w:p w14:paraId="073A796E" w14:textId="77777777" w:rsidR="00D90216" w:rsidRPr="00BE1C0D" w:rsidRDefault="00D90216" w:rsidP="00617696">
      <w:pPr>
        <w:ind w:left="720"/>
      </w:pPr>
    </w:p>
    <w:p w14:paraId="6951343F" w14:textId="77777777" w:rsidR="00D90216" w:rsidRPr="00BE1C0D" w:rsidRDefault="00D90216" w:rsidP="00617696">
      <w:pPr>
        <w:pStyle w:val="BodyTextIndent2"/>
        <w:ind w:firstLine="0"/>
      </w:pPr>
      <w:r w:rsidRPr="00BE1C0D">
        <w:t>The Authority has the power to establish provisions for any liabilities of uncertain timing or amount that have been incurred.</w:t>
      </w:r>
    </w:p>
    <w:p w14:paraId="6B4E3312" w14:textId="77777777" w:rsidR="00D90216" w:rsidRPr="00BE1C0D" w:rsidRDefault="00D90216" w:rsidP="00617696">
      <w:pPr>
        <w:ind w:left="720"/>
        <w:rPr>
          <w:b/>
        </w:rPr>
      </w:pPr>
    </w:p>
    <w:p w14:paraId="320A1FBE" w14:textId="0409FC9C" w:rsidR="00D90216" w:rsidRPr="00BE1C0D" w:rsidRDefault="00D90216" w:rsidP="00617696">
      <w:pPr>
        <w:pStyle w:val="BodyTextIndent2"/>
        <w:ind w:firstLine="0"/>
      </w:pPr>
      <w:r w:rsidRPr="00BE1C0D">
        <w:t>The Authority has established an Insurance Liabilities Provision to meet liabilities, the precise cost of which is uncertain, but which are not reimbursable from insurers as they fall below individual excess clauses and the annual self-insured limits.</w:t>
      </w:r>
    </w:p>
    <w:p w14:paraId="54A615F3" w14:textId="77777777" w:rsidR="007B03D1" w:rsidRPr="00BE1C0D" w:rsidRDefault="007B03D1" w:rsidP="00617696">
      <w:pPr>
        <w:pStyle w:val="BodyTextIndent2"/>
        <w:ind w:left="0" w:firstLine="0"/>
        <w:rPr>
          <w:szCs w:val="24"/>
        </w:rPr>
      </w:pPr>
    </w:p>
    <w:p w14:paraId="02A4F7DA" w14:textId="77777777" w:rsidR="007368F0" w:rsidRDefault="007368F0" w:rsidP="00617696">
      <w:pPr>
        <w:pStyle w:val="BodyTextIndent2"/>
        <w:ind w:firstLine="0"/>
      </w:pPr>
      <w:r w:rsidRPr="00BE1C0D">
        <w:t xml:space="preserve">The Authority </w:t>
      </w:r>
      <w:r w:rsidR="00063302" w:rsidRPr="00BE1C0D">
        <w:t>has also recognised a provision in relation to its share of the Business Rates Collection Fund outstanding appeals, which is calculated and provided by billing authorities based on their assumptions of outstanding appeal success rates</w:t>
      </w:r>
      <w:r w:rsidR="007E0728" w:rsidRPr="00BE1C0D">
        <w:t>.</w:t>
      </w:r>
    </w:p>
    <w:p w14:paraId="7AAB8EB5" w14:textId="77777777" w:rsidR="00A70C45" w:rsidRDefault="00A70C45" w:rsidP="00617696">
      <w:pPr>
        <w:pStyle w:val="BodyTextIndent2"/>
        <w:ind w:firstLine="0"/>
      </w:pPr>
    </w:p>
    <w:p w14:paraId="5890E232" w14:textId="6279A04B" w:rsidR="00A70C45" w:rsidRPr="00BE1C0D" w:rsidRDefault="0034005F" w:rsidP="00617696">
      <w:pPr>
        <w:pStyle w:val="BodyTextIndent2"/>
        <w:ind w:firstLine="0"/>
      </w:pPr>
      <w:r>
        <w:t xml:space="preserve">The Authority has recognised two new </w:t>
      </w:r>
      <w:r w:rsidR="00D77385">
        <w:t>provisions during the financial year</w:t>
      </w:r>
      <w:r w:rsidR="00E61F7C">
        <w:t xml:space="preserve"> regarding a pension injury claim and</w:t>
      </w:r>
      <w:r w:rsidR="008E26F9">
        <w:t xml:space="preserve"> </w:t>
      </w:r>
      <w:r w:rsidR="00E728EF">
        <w:t xml:space="preserve">pension remedy </w:t>
      </w:r>
      <w:r w:rsidR="008E26F9">
        <w:t>costs.</w:t>
      </w:r>
    </w:p>
    <w:p w14:paraId="0DC5213E" w14:textId="77777777" w:rsidR="00D90216" w:rsidRPr="005C21DE" w:rsidRDefault="00D90216" w:rsidP="00617696">
      <w:pPr>
        <w:ind w:left="720"/>
        <w:rPr>
          <w:highlight w:val="green"/>
        </w:rPr>
      </w:pPr>
    </w:p>
    <w:p w14:paraId="5E990018" w14:textId="77777777" w:rsidR="00D90216" w:rsidRDefault="00D90216" w:rsidP="00617696">
      <w:pPr>
        <w:pStyle w:val="BodyTextIndent"/>
        <w:rPr>
          <w:lang w:val="en-GB"/>
        </w:rPr>
      </w:pPr>
      <w:r w:rsidRPr="00FF0AB6">
        <w:rPr>
          <w:lang w:val="en-GB"/>
        </w:rPr>
        <w:t>The balances set aside, together with the movement on the provisions, is shown below:</w:t>
      </w:r>
    </w:p>
    <w:p w14:paraId="276E4FF0" w14:textId="77777777" w:rsidR="008E26F9" w:rsidRPr="00D948C1" w:rsidRDefault="008E26F9" w:rsidP="00617696">
      <w:pPr>
        <w:pStyle w:val="BodyTextIndent"/>
        <w:rPr>
          <w:lang w:val="en-GB"/>
        </w:rPr>
      </w:pPr>
    </w:p>
    <w:tbl>
      <w:tblPr>
        <w:tblW w:w="1018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698"/>
        <w:gridCol w:w="1879"/>
        <w:gridCol w:w="1701"/>
        <w:gridCol w:w="1513"/>
        <w:gridCol w:w="1698"/>
      </w:tblGrid>
      <w:tr w:rsidR="00A05243" w:rsidRPr="00D948C1" w14:paraId="44407B84" w14:textId="77777777" w:rsidTr="008E26F9">
        <w:trPr>
          <w:trHeight w:hRule="exact" w:val="855"/>
          <w:tblHeader/>
        </w:trPr>
        <w:tc>
          <w:tcPr>
            <w:tcW w:w="1697" w:type="dxa"/>
            <w:shd w:val="clear" w:color="auto" w:fill="BD2716"/>
            <w:vAlign w:val="center"/>
          </w:tcPr>
          <w:p w14:paraId="7A1B82EB" w14:textId="62C34B3E" w:rsidR="00A05243" w:rsidRPr="00D948C1" w:rsidRDefault="001A42DD" w:rsidP="008E26F9">
            <w:pPr>
              <w:spacing w:after="120"/>
              <w:rPr>
                <w:color w:val="FFFFFF" w:themeColor="background1"/>
                <w:szCs w:val="24"/>
              </w:rPr>
            </w:pPr>
            <w:r>
              <w:rPr>
                <w:color w:val="FFFFFF" w:themeColor="background1"/>
                <w:szCs w:val="24"/>
              </w:rPr>
              <w:t>2025-26</w:t>
            </w:r>
          </w:p>
        </w:tc>
        <w:tc>
          <w:tcPr>
            <w:tcW w:w="1698" w:type="dxa"/>
            <w:shd w:val="clear" w:color="auto" w:fill="BD2716"/>
            <w:vAlign w:val="center"/>
          </w:tcPr>
          <w:p w14:paraId="0C7A6789" w14:textId="1939B6A2" w:rsidR="00A05243" w:rsidRPr="00D948C1" w:rsidRDefault="00A05243" w:rsidP="00313203">
            <w:pPr>
              <w:pStyle w:val="BodyTextIndent"/>
              <w:ind w:left="0"/>
              <w:jc w:val="center"/>
              <w:rPr>
                <w:color w:val="FFFFFF" w:themeColor="background1"/>
                <w:szCs w:val="24"/>
              </w:rPr>
            </w:pPr>
            <w:r>
              <w:rPr>
                <w:color w:val="FFFFFF" w:themeColor="background1"/>
                <w:szCs w:val="24"/>
              </w:rPr>
              <w:t>Insurance Liabilities</w:t>
            </w:r>
          </w:p>
          <w:p w14:paraId="4EE2B77A" w14:textId="77777777" w:rsidR="00A05243" w:rsidRPr="00D948C1" w:rsidRDefault="00A05243" w:rsidP="00313203">
            <w:pPr>
              <w:pStyle w:val="BodyTextIndent"/>
              <w:ind w:left="0"/>
              <w:jc w:val="center"/>
              <w:rPr>
                <w:color w:val="FFFFFF" w:themeColor="background1"/>
                <w:szCs w:val="24"/>
                <w:lang w:val="en-GB"/>
              </w:rPr>
            </w:pPr>
            <w:r w:rsidRPr="00D948C1">
              <w:rPr>
                <w:color w:val="FFFFFF" w:themeColor="background1"/>
                <w:szCs w:val="24"/>
              </w:rPr>
              <w:t>£000</w:t>
            </w:r>
          </w:p>
        </w:tc>
        <w:tc>
          <w:tcPr>
            <w:tcW w:w="1879" w:type="dxa"/>
            <w:shd w:val="clear" w:color="auto" w:fill="BD2716"/>
            <w:vAlign w:val="center"/>
          </w:tcPr>
          <w:p w14:paraId="62F8C177" w14:textId="605DA90A" w:rsidR="00A05243" w:rsidRPr="00D948C1" w:rsidRDefault="00A05243" w:rsidP="00313203">
            <w:pPr>
              <w:pStyle w:val="BodyTextIndent"/>
              <w:ind w:left="0"/>
              <w:jc w:val="center"/>
              <w:rPr>
                <w:color w:val="FFFFFF" w:themeColor="background1"/>
                <w:szCs w:val="24"/>
              </w:rPr>
            </w:pPr>
            <w:r>
              <w:rPr>
                <w:color w:val="FFFFFF" w:themeColor="background1"/>
                <w:szCs w:val="24"/>
              </w:rPr>
              <w:t>Business Rates Appeals</w:t>
            </w:r>
          </w:p>
          <w:p w14:paraId="7C22E026" w14:textId="77777777" w:rsidR="00A05243" w:rsidRPr="00D948C1" w:rsidRDefault="00A05243" w:rsidP="00313203">
            <w:pPr>
              <w:pStyle w:val="BodyTextIndent"/>
              <w:ind w:left="0"/>
              <w:jc w:val="center"/>
              <w:rPr>
                <w:color w:val="FFFFFF" w:themeColor="background1"/>
                <w:szCs w:val="24"/>
                <w:lang w:val="en-GB"/>
              </w:rPr>
            </w:pPr>
            <w:r w:rsidRPr="00D948C1">
              <w:rPr>
                <w:color w:val="FFFFFF" w:themeColor="background1"/>
                <w:szCs w:val="24"/>
              </w:rPr>
              <w:t>£000</w:t>
            </w:r>
          </w:p>
        </w:tc>
        <w:tc>
          <w:tcPr>
            <w:tcW w:w="1701" w:type="dxa"/>
            <w:shd w:val="clear" w:color="auto" w:fill="BD2716"/>
          </w:tcPr>
          <w:p w14:paraId="3B3EA6A0" w14:textId="64DF8992" w:rsidR="00C72DF3" w:rsidRDefault="00C72DF3" w:rsidP="003E675E">
            <w:pPr>
              <w:pStyle w:val="BodyTextIndent"/>
              <w:ind w:left="0"/>
              <w:jc w:val="center"/>
              <w:rPr>
                <w:color w:val="FFFFFF" w:themeColor="background1"/>
                <w:szCs w:val="24"/>
              </w:rPr>
            </w:pPr>
            <w:r>
              <w:rPr>
                <w:color w:val="FFFFFF" w:themeColor="background1"/>
                <w:szCs w:val="24"/>
              </w:rPr>
              <w:t>Pension Injury</w:t>
            </w:r>
          </w:p>
          <w:p w14:paraId="01216FD3" w14:textId="2BB43414" w:rsidR="00A05243" w:rsidRDefault="00C72DF3" w:rsidP="003E675E">
            <w:pPr>
              <w:pStyle w:val="BodyTextIndent"/>
              <w:ind w:left="0"/>
              <w:jc w:val="center"/>
              <w:rPr>
                <w:color w:val="FFFFFF" w:themeColor="background1"/>
                <w:szCs w:val="24"/>
              </w:rPr>
            </w:pPr>
            <w:r>
              <w:rPr>
                <w:color w:val="FFFFFF" w:themeColor="background1"/>
                <w:szCs w:val="24"/>
              </w:rPr>
              <w:t>£000</w:t>
            </w:r>
          </w:p>
        </w:tc>
        <w:tc>
          <w:tcPr>
            <w:tcW w:w="1513" w:type="dxa"/>
            <w:shd w:val="clear" w:color="auto" w:fill="BD2716"/>
          </w:tcPr>
          <w:p w14:paraId="47178AAA" w14:textId="77777777" w:rsidR="00A05243" w:rsidRDefault="00313203" w:rsidP="003E675E">
            <w:pPr>
              <w:pStyle w:val="BodyTextIndent"/>
              <w:ind w:left="0"/>
              <w:jc w:val="center"/>
              <w:rPr>
                <w:color w:val="FFFFFF" w:themeColor="background1"/>
                <w:szCs w:val="24"/>
              </w:rPr>
            </w:pPr>
            <w:r>
              <w:rPr>
                <w:color w:val="FFFFFF" w:themeColor="background1"/>
                <w:szCs w:val="24"/>
              </w:rPr>
              <w:t>Pension Remedy</w:t>
            </w:r>
          </w:p>
          <w:p w14:paraId="293546CD" w14:textId="0A406E99" w:rsidR="00313203" w:rsidRDefault="00313203" w:rsidP="003E675E">
            <w:pPr>
              <w:pStyle w:val="BodyTextIndent"/>
              <w:ind w:left="0"/>
              <w:jc w:val="center"/>
              <w:rPr>
                <w:color w:val="FFFFFF" w:themeColor="background1"/>
                <w:szCs w:val="24"/>
              </w:rPr>
            </w:pPr>
            <w:r>
              <w:rPr>
                <w:color w:val="FFFFFF" w:themeColor="background1"/>
                <w:szCs w:val="24"/>
              </w:rPr>
              <w:t>£000</w:t>
            </w:r>
          </w:p>
        </w:tc>
        <w:tc>
          <w:tcPr>
            <w:tcW w:w="1698" w:type="dxa"/>
            <w:shd w:val="clear" w:color="auto" w:fill="BD2716"/>
            <w:vAlign w:val="center"/>
          </w:tcPr>
          <w:p w14:paraId="7108FE08" w14:textId="032E7B1A" w:rsidR="00A05243" w:rsidRPr="00D948C1" w:rsidRDefault="00A05243" w:rsidP="00313203">
            <w:pPr>
              <w:pStyle w:val="BodyTextIndent"/>
              <w:ind w:left="0"/>
              <w:jc w:val="center"/>
              <w:rPr>
                <w:color w:val="FFFFFF" w:themeColor="background1"/>
                <w:szCs w:val="24"/>
              </w:rPr>
            </w:pPr>
            <w:r>
              <w:rPr>
                <w:color w:val="FFFFFF" w:themeColor="background1"/>
                <w:szCs w:val="24"/>
              </w:rPr>
              <w:t>Total</w:t>
            </w:r>
          </w:p>
          <w:p w14:paraId="01067212" w14:textId="77777777" w:rsidR="00A05243" w:rsidRPr="00D948C1" w:rsidRDefault="00A05243" w:rsidP="00313203">
            <w:pPr>
              <w:pStyle w:val="BodyTextIndent"/>
              <w:ind w:left="0"/>
              <w:jc w:val="center"/>
              <w:rPr>
                <w:color w:val="FFFFFF" w:themeColor="background1"/>
                <w:szCs w:val="24"/>
                <w:lang w:val="en-GB"/>
              </w:rPr>
            </w:pPr>
            <w:r w:rsidRPr="00D948C1">
              <w:rPr>
                <w:color w:val="FFFFFF" w:themeColor="background1"/>
                <w:szCs w:val="24"/>
              </w:rPr>
              <w:t>£000</w:t>
            </w:r>
          </w:p>
        </w:tc>
      </w:tr>
      <w:tr w:rsidR="00A05243" w:rsidRPr="00D948C1" w14:paraId="146E255B" w14:textId="77777777" w:rsidTr="001C62E5">
        <w:trPr>
          <w:trHeight w:val="290"/>
        </w:trPr>
        <w:tc>
          <w:tcPr>
            <w:tcW w:w="1697" w:type="dxa"/>
            <w:vAlign w:val="center"/>
          </w:tcPr>
          <w:p w14:paraId="78CF5A28" w14:textId="77777777" w:rsidR="00A05243" w:rsidRPr="00D948C1" w:rsidRDefault="00A05243" w:rsidP="006F6E6F">
            <w:pPr>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698" w:type="dxa"/>
            <w:vAlign w:val="center"/>
          </w:tcPr>
          <w:p w14:paraId="45C29D41" w14:textId="77777777" w:rsidR="00A05243" w:rsidRPr="005A4E16" w:rsidRDefault="00A05243" w:rsidP="006F6E6F">
            <w:pPr>
              <w:tabs>
                <w:tab w:val="decimal" w:pos="900"/>
              </w:tabs>
              <w:jc w:val="right"/>
              <w:rPr>
                <w:szCs w:val="24"/>
              </w:rPr>
            </w:pPr>
            <w:r>
              <w:rPr>
                <w:szCs w:val="24"/>
              </w:rPr>
              <w:t>771</w:t>
            </w:r>
          </w:p>
        </w:tc>
        <w:tc>
          <w:tcPr>
            <w:tcW w:w="1879" w:type="dxa"/>
            <w:vAlign w:val="center"/>
          </w:tcPr>
          <w:p w14:paraId="60EF70C8" w14:textId="77777777" w:rsidR="00A05243" w:rsidRPr="005A4E16" w:rsidRDefault="00A05243" w:rsidP="006F6E6F">
            <w:pPr>
              <w:tabs>
                <w:tab w:val="decimal" w:pos="784"/>
              </w:tabs>
              <w:jc w:val="right"/>
              <w:rPr>
                <w:szCs w:val="24"/>
              </w:rPr>
            </w:pPr>
            <w:r>
              <w:rPr>
                <w:szCs w:val="24"/>
              </w:rPr>
              <w:t>476</w:t>
            </w:r>
          </w:p>
        </w:tc>
        <w:tc>
          <w:tcPr>
            <w:tcW w:w="1701" w:type="dxa"/>
            <w:vAlign w:val="center"/>
          </w:tcPr>
          <w:p w14:paraId="3169CD46" w14:textId="37927044" w:rsidR="00A05243" w:rsidRDefault="009529E0" w:rsidP="001C62E5">
            <w:pPr>
              <w:tabs>
                <w:tab w:val="decimal" w:pos="784"/>
              </w:tabs>
              <w:jc w:val="right"/>
              <w:rPr>
                <w:szCs w:val="24"/>
              </w:rPr>
            </w:pPr>
            <w:r>
              <w:rPr>
                <w:szCs w:val="24"/>
              </w:rPr>
              <w:t>-</w:t>
            </w:r>
          </w:p>
        </w:tc>
        <w:tc>
          <w:tcPr>
            <w:tcW w:w="1513" w:type="dxa"/>
            <w:vAlign w:val="center"/>
          </w:tcPr>
          <w:p w14:paraId="234B3824" w14:textId="39ABDE26" w:rsidR="00A05243" w:rsidRDefault="00CE704E" w:rsidP="001C62E5">
            <w:pPr>
              <w:tabs>
                <w:tab w:val="decimal" w:pos="784"/>
              </w:tabs>
              <w:jc w:val="right"/>
              <w:rPr>
                <w:szCs w:val="24"/>
              </w:rPr>
            </w:pPr>
            <w:r>
              <w:rPr>
                <w:szCs w:val="24"/>
              </w:rPr>
              <w:t>-</w:t>
            </w:r>
          </w:p>
        </w:tc>
        <w:tc>
          <w:tcPr>
            <w:tcW w:w="1698" w:type="dxa"/>
            <w:vAlign w:val="center"/>
          </w:tcPr>
          <w:p w14:paraId="46D3D072" w14:textId="6DE5C88A" w:rsidR="00A05243" w:rsidRPr="005A4E16" w:rsidRDefault="00A05243" w:rsidP="006F6E6F">
            <w:pPr>
              <w:tabs>
                <w:tab w:val="decimal" w:pos="784"/>
              </w:tabs>
              <w:jc w:val="right"/>
              <w:rPr>
                <w:szCs w:val="24"/>
              </w:rPr>
            </w:pPr>
            <w:r>
              <w:rPr>
                <w:szCs w:val="24"/>
              </w:rPr>
              <w:t>1,246</w:t>
            </w:r>
          </w:p>
        </w:tc>
      </w:tr>
      <w:tr w:rsidR="00A05243" w:rsidRPr="00D948C1" w14:paraId="6ECB38B7" w14:textId="77777777" w:rsidTr="001C62E5">
        <w:trPr>
          <w:trHeight w:val="290"/>
        </w:trPr>
        <w:tc>
          <w:tcPr>
            <w:tcW w:w="1697" w:type="dxa"/>
            <w:vAlign w:val="center"/>
          </w:tcPr>
          <w:p w14:paraId="609BD0F9" w14:textId="77777777" w:rsidR="00A05243" w:rsidRPr="00D948C1" w:rsidRDefault="00A05243" w:rsidP="006F6E6F">
            <w:pPr>
              <w:rPr>
                <w:szCs w:val="24"/>
              </w:rPr>
            </w:pPr>
            <w:r w:rsidRPr="00D948C1">
              <w:rPr>
                <w:szCs w:val="24"/>
              </w:rPr>
              <w:t>Amounts utilised</w:t>
            </w:r>
          </w:p>
        </w:tc>
        <w:tc>
          <w:tcPr>
            <w:tcW w:w="1698" w:type="dxa"/>
            <w:vAlign w:val="center"/>
          </w:tcPr>
          <w:p w14:paraId="54ACD425" w14:textId="77777777" w:rsidR="00A05243" w:rsidRPr="005A4E16" w:rsidRDefault="00A05243" w:rsidP="006F6E6F">
            <w:pPr>
              <w:tabs>
                <w:tab w:val="decimal" w:pos="900"/>
              </w:tabs>
              <w:jc w:val="right"/>
              <w:rPr>
                <w:szCs w:val="24"/>
              </w:rPr>
            </w:pPr>
            <w:r>
              <w:rPr>
                <w:szCs w:val="24"/>
              </w:rPr>
              <w:t>(284)</w:t>
            </w:r>
          </w:p>
        </w:tc>
        <w:tc>
          <w:tcPr>
            <w:tcW w:w="1879" w:type="dxa"/>
            <w:vAlign w:val="center"/>
          </w:tcPr>
          <w:p w14:paraId="6E95A2D2" w14:textId="77777777" w:rsidR="00A05243" w:rsidRPr="005A4E16" w:rsidRDefault="00A05243" w:rsidP="006F6E6F">
            <w:pPr>
              <w:tabs>
                <w:tab w:val="decimal" w:pos="784"/>
              </w:tabs>
              <w:jc w:val="right"/>
              <w:rPr>
                <w:szCs w:val="24"/>
              </w:rPr>
            </w:pPr>
            <w:r>
              <w:rPr>
                <w:szCs w:val="24"/>
              </w:rPr>
              <w:t>-</w:t>
            </w:r>
          </w:p>
        </w:tc>
        <w:tc>
          <w:tcPr>
            <w:tcW w:w="1701" w:type="dxa"/>
            <w:vAlign w:val="center"/>
          </w:tcPr>
          <w:p w14:paraId="5DA7FDDE" w14:textId="3C515C7B" w:rsidR="00A05243" w:rsidRDefault="005768AB" w:rsidP="001C62E5">
            <w:pPr>
              <w:tabs>
                <w:tab w:val="decimal" w:pos="784"/>
              </w:tabs>
              <w:jc w:val="right"/>
              <w:rPr>
                <w:szCs w:val="24"/>
              </w:rPr>
            </w:pPr>
            <w:r>
              <w:rPr>
                <w:szCs w:val="24"/>
              </w:rPr>
              <w:t>-</w:t>
            </w:r>
          </w:p>
        </w:tc>
        <w:tc>
          <w:tcPr>
            <w:tcW w:w="1513" w:type="dxa"/>
            <w:vAlign w:val="center"/>
          </w:tcPr>
          <w:p w14:paraId="571F5B34" w14:textId="1072C06F" w:rsidR="00A05243" w:rsidRDefault="005768AB" w:rsidP="001C62E5">
            <w:pPr>
              <w:tabs>
                <w:tab w:val="decimal" w:pos="784"/>
              </w:tabs>
              <w:jc w:val="right"/>
              <w:rPr>
                <w:szCs w:val="24"/>
              </w:rPr>
            </w:pPr>
            <w:r>
              <w:rPr>
                <w:szCs w:val="24"/>
              </w:rPr>
              <w:t>-</w:t>
            </w:r>
          </w:p>
        </w:tc>
        <w:tc>
          <w:tcPr>
            <w:tcW w:w="1698" w:type="dxa"/>
            <w:vAlign w:val="center"/>
          </w:tcPr>
          <w:p w14:paraId="3E8F3920" w14:textId="61D8D990" w:rsidR="00A05243" w:rsidRPr="005A4E16" w:rsidRDefault="00A05243" w:rsidP="006F6E6F">
            <w:pPr>
              <w:tabs>
                <w:tab w:val="decimal" w:pos="784"/>
              </w:tabs>
              <w:jc w:val="right"/>
              <w:rPr>
                <w:szCs w:val="24"/>
              </w:rPr>
            </w:pPr>
            <w:r>
              <w:rPr>
                <w:szCs w:val="24"/>
              </w:rPr>
              <w:t>(284)</w:t>
            </w:r>
          </w:p>
        </w:tc>
      </w:tr>
      <w:tr w:rsidR="00A05243" w:rsidRPr="00D948C1" w14:paraId="0E0F6BFD" w14:textId="77777777" w:rsidTr="001C62E5">
        <w:trPr>
          <w:trHeight w:val="581"/>
        </w:trPr>
        <w:tc>
          <w:tcPr>
            <w:tcW w:w="1697" w:type="dxa"/>
            <w:vAlign w:val="center"/>
          </w:tcPr>
          <w:p w14:paraId="054BAE35" w14:textId="77777777" w:rsidR="00A05243" w:rsidRPr="00D948C1" w:rsidRDefault="00A05243" w:rsidP="006F6E6F">
            <w:pPr>
              <w:pStyle w:val="Footer"/>
              <w:tabs>
                <w:tab w:val="clear" w:pos="4153"/>
                <w:tab w:val="clear" w:pos="8306"/>
              </w:tabs>
              <w:rPr>
                <w:szCs w:val="24"/>
              </w:rPr>
            </w:pPr>
            <w:r w:rsidRPr="00D948C1">
              <w:rPr>
                <w:szCs w:val="24"/>
              </w:rPr>
              <w:t>Unused amounts reversed</w:t>
            </w:r>
          </w:p>
        </w:tc>
        <w:tc>
          <w:tcPr>
            <w:tcW w:w="1698" w:type="dxa"/>
            <w:vAlign w:val="center"/>
          </w:tcPr>
          <w:p w14:paraId="4366E61E" w14:textId="77777777" w:rsidR="00A05243" w:rsidRPr="005A4E16" w:rsidRDefault="00A05243" w:rsidP="006F6E6F">
            <w:pPr>
              <w:tabs>
                <w:tab w:val="decimal" w:pos="900"/>
              </w:tabs>
              <w:jc w:val="right"/>
              <w:rPr>
                <w:szCs w:val="24"/>
              </w:rPr>
            </w:pPr>
            <w:r>
              <w:rPr>
                <w:szCs w:val="24"/>
              </w:rPr>
              <w:t>(147)</w:t>
            </w:r>
          </w:p>
        </w:tc>
        <w:tc>
          <w:tcPr>
            <w:tcW w:w="1879" w:type="dxa"/>
            <w:vAlign w:val="center"/>
          </w:tcPr>
          <w:p w14:paraId="03663815" w14:textId="77777777" w:rsidR="00A05243" w:rsidRPr="005A4E16" w:rsidRDefault="00A05243" w:rsidP="006F6E6F">
            <w:pPr>
              <w:tabs>
                <w:tab w:val="decimal" w:pos="784"/>
              </w:tabs>
              <w:jc w:val="right"/>
              <w:rPr>
                <w:szCs w:val="24"/>
              </w:rPr>
            </w:pPr>
            <w:r>
              <w:rPr>
                <w:szCs w:val="24"/>
              </w:rPr>
              <w:t>(115)</w:t>
            </w:r>
          </w:p>
        </w:tc>
        <w:tc>
          <w:tcPr>
            <w:tcW w:w="1701" w:type="dxa"/>
            <w:vAlign w:val="center"/>
          </w:tcPr>
          <w:p w14:paraId="7A7C46AE" w14:textId="1855A76A" w:rsidR="00A05243" w:rsidRDefault="005768AB" w:rsidP="001C62E5">
            <w:pPr>
              <w:tabs>
                <w:tab w:val="decimal" w:pos="784"/>
              </w:tabs>
              <w:jc w:val="right"/>
              <w:rPr>
                <w:szCs w:val="24"/>
              </w:rPr>
            </w:pPr>
            <w:r>
              <w:rPr>
                <w:szCs w:val="24"/>
              </w:rPr>
              <w:t>-</w:t>
            </w:r>
          </w:p>
        </w:tc>
        <w:tc>
          <w:tcPr>
            <w:tcW w:w="1513" w:type="dxa"/>
            <w:vAlign w:val="center"/>
          </w:tcPr>
          <w:p w14:paraId="44ECE00F" w14:textId="1D4D2E4E" w:rsidR="00A05243" w:rsidRDefault="005768AB" w:rsidP="001C62E5">
            <w:pPr>
              <w:tabs>
                <w:tab w:val="decimal" w:pos="784"/>
              </w:tabs>
              <w:jc w:val="right"/>
              <w:rPr>
                <w:szCs w:val="24"/>
              </w:rPr>
            </w:pPr>
            <w:r>
              <w:rPr>
                <w:szCs w:val="24"/>
              </w:rPr>
              <w:t>-</w:t>
            </w:r>
          </w:p>
        </w:tc>
        <w:tc>
          <w:tcPr>
            <w:tcW w:w="1698" w:type="dxa"/>
            <w:vAlign w:val="center"/>
          </w:tcPr>
          <w:p w14:paraId="35ADFE74" w14:textId="46159473" w:rsidR="00A05243" w:rsidRPr="005A4E16" w:rsidRDefault="00A05243" w:rsidP="006F6E6F">
            <w:pPr>
              <w:tabs>
                <w:tab w:val="decimal" w:pos="784"/>
              </w:tabs>
              <w:jc w:val="right"/>
              <w:rPr>
                <w:szCs w:val="24"/>
              </w:rPr>
            </w:pPr>
            <w:r>
              <w:rPr>
                <w:szCs w:val="24"/>
              </w:rPr>
              <w:t>(262)</w:t>
            </w:r>
          </w:p>
        </w:tc>
      </w:tr>
      <w:tr w:rsidR="00A05243" w:rsidRPr="00D948C1" w14:paraId="5DE6263B" w14:textId="77777777" w:rsidTr="001C62E5">
        <w:trPr>
          <w:trHeight w:val="581"/>
        </w:trPr>
        <w:tc>
          <w:tcPr>
            <w:tcW w:w="1697" w:type="dxa"/>
            <w:vAlign w:val="center"/>
          </w:tcPr>
          <w:p w14:paraId="00AE8023" w14:textId="77777777" w:rsidR="00A05243" w:rsidRPr="00D948C1" w:rsidRDefault="00A05243" w:rsidP="006F6E6F">
            <w:pPr>
              <w:pStyle w:val="Footer"/>
              <w:tabs>
                <w:tab w:val="clear" w:pos="4153"/>
                <w:tab w:val="clear" w:pos="8306"/>
              </w:tabs>
              <w:rPr>
                <w:szCs w:val="24"/>
              </w:rPr>
            </w:pPr>
            <w:r w:rsidRPr="00D948C1">
              <w:rPr>
                <w:szCs w:val="24"/>
              </w:rPr>
              <w:lastRenderedPageBreak/>
              <w:t>Additional provision</w:t>
            </w:r>
          </w:p>
        </w:tc>
        <w:tc>
          <w:tcPr>
            <w:tcW w:w="1698" w:type="dxa"/>
            <w:vAlign w:val="center"/>
          </w:tcPr>
          <w:p w14:paraId="41766D2C" w14:textId="77777777" w:rsidR="00A05243" w:rsidRPr="005A4E16" w:rsidRDefault="00A05243" w:rsidP="006F6E6F">
            <w:pPr>
              <w:pStyle w:val="Footer"/>
              <w:tabs>
                <w:tab w:val="clear" w:pos="4153"/>
                <w:tab w:val="clear" w:pos="8306"/>
                <w:tab w:val="decimal" w:pos="900"/>
              </w:tabs>
              <w:jc w:val="right"/>
              <w:rPr>
                <w:szCs w:val="24"/>
              </w:rPr>
            </w:pPr>
            <w:r>
              <w:rPr>
                <w:szCs w:val="24"/>
              </w:rPr>
              <w:t>178</w:t>
            </w:r>
          </w:p>
        </w:tc>
        <w:tc>
          <w:tcPr>
            <w:tcW w:w="1879" w:type="dxa"/>
            <w:vAlign w:val="center"/>
          </w:tcPr>
          <w:p w14:paraId="7943B722" w14:textId="77777777" w:rsidR="00A05243" w:rsidRPr="005A4E16" w:rsidRDefault="00A05243" w:rsidP="006F6E6F">
            <w:pPr>
              <w:pStyle w:val="Footer"/>
              <w:tabs>
                <w:tab w:val="clear" w:pos="4153"/>
                <w:tab w:val="clear" w:pos="8306"/>
                <w:tab w:val="decimal" w:pos="784"/>
              </w:tabs>
              <w:jc w:val="right"/>
              <w:rPr>
                <w:szCs w:val="24"/>
              </w:rPr>
            </w:pPr>
            <w:r>
              <w:rPr>
                <w:szCs w:val="24"/>
              </w:rPr>
              <w:t>61</w:t>
            </w:r>
          </w:p>
        </w:tc>
        <w:tc>
          <w:tcPr>
            <w:tcW w:w="1701" w:type="dxa"/>
            <w:vAlign w:val="center"/>
          </w:tcPr>
          <w:p w14:paraId="3DA3202D" w14:textId="72B12658" w:rsidR="00A05243" w:rsidRDefault="005768AB" w:rsidP="001C62E5">
            <w:pPr>
              <w:tabs>
                <w:tab w:val="decimal" w:pos="784"/>
              </w:tabs>
              <w:jc w:val="right"/>
              <w:rPr>
                <w:szCs w:val="24"/>
              </w:rPr>
            </w:pPr>
            <w:r>
              <w:rPr>
                <w:szCs w:val="24"/>
              </w:rPr>
              <w:t>535</w:t>
            </w:r>
          </w:p>
        </w:tc>
        <w:tc>
          <w:tcPr>
            <w:tcW w:w="1513" w:type="dxa"/>
            <w:vAlign w:val="center"/>
          </w:tcPr>
          <w:p w14:paraId="3E08E46D" w14:textId="67D363C0" w:rsidR="00A05243" w:rsidRDefault="005768AB" w:rsidP="001C62E5">
            <w:pPr>
              <w:pStyle w:val="Footer"/>
              <w:tabs>
                <w:tab w:val="clear" w:pos="4153"/>
                <w:tab w:val="clear" w:pos="8306"/>
                <w:tab w:val="decimal" w:pos="784"/>
              </w:tabs>
              <w:jc w:val="right"/>
              <w:rPr>
                <w:szCs w:val="24"/>
              </w:rPr>
            </w:pPr>
            <w:r>
              <w:rPr>
                <w:szCs w:val="24"/>
              </w:rPr>
              <w:t>180</w:t>
            </w:r>
          </w:p>
        </w:tc>
        <w:tc>
          <w:tcPr>
            <w:tcW w:w="1698" w:type="dxa"/>
            <w:vAlign w:val="center"/>
          </w:tcPr>
          <w:p w14:paraId="5C990B32" w14:textId="49E0B2B0" w:rsidR="00A05243" w:rsidRPr="005A4E16" w:rsidRDefault="005131E9" w:rsidP="006F6E6F">
            <w:pPr>
              <w:pStyle w:val="Footer"/>
              <w:tabs>
                <w:tab w:val="clear" w:pos="4153"/>
                <w:tab w:val="clear" w:pos="8306"/>
                <w:tab w:val="decimal" w:pos="784"/>
              </w:tabs>
              <w:jc w:val="right"/>
              <w:rPr>
                <w:szCs w:val="24"/>
              </w:rPr>
            </w:pPr>
            <w:r>
              <w:rPr>
                <w:szCs w:val="24"/>
              </w:rPr>
              <w:t>954</w:t>
            </w:r>
          </w:p>
        </w:tc>
      </w:tr>
      <w:tr w:rsidR="00A05243" w:rsidRPr="00D948C1" w14:paraId="6E5F2827" w14:textId="77777777" w:rsidTr="001C62E5">
        <w:trPr>
          <w:trHeight w:val="581"/>
        </w:trPr>
        <w:tc>
          <w:tcPr>
            <w:tcW w:w="1697" w:type="dxa"/>
            <w:vAlign w:val="center"/>
          </w:tcPr>
          <w:p w14:paraId="61558CE8" w14:textId="77777777" w:rsidR="00A05243" w:rsidRPr="00D948C1" w:rsidRDefault="00A05243" w:rsidP="006F6E6F">
            <w:pPr>
              <w:pStyle w:val="Footer"/>
              <w:tabs>
                <w:tab w:val="clear" w:pos="4153"/>
                <w:tab w:val="clear" w:pos="8306"/>
              </w:tabs>
              <w:rPr>
                <w:szCs w:val="24"/>
              </w:rPr>
            </w:pPr>
            <w:r w:rsidRPr="00D948C1">
              <w:rPr>
                <w:szCs w:val="24"/>
              </w:rPr>
              <w:t xml:space="preserve">Balance </w:t>
            </w:r>
            <w:proofErr w:type="gramStart"/>
            <w:r w:rsidRPr="00D948C1">
              <w:rPr>
                <w:szCs w:val="24"/>
              </w:rPr>
              <w:t>at</w:t>
            </w:r>
            <w:proofErr w:type="gramEnd"/>
            <w:r w:rsidRPr="00D948C1">
              <w:rPr>
                <w:szCs w:val="24"/>
              </w:rPr>
              <w:t xml:space="preserve"> 31 March</w:t>
            </w:r>
          </w:p>
        </w:tc>
        <w:tc>
          <w:tcPr>
            <w:tcW w:w="1698" w:type="dxa"/>
            <w:vAlign w:val="center"/>
          </w:tcPr>
          <w:p w14:paraId="2A0B9A91" w14:textId="77777777" w:rsidR="00A05243" w:rsidRPr="00177AAF" w:rsidRDefault="00A05243" w:rsidP="006F6E6F">
            <w:pPr>
              <w:pStyle w:val="Footer"/>
              <w:tabs>
                <w:tab w:val="clear" w:pos="4153"/>
                <w:tab w:val="clear" w:pos="8306"/>
                <w:tab w:val="decimal" w:pos="900"/>
              </w:tabs>
              <w:jc w:val="right"/>
              <w:rPr>
                <w:szCs w:val="24"/>
              </w:rPr>
            </w:pPr>
            <w:r>
              <w:rPr>
                <w:szCs w:val="24"/>
              </w:rPr>
              <w:t>517</w:t>
            </w:r>
          </w:p>
        </w:tc>
        <w:tc>
          <w:tcPr>
            <w:tcW w:w="1879" w:type="dxa"/>
            <w:vAlign w:val="center"/>
          </w:tcPr>
          <w:p w14:paraId="0F3A6CE0" w14:textId="77777777" w:rsidR="00A05243" w:rsidRPr="00177AAF" w:rsidRDefault="00A05243" w:rsidP="006F6E6F">
            <w:pPr>
              <w:pStyle w:val="Footer"/>
              <w:tabs>
                <w:tab w:val="clear" w:pos="4153"/>
                <w:tab w:val="clear" w:pos="8306"/>
                <w:tab w:val="decimal" w:pos="784"/>
              </w:tabs>
              <w:jc w:val="right"/>
              <w:rPr>
                <w:szCs w:val="24"/>
              </w:rPr>
            </w:pPr>
            <w:r>
              <w:rPr>
                <w:szCs w:val="24"/>
              </w:rPr>
              <w:t>421</w:t>
            </w:r>
          </w:p>
        </w:tc>
        <w:tc>
          <w:tcPr>
            <w:tcW w:w="1701" w:type="dxa"/>
            <w:vAlign w:val="center"/>
          </w:tcPr>
          <w:p w14:paraId="7D290038" w14:textId="51BCB02F" w:rsidR="00A05243" w:rsidRDefault="005768AB" w:rsidP="001C62E5">
            <w:pPr>
              <w:tabs>
                <w:tab w:val="decimal" w:pos="784"/>
              </w:tabs>
              <w:jc w:val="right"/>
              <w:rPr>
                <w:szCs w:val="24"/>
              </w:rPr>
            </w:pPr>
            <w:r>
              <w:rPr>
                <w:szCs w:val="24"/>
              </w:rPr>
              <w:t>535</w:t>
            </w:r>
          </w:p>
        </w:tc>
        <w:tc>
          <w:tcPr>
            <w:tcW w:w="1513" w:type="dxa"/>
            <w:vAlign w:val="center"/>
          </w:tcPr>
          <w:p w14:paraId="17C30347" w14:textId="0A87A3CA" w:rsidR="00A05243" w:rsidRDefault="005768AB" w:rsidP="001C62E5">
            <w:pPr>
              <w:pStyle w:val="Footer"/>
              <w:tabs>
                <w:tab w:val="clear" w:pos="4153"/>
                <w:tab w:val="clear" w:pos="8306"/>
                <w:tab w:val="decimal" w:pos="784"/>
              </w:tabs>
              <w:jc w:val="right"/>
              <w:rPr>
                <w:szCs w:val="24"/>
              </w:rPr>
            </w:pPr>
            <w:r>
              <w:rPr>
                <w:szCs w:val="24"/>
              </w:rPr>
              <w:t>180</w:t>
            </w:r>
          </w:p>
        </w:tc>
        <w:tc>
          <w:tcPr>
            <w:tcW w:w="1698" w:type="dxa"/>
            <w:vAlign w:val="center"/>
          </w:tcPr>
          <w:p w14:paraId="0341C1C9" w14:textId="59E8BF2B" w:rsidR="00A05243" w:rsidRPr="00177AAF" w:rsidRDefault="00A1766E" w:rsidP="006F6E6F">
            <w:pPr>
              <w:pStyle w:val="Footer"/>
              <w:tabs>
                <w:tab w:val="clear" w:pos="4153"/>
                <w:tab w:val="clear" w:pos="8306"/>
                <w:tab w:val="decimal" w:pos="784"/>
              </w:tabs>
              <w:jc w:val="right"/>
              <w:rPr>
                <w:szCs w:val="24"/>
              </w:rPr>
            </w:pPr>
            <w:r>
              <w:rPr>
                <w:szCs w:val="24"/>
              </w:rPr>
              <w:t>1,653</w:t>
            </w:r>
          </w:p>
        </w:tc>
      </w:tr>
    </w:tbl>
    <w:p w14:paraId="04128407" w14:textId="77777777" w:rsidR="008E3C54" w:rsidRPr="00D948C1" w:rsidRDefault="008E3C54" w:rsidP="00617696">
      <w:pPr>
        <w:pStyle w:val="BodyTextIndent"/>
        <w:rPr>
          <w:lang w:val="en-GB"/>
        </w:rPr>
      </w:pPr>
    </w:p>
    <w:p w14:paraId="2EA58EE2" w14:textId="6A129EEC" w:rsidR="00D90216" w:rsidRPr="00D948C1" w:rsidRDefault="00A107BC" w:rsidP="00D90216">
      <w:pPr>
        <w:ind w:left="720"/>
        <w:rPr>
          <w:sz w:val="22"/>
        </w:rPr>
      </w:pPr>
      <w:r w:rsidRPr="008E26F9">
        <w:rPr>
          <w:sz w:val="22"/>
        </w:rPr>
        <w:t xml:space="preserve">The comparative figures detailing </w:t>
      </w:r>
      <w:r w:rsidR="00A05243" w:rsidRPr="008E26F9">
        <w:rPr>
          <w:sz w:val="22"/>
        </w:rPr>
        <w:t>Provisions</w:t>
      </w:r>
      <w:r w:rsidRPr="008E26F9">
        <w:rPr>
          <w:sz w:val="22"/>
        </w:rPr>
        <w:t xml:space="preserve"> during </w:t>
      </w:r>
      <w:r w:rsidR="001A42DD">
        <w:rPr>
          <w:sz w:val="22"/>
        </w:rPr>
        <w:t>2024-25</w:t>
      </w:r>
      <w:r w:rsidRPr="008E26F9">
        <w:rPr>
          <w:sz w:val="22"/>
        </w:rPr>
        <w:t xml:space="preserve"> are in the table below:</w:t>
      </w:r>
    </w:p>
    <w:p w14:paraId="3D59C726" w14:textId="77777777" w:rsidR="00A1766E" w:rsidRPr="00D948C1" w:rsidRDefault="00A1766E" w:rsidP="00D90216">
      <w:pPr>
        <w:ind w:left="720"/>
        <w:rPr>
          <w:sz w:val="22"/>
        </w:rPr>
      </w:pP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027"/>
        <w:gridCol w:w="2027"/>
        <w:gridCol w:w="2028"/>
      </w:tblGrid>
      <w:tr w:rsidR="00277960" w:rsidRPr="00D948C1" w14:paraId="48C58387" w14:textId="77777777" w:rsidTr="008E26F9">
        <w:trPr>
          <w:trHeight w:hRule="exact" w:val="826"/>
          <w:tblHeader/>
        </w:trPr>
        <w:tc>
          <w:tcPr>
            <w:tcW w:w="2027" w:type="dxa"/>
            <w:shd w:val="clear" w:color="auto" w:fill="BD2716"/>
            <w:vAlign w:val="center"/>
          </w:tcPr>
          <w:p w14:paraId="54E63F25" w14:textId="132ADBFC" w:rsidR="00277960" w:rsidRPr="00D948C1" w:rsidRDefault="001A42DD" w:rsidP="008E26F9">
            <w:pPr>
              <w:spacing w:after="120"/>
              <w:rPr>
                <w:color w:val="FFFFFF" w:themeColor="background1"/>
                <w:szCs w:val="24"/>
              </w:rPr>
            </w:pPr>
            <w:r>
              <w:rPr>
                <w:color w:val="FFFFFF" w:themeColor="background1"/>
                <w:szCs w:val="24"/>
              </w:rPr>
              <w:t>2024-25</w:t>
            </w:r>
          </w:p>
        </w:tc>
        <w:tc>
          <w:tcPr>
            <w:tcW w:w="2027" w:type="dxa"/>
            <w:shd w:val="clear" w:color="auto" w:fill="BD2716"/>
            <w:vAlign w:val="center"/>
          </w:tcPr>
          <w:p w14:paraId="04B21E91" w14:textId="4ED91DDE" w:rsidR="00277960" w:rsidRPr="00D948C1" w:rsidRDefault="003F5DE8" w:rsidP="00F36760">
            <w:pPr>
              <w:pStyle w:val="BodyTextIndent"/>
              <w:ind w:left="0"/>
              <w:jc w:val="center"/>
              <w:rPr>
                <w:color w:val="FFFFFF" w:themeColor="background1"/>
                <w:szCs w:val="24"/>
              </w:rPr>
            </w:pPr>
            <w:r>
              <w:rPr>
                <w:color w:val="FFFFFF" w:themeColor="background1"/>
                <w:szCs w:val="24"/>
              </w:rPr>
              <w:t>Insurance Liabilities</w:t>
            </w:r>
          </w:p>
          <w:p w14:paraId="512E8DEA" w14:textId="404B6456" w:rsidR="00277960" w:rsidRPr="00D948C1" w:rsidRDefault="00277960" w:rsidP="00F36760">
            <w:pPr>
              <w:pStyle w:val="BodyTextIndent"/>
              <w:ind w:left="0"/>
              <w:jc w:val="center"/>
              <w:rPr>
                <w:color w:val="FFFFFF" w:themeColor="background1"/>
                <w:szCs w:val="24"/>
                <w:lang w:val="en-GB"/>
              </w:rPr>
            </w:pPr>
            <w:r w:rsidRPr="00D948C1">
              <w:rPr>
                <w:color w:val="FFFFFF" w:themeColor="background1"/>
                <w:szCs w:val="24"/>
              </w:rPr>
              <w:t>£000</w:t>
            </w:r>
          </w:p>
        </w:tc>
        <w:tc>
          <w:tcPr>
            <w:tcW w:w="2027" w:type="dxa"/>
            <w:shd w:val="clear" w:color="auto" w:fill="BD2716"/>
            <w:vAlign w:val="center"/>
          </w:tcPr>
          <w:p w14:paraId="4261BBC7" w14:textId="1CAAA439" w:rsidR="00277960" w:rsidRPr="00D948C1" w:rsidRDefault="00F36760" w:rsidP="00F36760">
            <w:pPr>
              <w:pStyle w:val="BodyTextIndent"/>
              <w:ind w:left="0"/>
              <w:jc w:val="center"/>
              <w:rPr>
                <w:color w:val="FFFFFF" w:themeColor="background1"/>
                <w:szCs w:val="24"/>
              </w:rPr>
            </w:pPr>
            <w:r>
              <w:rPr>
                <w:color w:val="FFFFFF" w:themeColor="background1"/>
                <w:szCs w:val="24"/>
              </w:rPr>
              <w:t>Business Rates Appeals</w:t>
            </w:r>
          </w:p>
          <w:p w14:paraId="69137530" w14:textId="3A6DA267" w:rsidR="00277960" w:rsidRPr="00D948C1" w:rsidRDefault="00277960" w:rsidP="00F36760">
            <w:pPr>
              <w:pStyle w:val="BodyTextIndent"/>
              <w:ind w:left="0"/>
              <w:jc w:val="center"/>
              <w:rPr>
                <w:color w:val="FFFFFF" w:themeColor="background1"/>
                <w:szCs w:val="24"/>
                <w:lang w:val="en-GB"/>
              </w:rPr>
            </w:pPr>
            <w:r w:rsidRPr="00D948C1">
              <w:rPr>
                <w:color w:val="FFFFFF" w:themeColor="background1"/>
                <w:szCs w:val="24"/>
              </w:rPr>
              <w:t>£000</w:t>
            </w:r>
          </w:p>
        </w:tc>
        <w:tc>
          <w:tcPr>
            <w:tcW w:w="2028" w:type="dxa"/>
            <w:shd w:val="clear" w:color="auto" w:fill="BD2716"/>
            <w:vAlign w:val="center"/>
          </w:tcPr>
          <w:p w14:paraId="5B59C6F2" w14:textId="5F568D22" w:rsidR="00277960" w:rsidRPr="00D948C1" w:rsidRDefault="00F36760" w:rsidP="00F36760">
            <w:pPr>
              <w:pStyle w:val="BodyTextIndent"/>
              <w:ind w:left="0"/>
              <w:jc w:val="center"/>
              <w:rPr>
                <w:color w:val="FFFFFF" w:themeColor="background1"/>
                <w:szCs w:val="24"/>
              </w:rPr>
            </w:pPr>
            <w:r>
              <w:rPr>
                <w:color w:val="FFFFFF" w:themeColor="background1"/>
                <w:szCs w:val="24"/>
              </w:rPr>
              <w:t>Total</w:t>
            </w:r>
          </w:p>
          <w:p w14:paraId="183873F7" w14:textId="1E3227B4" w:rsidR="00277960" w:rsidRPr="00D948C1" w:rsidRDefault="00277960" w:rsidP="00F36760">
            <w:pPr>
              <w:pStyle w:val="BodyTextIndent"/>
              <w:ind w:left="0"/>
              <w:jc w:val="center"/>
              <w:rPr>
                <w:color w:val="FFFFFF" w:themeColor="background1"/>
                <w:szCs w:val="24"/>
                <w:lang w:val="en-GB"/>
              </w:rPr>
            </w:pPr>
            <w:r w:rsidRPr="00D948C1">
              <w:rPr>
                <w:color w:val="FFFFFF" w:themeColor="background1"/>
                <w:szCs w:val="24"/>
              </w:rPr>
              <w:t>£000</w:t>
            </w:r>
          </w:p>
        </w:tc>
      </w:tr>
      <w:tr w:rsidR="00277960" w:rsidRPr="00D948C1" w14:paraId="5CF7DF64" w14:textId="77777777" w:rsidTr="00F3332E">
        <w:trPr>
          <w:trHeight w:val="278"/>
        </w:trPr>
        <w:tc>
          <w:tcPr>
            <w:tcW w:w="2027" w:type="dxa"/>
            <w:vAlign w:val="center"/>
          </w:tcPr>
          <w:p w14:paraId="693D7C93" w14:textId="77777777" w:rsidR="00277960" w:rsidRPr="00D948C1" w:rsidRDefault="00277960" w:rsidP="00277960">
            <w:pPr>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2027" w:type="dxa"/>
            <w:vAlign w:val="center"/>
          </w:tcPr>
          <w:p w14:paraId="330A9ADF" w14:textId="059CC2E2" w:rsidR="00277960" w:rsidRPr="008E28A7" w:rsidRDefault="00277960" w:rsidP="00277960">
            <w:pPr>
              <w:tabs>
                <w:tab w:val="decimal" w:pos="900"/>
              </w:tabs>
              <w:jc w:val="right"/>
              <w:rPr>
                <w:szCs w:val="24"/>
              </w:rPr>
            </w:pPr>
            <w:r w:rsidRPr="005A4E16">
              <w:rPr>
                <w:szCs w:val="24"/>
              </w:rPr>
              <w:t>6</w:t>
            </w:r>
            <w:r w:rsidRPr="00177AAF">
              <w:rPr>
                <w:szCs w:val="24"/>
              </w:rPr>
              <w:t>5</w:t>
            </w:r>
            <w:r w:rsidRPr="005A4E16">
              <w:rPr>
                <w:szCs w:val="24"/>
              </w:rPr>
              <w:t>8</w:t>
            </w:r>
          </w:p>
        </w:tc>
        <w:tc>
          <w:tcPr>
            <w:tcW w:w="2027" w:type="dxa"/>
            <w:vAlign w:val="center"/>
          </w:tcPr>
          <w:p w14:paraId="27694E6A" w14:textId="527793F6" w:rsidR="00277960" w:rsidRPr="008E28A7" w:rsidRDefault="00277960" w:rsidP="00277960">
            <w:pPr>
              <w:tabs>
                <w:tab w:val="decimal" w:pos="784"/>
              </w:tabs>
              <w:jc w:val="right"/>
              <w:rPr>
                <w:szCs w:val="24"/>
              </w:rPr>
            </w:pPr>
            <w:r w:rsidRPr="005A4E16">
              <w:rPr>
                <w:szCs w:val="24"/>
              </w:rPr>
              <w:t>571</w:t>
            </w:r>
          </w:p>
        </w:tc>
        <w:tc>
          <w:tcPr>
            <w:tcW w:w="2028" w:type="dxa"/>
            <w:vAlign w:val="center"/>
          </w:tcPr>
          <w:p w14:paraId="159DACB9" w14:textId="34648DA1" w:rsidR="00277960" w:rsidRPr="008E28A7" w:rsidRDefault="00277960" w:rsidP="00277960">
            <w:pPr>
              <w:tabs>
                <w:tab w:val="decimal" w:pos="784"/>
              </w:tabs>
              <w:jc w:val="right"/>
              <w:rPr>
                <w:szCs w:val="24"/>
              </w:rPr>
            </w:pPr>
            <w:r w:rsidRPr="005A4E16">
              <w:rPr>
                <w:szCs w:val="24"/>
              </w:rPr>
              <w:t>1,229</w:t>
            </w:r>
          </w:p>
        </w:tc>
      </w:tr>
      <w:tr w:rsidR="00277960" w:rsidRPr="00D948C1" w14:paraId="52AF7707" w14:textId="77777777" w:rsidTr="00F3332E">
        <w:trPr>
          <w:trHeight w:val="278"/>
        </w:trPr>
        <w:tc>
          <w:tcPr>
            <w:tcW w:w="2027" w:type="dxa"/>
            <w:vAlign w:val="center"/>
          </w:tcPr>
          <w:p w14:paraId="2C41E349" w14:textId="77777777" w:rsidR="00277960" w:rsidRPr="00D948C1" w:rsidRDefault="00277960" w:rsidP="00277960">
            <w:pPr>
              <w:rPr>
                <w:szCs w:val="24"/>
              </w:rPr>
            </w:pPr>
            <w:r w:rsidRPr="00D948C1">
              <w:rPr>
                <w:szCs w:val="24"/>
              </w:rPr>
              <w:t>Amounts utilised</w:t>
            </w:r>
          </w:p>
        </w:tc>
        <w:tc>
          <w:tcPr>
            <w:tcW w:w="2027" w:type="dxa"/>
            <w:vAlign w:val="center"/>
          </w:tcPr>
          <w:p w14:paraId="3813A5E0" w14:textId="44C56B3E" w:rsidR="00277960" w:rsidRPr="008E28A7" w:rsidRDefault="00277960" w:rsidP="00277960">
            <w:pPr>
              <w:tabs>
                <w:tab w:val="decimal" w:pos="900"/>
              </w:tabs>
              <w:jc w:val="right"/>
              <w:rPr>
                <w:szCs w:val="24"/>
              </w:rPr>
            </w:pPr>
            <w:r w:rsidRPr="005A4E16">
              <w:rPr>
                <w:szCs w:val="24"/>
              </w:rPr>
              <w:t>(24)</w:t>
            </w:r>
          </w:p>
        </w:tc>
        <w:tc>
          <w:tcPr>
            <w:tcW w:w="2027" w:type="dxa"/>
            <w:vAlign w:val="center"/>
          </w:tcPr>
          <w:p w14:paraId="7DFC824C" w14:textId="156C3E40" w:rsidR="00277960" w:rsidRPr="008E28A7" w:rsidRDefault="00277960" w:rsidP="00277960">
            <w:pPr>
              <w:tabs>
                <w:tab w:val="decimal" w:pos="784"/>
              </w:tabs>
              <w:jc w:val="right"/>
              <w:rPr>
                <w:szCs w:val="24"/>
              </w:rPr>
            </w:pPr>
            <w:r w:rsidRPr="005A4E16">
              <w:rPr>
                <w:szCs w:val="24"/>
              </w:rPr>
              <w:t>-</w:t>
            </w:r>
          </w:p>
        </w:tc>
        <w:tc>
          <w:tcPr>
            <w:tcW w:w="2028" w:type="dxa"/>
            <w:vAlign w:val="center"/>
          </w:tcPr>
          <w:p w14:paraId="6413479E" w14:textId="02E45AE7" w:rsidR="00277960" w:rsidRPr="008E28A7" w:rsidRDefault="00277960" w:rsidP="00277960">
            <w:pPr>
              <w:tabs>
                <w:tab w:val="decimal" w:pos="784"/>
              </w:tabs>
              <w:jc w:val="right"/>
              <w:rPr>
                <w:szCs w:val="24"/>
              </w:rPr>
            </w:pPr>
            <w:r w:rsidRPr="005A4E16">
              <w:rPr>
                <w:szCs w:val="24"/>
              </w:rPr>
              <w:t>(24)</w:t>
            </w:r>
          </w:p>
        </w:tc>
      </w:tr>
      <w:tr w:rsidR="00277960" w:rsidRPr="00D948C1" w14:paraId="498BC9CD" w14:textId="77777777" w:rsidTr="00F3332E">
        <w:trPr>
          <w:trHeight w:val="556"/>
        </w:trPr>
        <w:tc>
          <w:tcPr>
            <w:tcW w:w="2027" w:type="dxa"/>
            <w:vAlign w:val="center"/>
          </w:tcPr>
          <w:p w14:paraId="30762056" w14:textId="77777777" w:rsidR="00277960" w:rsidRPr="00D948C1" w:rsidRDefault="00277960" w:rsidP="00277960">
            <w:pPr>
              <w:pStyle w:val="Footer"/>
              <w:tabs>
                <w:tab w:val="clear" w:pos="4153"/>
                <w:tab w:val="clear" w:pos="8306"/>
              </w:tabs>
              <w:rPr>
                <w:szCs w:val="24"/>
              </w:rPr>
            </w:pPr>
            <w:r w:rsidRPr="00D948C1">
              <w:rPr>
                <w:szCs w:val="24"/>
              </w:rPr>
              <w:t>Unused amounts reversed</w:t>
            </w:r>
          </w:p>
        </w:tc>
        <w:tc>
          <w:tcPr>
            <w:tcW w:w="2027" w:type="dxa"/>
            <w:vAlign w:val="center"/>
          </w:tcPr>
          <w:p w14:paraId="637E5259" w14:textId="4D53116B" w:rsidR="00277960" w:rsidRPr="008E28A7" w:rsidRDefault="00277960" w:rsidP="00277960">
            <w:pPr>
              <w:tabs>
                <w:tab w:val="decimal" w:pos="900"/>
              </w:tabs>
              <w:jc w:val="right"/>
              <w:rPr>
                <w:szCs w:val="24"/>
              </w:rPr>
            </w:pPr>
            <w:r w:rsidRPr="005A4E16">
              <w:rPr>
                <w:szCs w:val="24"/>
              </w:rPr>
              <w:t>(154)</w:t>
            </w:r>
          </w:p>
        </w:tc>
        <w:tc>
          <w:tcPr>
            <w:tcW w:w="2027" w:type="dxa"/>
            <w:vAlign w:val="center"/>
          </w:tcPr>
          <w:p w14:paraId="1743770B" w14:textId="42199D8C" w:rsidR="00277960" w:rsidRPr="008E28A7" w:rsidRDefault="00277960" w:rsidP="00277960">
            <w:pPr>
              <w:tabs>
                <w:tab w:val="decimal" w:pos="784"/>
              </w:tabs>
              <w:jc w:val="right"/>
              <w:rPr>
                <w:szCs w:val="24"/>
              </w:rPr>
            </w:pPr>
            <w:r w:rsidRPr="005A4E16">
              <w:rPr>
                <w:szCs w:val="24"/>
              </w:rPr>
              <w:t>(118)</w:t>
            </w:r>
          </w:p>
        </w:tc>
        <w:tc>
          <w:tcPr>
            <w:tcW w:w="2028" w:type="dxa"/>
            <w:vAlign w:val="center"/>
          </w:tcPr>
          <w:p w14:paraId="6D4D4CE4" w14:textId="04C3F7B6" w:rsidR="00277960" w:rsidRPr="008E28A7" w:rsidRDefault="00277960" w:rsidP="00277960">
            <w:pPr>
              <w:tabs>
                <w:tab w:val="decimal" w:pos="784"/>
              </w:tabs>
              <w:jc w:val="right"/>
              <w:rPr>
                <w:szCs w:val="24"/>
              </w:rPr>
            </w:pPr>
            <w:r w:rsidRPr="005A4E16">
              <w:rPr>
                <w:szCs w:val="24"/>
              </w:rPr>
              <w:t>(273)</w:t>
            </w:r>
          </w:p>
        </w:tc>
      </w:tr>
      <w:tr w:rsidR="00277960" w:rsidRPr="00D948C1" w14:paraId="38949098" w14:textId="77777777" w:rsidTr="00F3332E">
        <w:trPr>
          <w:trHeight w:val="556"/>
        </w:trPr>
        <w:tc>
          <w:tcPr>
            <w:tcW w:w="2027" w:type="dxa"/>
            <w:vAlign w:val="center"/>
          </w:tcPr>
          <w:p w14:paraId="12C9AACC" w14:textId="77777777" w:rsidR="00277960" w:rsidRPr="00D948C1" w:rsidRDefault="00277960" w:rsidP="00277960">
            <w:pPr>
              <w:pStyle w:val="Footer"/>
              <w:tabs>
                <w:tab w:val="clear" w:pos="4153"/>
                <w:tab w:val="clear" w:pos="8306"/>
              </w:tabs>
              <w:rPr>
                <w:szCs w:val="24"/>
              </w:rPr>
            </w:pPr>
            <w:r w:rsidRPr="00D948C1">
              <w:rPr>
                <w:szCs w:val="24"/>
              </w:rPr>
              <w:t>Additional provision</w:t>
            </w:r>
          </w:p>
        </w:tc>
        <w:tc>
          <w:tcPr>
            <w:tcW w:w="2027" w:type="dxa"/>
            <w:vAlign w:val="center"/>
          </w:tcPr>
          <w:p w14:paraId="5F05F642" w14:textId="755C7D48" w:rsidR="00277960" w:rsidRPr="008E28A7" w:rsidRDefault="00277960" w:rsidP="00277960">
            <w:pPr>
              <w:pStyle w:val="Footer"/>
              <w:tabs>
                <w:tab w:val="clear" w:pos="4153"/>
                <w:tab w:val="clear" w:pos="8306"/>
                <w:tab w:val="decimal" w:pos="900"/>
              </w:tabs>
              <w:jc w:val="right"/>
              <w:rPr>
                <w:szCs w:val="24"/>
              </w:rPr>
            </w:pPr>
            <w:r w:rsidRPr="005A4E16">
              <w:rPr>
                <w:szCs w:val="24"/>
              </w:rPr>
              <w:t>291</w:t>
            </w:r>
          </w:p>
        </w:tc>
        <w:tc>
          <w:tcPr>
            <w:tcW w:w="2027" w:type="dxa"/>
            <w:vAlign w:val="center"/>
          </w:tcPr>
          <w:p w14:paraId="2A170E39" w14:textId="6FE8D6EF" w:rsidR="00277960" w:rsidRPr="008E28A7" w:rsidRDefault="00277960" w:rsidP="00277960">
            <w:pPr>
              <w:pStyle w:val="Footer"/>
              <w:tabs>
                <w:tab w:val="clear" w:pos="4153"/>
                <w:tab w:val="clear" w:pos="8306"/>
                <w:tab w:val="decimal" w:pos="784"/>
              </w:tabs>
              <w:jc w:val="right"/>
              <w:rPr>
                <w:szCs w:val="24"/>
              </w:rPr>
            </w:pPr>
            <w:r w:rsidRPr="005A4E16">
              <w:rPr>
                <w:szCs w:val="24"/>
              </w:rPr>
              <w:t>23</w:t>
            </w:r>
          </w:p>
        </w:tc>
        <w:tc>
          <w:tcPr>
            <w:tcW w:w="2028" w:type="dxa"/>
            <w:vAlign w:val="center"/>
          </w:tcPr>
          <w:p w14:paraId="1E18CD9C" w14:textId="1D554BB1" w:rsidR="00277960" w:rsidRPr="008E28A7" w:rsidRDefault="00277960" w:rsidP="00277960">
            <w:pPr>
              <w:pStyle w:val="Footer"/>
              <w:tabs>
                <w:tab w:val="clear" w:pos="4153"/>
                <w:tab w:val="clear" w:pos="8306"/>
                <w:tab w:val="decimal" w:pos="784"/>
              </w:tabs>
              <w:jc w:val="right"/>
              <w:rPr>
                <w:szCs w:val="24"/>
              </w:rPr>
            </w:pPr>
            <w:r w:rsidRPr="005A4E16">
              <w:rPr>
                <w:szCs w:val="24"/>
              </w:rPr>
              <w:t>314</w:t>
            </w:r>
          </w:p>
        </w:tc>
      </w:tr>
      <w:tr w:rsidR="00277960" w:rsidRPr="00D948C1" w14:paraId="1AA84FA7" w14:textId="77777777" w:rsidTr="00F3332E">
        <w:trPr>
          <w:trHeight w:val="556"/>
        </w:trPr>
        <w:tc>
          <w:tcPr>
            <w:tcW w:w="2027" w:type="dxa"/>
            <w:vAlign w:val="center"/>
          </w:tcPr>
          <w:p w14:paraId="367BF687" w14:textId="5C0918BD" w:rsidR="00277960" w:rsidRPr="00D948C1" w:rsidRDefault="00277960" w:rsidP="00277960">
            <w:pPr>
              <w:pStyle w:val="Footer"/>
              <w:tabs>
                <w:tab w:val="clear" w:pos="4153"/>
                <w:tab w:val="clear" w:pos="8306"/>
              </w:tabs>
              <w:rPr>
                <w:szCs w:val="24"/>
              </w:rPr>
            </w:pPr>
            <w:r w:rsidRPr="00D948C1">
              <w:rPr>
                <w:szCs w:val="24"/>
              </w:rPr>
              <w:t xml:space="preserve">Balance </w:t>
            </w:r>
            <w:proofErr w:type="gramStart"/>
            <w:r w:rsidRPr="00D948C1">
              <w:rPr>
                <w:szCs w:val="24"/>
              </w:rPr>
              <w:t>at</w:t>
            </w:r>
            <w:proofErr w:type="gramEnd"/>
            <w:r w:rsidRPr="00D948C1">
              <w:rPr>
                <w:szCs w:val="24"/>
              </w:rPr>
              <w:t xml:space="preserve"> 31 March</w:t>
            </w:r>
          </w:p>
        </w:tc>
        <w:tc>
          <w:tcPr>
            <w:tcW w:w="2027" w:type="dxa"/>
            <w:vAlign w:val="center"/>
          </w:tcPr>
          <w:p w14:paraId="356216AC" w14:textId="27E4ED50" w:rsidR="00277960" w:rsidRPr="008E28A7" w:rsidRDefault="00277960" w:rsidP="00277960">
            <w:pPr>
              <w:pStyle w:val="Footer"/>
              <w:tabs>
                <w:tab w:val="clear" w:pos="4153"/>
                <w:tab w:val="clear" w:pos="8306"/>
                <w:tab w:val="decimal" w:pos="900"/>
              </w:tabs>
              <w:jc w:val="right"/>
              <w:rPr>
                <w:szCs w:val="24"/>
              </w:rPr>
            </w:pPr>
            <w:r w:rsidRPr="005A4E16">
              <w:rPr>
                <w:szCs w:val="24"/>
              </w:rPr>
              <w:t>771</w:t>
            </w:r>
          </w:p>
        </w:tc>
        <w:tc>
          <w:tcPr>
            <w:tcW w:w="2027" w:type="dxa"/>
            <w:vAlign w:val="center"/>
          </w:tcPr>
          <w:p w14:paraId="7B7F8E0F" w14:textId="291C4B9A" w:rsidR="00277960" w:rsidRPr="00D4698D" w:rsidRDefault="00277960" w:rsidP="00277960">
            <w:pPr>
              <w:pStyle w:val="Footer"/>
              <w:tabs>
                <w:tab w:val="clear" w:pos="4153"/>
                <w:tab w:val="clear" w:pos="8306"/>
                <w:tab w:val="decimal" w:pos="784"/>
              </w:tabs>
              <w:jc w:val="right"/>
              <w:rPr>
                <w:szCs w:val="24"/>
              </w:rPr>
            </w:pPr>
            <w:r w:rsidRPr="005A4E16">
              <w:rPr>
                <w:szCs w:val="24"/>
              </w:rPr>
              <w:t>476</w:t>
            </w:r>
          </w:p>
        </w:tc>
        <w:tc>
          <w:tcPr>
            <w:tcW w:w="2028" w:type="dxa"/>
            <w:vAlign w:val="center"/>
          </w:tcPr>
          <w:p w14:paraId="455CF824" w14:textId="44420D68" w:rsidR="00277960" w:rsidRPr="00D4698D" w:rsidRDefault="00277960" w:rsidP="00277960">
            <w:pPr>
              <w:pStyle w:val="Footer"/>
              <w:tabs>
                <w:tab w:val="clear" w:pos="4153"/>
                <w:tab w:val="clear" w:pos="8306"/>
                <w:tab w:val="decimal" w:pos="784"/>
              </w:tabs>
              <w:jc w:val="right"/>
              <w:rPr>
                <w:szCs w:val="24"/>
              </w:rPr>
            </w:pPr>
            <w:r w:rsidRPr="005A4E16">
              <w:rPr>
                <w:szCs w:val="24"/>
              </w:rPr>
              <w:t>1,246</w:t>
            </w:r>
          </w:p>
        </w:tc>
      </w:tr>
    </w:tbl>
    <w:p w14:paraId="11A60953" w14:textId="3737B7CD" w:rsidR="00022E5A" w:rsidRDefault="00022E5A">
      <w:pPr>
        <w:rPr>
          <w:b/>
          <w:szCs w:val="24"/>
        </w:rPr>
      </w:pPr>
    </w:p>
    <w:p w14:paraId="33D32AFE" w14:textId="4FA970D7" w:rsidR="000D7D67" w:rsidRPr="00AD1A8E" w:rsidRDefault="00BE3374" w:rsidP="00BC6C4F">
      <w:pPr>
        <w:pStyle w:val="Heading2"/>
        <w:jc w:val="left"/>
        <w:rPr>
          <w:sz w:val="24"/>
          <w:szCs w:val="24"/>
        </w:rPr>
      </w:pPr>
      <w:bookmarkStart w:id="48" w:name="_14_Other_Long-Term"/>
      <w:bookmarkStart w:id="49" w:name="_Toc233717533"/>
      <w:bookmarkEnd w:id="48"/>
      <w:r w:rsidRPr="61210DEE">
        <w:rPr>
          <w:sz w:val="24"/>
          <w:szCs w:val="24"/>
        </w:rPr>
        <w:t>1</w:t>
      </w:r>
      <w:r w:rsidR="00B62A26" w:rsidRPr="61210DEE">
        <w:rPr>
          <w:sz w:val="24"/>
          <w:szCs w:val="24"/>
        </w:rPr>
        <w:t>4</w:t>
      </w:r>
      <w:r w:rsidR="00D90216">
        <w:tab/>
      </w:r>
      <w:bookmarkStart w:id="50" w:name="N13"/>
      <w:bookmarkEnd w:id="50"/>
      <w:r w:rsidR="000D7D67" w:rsidRPr="61210DEE">
        <w:rPr>
          <w:sz w:val="24"/>
          <w:szCs w:val="24"/>
        </w:rPr>
        <w:t>Other Long</w:t>
      </w:r>
      <w:r w:rsidR="00A16368" w:rsidRPr="61210DEE">
        <w:rPr>
          <w:sz w:val="24"/>
          <w:szCs w:val="24"/>
        </w:rPr>
        <w:t>-</w:t>
      </w:r>
      <w:r w:rsidR="000D7D67" w:rsidRPr="61210DEE">
        <w:rPr>
          <w:sz w:val="24"/>
          <w:szCs w:val="24"/>
        </w:rPr>
        <w:t>Term Liabilities</w:t>
      </w:r>
      <w:bookmarkEnd w:id="49"/>
    </w:p>
    <w:p w14:paraId="47252286" w14:textId="77777777" w:rsidR="000D7D67" w:rsidRPr="00AD1A8E" w:rsidRDefault="000D7D67" w:rsidP="00BC6C4F">
      <w:pPr>
        <w:rPr>
          <w:sz w:val="22"/>
          <w:szCs w:val="22"/>
        </w:rPr>
      </w:pPr>
    </w:p>
    <w:p w14:paraId="76AA36C2" w14:textId="0E612907" w:rsidR="000D7D67" w:rsidRPr="00D948C1" w:rsidRDefault="000D7D67" w:rsidP="00BC6C4F">
      <w:pPr>
        <w:pStyle w:val="01-NormInd1-BB"/>
        <w:jc w:val="left"/>
        <w:rPr>
          <w:rFonts w:eastAsia="Times New Roman"/>
          <w:sz w:val="24"/>
          <w:szCs w:val="24"/>
        </w:rPr>
      </w:pPr>
      <w:r w:rsidRPr="61210DEE">
        <w:rPr>
          <w:rFonts w:eastAsia="Times New Roman"/>
          <w:sz w:val="24"/>
          <w:szCs w:val="24"/>
        </w:rPr>
        <w:t>Other long</w:t>
      </w:r>
      <w:r w:rsidR="00A16368" w:rsidRPr="61210DEE">
        <w:rPr>
          <w:rFonts w:eastAsia="Times New Roman"/>
          <w:sz w:val="24"/>
          <w:szCs w:val="24"/>
        </w:rPr>
        <w:t>-</w:t>
      </w:r>
      <w:r w:rsidRPr="61210DEE">
        <w:rPr>
          <w:rFonts w:eastAsia="Times New Roman"/>
          <w:sz w:val="24"/>
          <w:szCs w:val="24"/>
        </w:rPr>
        <w:t>term liabilities comprise the following:</w:t>
      </w:r>
    </w:p>
    <w:p w14:paraId="7B03A6A3" w14:textId="77777777" w:rsidR="000D7D67" w:rsidRPr="00D948C1" w:rsidRDefault="000D7D67" w:rsidP="000D7D67">
      <w:pPr>
        <w:pStyle w:val="01-NormInd1-BB"/>
        <w:rPr>
          <w:rFonts w:eastAsia="Times New Roman"/>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701"/>
        <w:gridCol w:w="1701"/>
      </w:tblGrid>
      <w:tr w:rsidR="001318F9" w:rsidRPr="00D948C1" w14:paraId="408F8D67" w14:textId="77777777" w:rsidTr="00611673">
        <w:trPr>
          <w:tblHeader/>
        </w:trPr>
        <w:tc>
          <w:tcPr>
            <w:tcW w:w="4536" w:type="dxa"/>
            <w:shd w:val="clear" w:color="auto" w:fill="BD2716"/>
          </w:tcPr>
          <w:p w14:paraId="561CA649" w14:textId="77777777" w:rsidR="001318F9" w:rsidRPr="00D948C1" w:rsidRDefault="001318F9" w:rsidP="001318F9">
            <w:pPr>
              <w:jc w:val="both"/>
              <w:rPr>
                <w:b/>
                <w:color w:val="FFFFFF" w:themeColor="background1"/>
                <w:szCs w:val="24"/>
              </w:rPr>
            </w:pPr>
          </w:p>
        </w:tc>
        <w:tc>
          <w:tcPr>
            <w:tcW w:w="1701" w:type="dxa"/>
            <w:shd w:val="clear" w:color="auto" w:fill="BD2716"/>
            <w:vAlign w:val="center"/>
          </w:tcPr>
          <w:p w14:paraId="74D47CC2" w14:textId="0E08F560" w:rsidR="001318F9" w:rsidRPr="00D948C1" w:rsidRDefault="001A42DD" w:rsidP="001318F9">
            <w:pPr>
              <w:pStyle w:val="BodyTextIndent"/>
              <w:ind w:left="0"/>
              <w:jc w:val="right"/>
              <w:rPr>
                <w:color w:val="FFFFFF" w:themeColor="background1"/>
                <w:szCs w:val="24"/>
                <w:lang w:val="en-GB"/>
              </w:rPr>
            </w:pPr>
            <w:r>
              <w:rPr>
                <w:color w:val="FFFFFF" w:themeColor="background1"/>
                <w:szCs w:val="24"/>
                <w:lang w:val="en-GB"/>
              </w:rPr>
              <w:t>2024-25</w:t>
            </w:r>
          </w:p>
          <w:p w14:paraId="24242E17" w14:textId="16C31C36" w:rsidR="001318F9" w:rsidRPr="00D948C1" w:rsidRDefault="001318F9" w:rsidP="001318F9">
            <w:pPr>
              <w:pStyle w:val="BodyTextIndent"/>
              <w:ind w:left="0"/>
              <w:jc w:val="right"/>
              <w:rPr>
                <w:color w:val="FFFFFF" w:themeColor="background1"/>
                <w:szCs w:val="24"/>
                <w:lang w:val="en-GB"/>
              </w:rPr>
            </w:pPr>
            <w:r w:rsidRPr="00D948C1">
              <w:rPr>
                <w:color w:val="FFFFFF" w:themeColor="background1"/>
                <w:szCs w:val="24"/>
                <w:lang w:val="en-GB"/>
              </w:rPr>
              <w:t>£000</w:t>
            </w:r>
          </w:p>
        </w:tc>
        <w:tc>
          <w:tcPr>
            <w:tcW w:w="1701" w:type="dxa"/>
            <w:shd w:val="clear" w:color="auto" w:fill="BD2716"/>
            <w:vAlign w:val="center"/>
          </w:tcPr>
          <w:p w14:paraId="27244478" w14:textId="65723120" w:rsidR="00AD1A8E" w:rsidRPr="00D948C1" w:rsidRDefault="001A42DD" w:rsidP="00AD1A8E">
            <w:pPr>
              <w:pStyle w:val="BodyTextIndent"/>
              <w:ind w:left="0"/>
              <w:jc w:val="right"/>
              <w:rPr>
                <w:color w:val="FFFFFF" w:themeColor="background1"/>
                <w:szCs w:val="24"/>
                <w:lang w:val="en-GB"/>
              </w:rPr>
            </w:pPr>
            <w:r>
              <w:rPr>
                <w:color w:val="FFFFFF" w:themeColor="background1"/>
                <w:szCs w:val="24"/>
                <w:lang w:val="en-GB"/>
              </w:rPr>
              <w:t>2024-25</w:t>
            </w:r>
          </w:p>
          <w:p w14:paraId="4DCB666F" w14:textId="356365EB" w:rsidR="001318F9" w:rsidRPr="00D948C1" w:rsidRDefault="00AD1A8E" w:rsidP="00AD1A8E">
            <w:pPr>
              <w:pStyle w:val="BodyTextIndent"/>
              <w:ind w:left="0"/>
              <w:jc w:val="right"/>
              <w:rPr>
                <w:color w:val="FFFFFF" w:themeColor="background1"/>
                <w:szCs w:val="24"/>
                <w:lang w:val="en-GB"/>
              </w:rPr>
            </w:pPr>
            <w:r w:rsidRPr="00D948C1">
              <w:rPr>
                <w:color w:val="FFFFFF" w:themeColor="background1"/>
                <w:szCs w:val="24"/>
                <w:lang w:val="en-GB"/>
              </w:rPr>
              <w:t>£000</w:t>
            </w:r>
          </w:p>
        </w:tc>
      </w:tr>
      <w:tr w:rsidR="00AD1A8E" w:rsidRPr="00D948C1" w14:paraId="0FC67912" w14:textId="77777777" w:rsidTr="007641BA">
        <w:tc>
          <w:tcPr>
            <w:tcW w:w="4536" w:type="dxa"/>
          </w:tcPr>
          <w:p w14:paraId="6620A136" w14:textId="21C39C0B" w:rsidR="00AD1A8E" w:rsidRPr="00D948C1" w:rsidRDefault="00AD1A8E" w:rsidP="00AD1A8E">
            <w:pPr>
              <w:rPr>
                <w:szCs w:val="24"/>
              </w:rPr>
            </w:pPr>
            <w:r w:rsidRPr="00D948C1">
              <w:rPr>
                <w:szCs w:val="24"/>
              </w:rPr>
              <w:t xml:space="preserve">Lease Liability </w:t>
            </w:r>
          </w:p>
        </w:tc>
        <w:tc>
          <w:tcPr>
            <w:tcW w:w="1701" w:type="dxa"/>
            <w:vAlign w:val="center"/>
          </w:tcPr>
          <w:p w14:paraId="0CD593EC" w14:textId="237D85F8" w:rsidR="00AD1A8E" w:rsidRPr="005A4E16" w:rsidRDefault="00E873FE" w:rsidP="00AD1A8E">
            <w:pPr>
              <w:tabs>
                <w:tab w:val="decimal" w:pos="648"/>
                <w:tab w:val="decimal" w:pos="738"/>
              </w:tabs>
              <w:jc w:val="right"/>
              <w:rPr>
                <w:szCs w:val="24"/>
              </w:rPr>
            </w:pPr>
            <w:r>
              <w:rPr>
                <w:szCs w:val="24"/>
              </w:rPr>
              <w:t>87</w:t>
            </w:r>
          </w:p>
        </w:tc>
        <w:tc>
          <w:tcPr>
            <w:tcW w:w="1701" w:type="dxa"/>
            <w:vAlign w:val="center"/>
          </w:tcPr>
          <w:p w14:paraId="196400F3" w14:textId="6FE5A1DC" w:rsidR="00AD1A8E" w:rsidRPr="00D4698D" w:rsidRDefault="00AD1A8E" w:rsidP="00AD1A8E">
            <w:pPr>
              <w:tabs>
                <w:tab w:val="decimal" w:pos="648"/>
                <w:tab w:val="decimal" w:pos="738"/>
              </w:tabs>
              <w:jc w:val="right"/>
              <w:rPr>
                <w:szCs w:val="24"/>
              </w:rPr>
            </w:pPr>
            <w:r w:rsidRPr="005A4E16">
              <w:rPr>
                <w:szCs w:val="24"/>
              </w:rPr>
              <w:t>92</w:t>
            </w:r>
          </w:p>
        </w:tc>
      </w:tr>
      <w:tr w:rsidR="00AD1A8E" w:rsidRPr="00D948C1" w14:paraId="5D067F2D" w14:textId="77777777" w:rsidTr="007641BA">
        <w:tc>
          <w:tcPr>
            <w:tcW w:w="4536" w:type="dxa"/>
          </w:tcPr>
          <w:p w14:paraId="4C1F7158" w14:textId="0F36929B" w:rsidR="00AD1A8E" w:rsidRPr="00D948C1" w:rsidRDefault="00AD1A8E" w:rsidP="00AD1A8E">
            <w:pPr>
              <w:rPr>
                <w:szCs w:val="24"/>
              </w:rPr>
            </w:pPr>
            <w:r w:rsidRPr="00D948C1">
              <w:rPr>
                <w:szCs w:val="24"/>
              </w:rPr>
              <w:t xml:space="preserve">PFI Liability (see </w:t>
            </w:r>
            <w:hyperlink w:anchor="_15_PFI_Schemes" w:history="1">
              <w:r>
                <w:rPr>
                  <w:rStyle w:val="Hyperlink"/>
                  <w:szCs w:val="24"/>
                </w:rPr>
                <w:t>Note 15</w:t>
              </w:r>
            </w:hyperlink>
            <w:r w:rsidRPr="00D948C1">
              <w:rPr>
                <w:szCs w:val="24"/>
              </w:rPr>
              <w:t>)</w:t>
            </w:r>
          </w:p>
        </w:tc>
        <w:tc>
          <w:tcPr>
            <w:tcW w:w="1701" w:type="dxa"/>
            <w:vAlign w:val="center"/>
          </w:tcPr>
          <w:p w14:paraId="6D4C1395" w14:textId="3C5E1896" w:rsidR="00AD1A8E" w:rsidRPr="005A4E16" w:rsidRDefault="00E873FE" w:rsidP="00AD1A8E">
            <w:pPr>
              <w:tabs>
                <w:tab w:val="decimal" w:pos="648"/>
                <w:tab w:val="decimal" w:pos="738"/>
              </w:tabs>
              <w:jc w:val="right"/>
              <w:rPr>
                <w:szCs w:val="24"/>
              </w:rPr>
            </w:pPr>
            <w:r>
              <w:rPr>
                <w:szCs w:val="24"/>
              </w:rPr>
              <w:t>11,123</w:t>
            </w:r>
          </w:p>
        </w:tc>
        <w:tc>
          <w:tcPr>
            <w:tcW w:w="1701" w:type="dxa"/>
            <w:vAlign w:val="center"/>
          </w:tcPr>
          <w:p w14:paraId="0BFE0DD4" w14:textId="4CF71E3D" w:rsidR="00AD1A8E" w:rsidRPr="00D4698D" w:rsidRDefault="00AD1A8E" w:rsidP="00AD1A8E">
            <w:pPr>
              <w:tabs>
                <w:tab w:val="decimal" w:pos="648"/>
                <w:tab w:val="decimal" w:pos="738"/>
              </w:tabs>
              <w:jc w:val="right"/>
              <w:rPr>
                <w:szCs w:val="24"/>
              </w:rPr>
            </w:pPr>
            <w:r w:rsidRPr="005A4E16">
              <w:rPr>
                <w:szCs w:val="24"/>
              </w:rPr>
              <w:t>11,783</w:t>
            </w:r>
          </w:p>
        </w:tc>
      </w:tr>
      <w:tr w:rsidR="00AD1A8E" w:rsidRPr="00D948C1" w14:paraId="52790330" w14:textId="77777777" w:rsidTr="007641BA">
        <w:tc>
          <w:tcPr>
            <w:tcW w:w="4536" w:type="dxa"/>
          </w:tcPr>
          <w:p w14:paraId="5D49CCCB" w14:textId="17D777B5" w:rsidR="00AD1A8E" w:rsidRPr="00D948C1" w:rsidRDefault="00AD1A8E" w:rsidP="00AD1A8E">
            <w:pPr>
              <w:rPr>
                <w:szCs w:val="24"/>
              </w:rPr>
            </w:pPr>
            <w:r w:rsidRPr="00D948C1">
              <w:rPr>
                <w:szCs w:val="24"/>
              </w:rPr>
              <w:t xml:space="preserve">PFI Contractor Loan (see </w:t>
            </w:r>
            <w:hyperlink w:anchor="_15_PFI_Schemes" w:history="1">
              <w:r>
                <w:rPr>
                  <w:rStyle w:val="Hyperlink"/>
                  <w:szCs w:val="24"/>
                </w:rPr>
                <w:t>Note 15</w:t>
              </w:r>
            </w:hyperlink>
            <w:r w:rsidRPr="00D948C1">
              <w:rPr>
                <w:szCs w:val="24"/>
              </w:rPr>
              <w:t>)</w:t>
            </w:r>
          </w:p>
        </w:tc>
        <w:tc>
          <w:tcPr>
            <w:tcW w:w="1701" w:type="dxa"/>
            <w:vAlign w:val="center"/>
          </w:tcPr>
          <w:p w14:paraId="734273B7" w14:textId="7890269D" w:rsidR="00AD1A8E" w:rsidRPr="005A4E16" w:rsidRDefault="00E873FE" w:rsidP="00AD1A8E">
            <w:pPr>
              <w:tabs>
                <w:tab w:val="decimal" w:pos="648"/>
                <w:tab w:val="decimal" w:pos="738"/>
              </w:tabs>
              <w:jc w:val="right"/>
              <w:rPr>
                <w:szCs w:val="24"/>
              </w:rPr>
            </w:pPr>
            <w:r>
              <w:rPr>
                <w:szCs w:val="24"/>
              </w:rPr>
              <w:t>30</w:t>
            </w:r>
          </w:p>
        </w:tc>
        <w:tc>
          <w:tcPr>
            <w:tcW w:w="1701" w:type="dxa"/>
            <w:vAlign w:val="center"/>
          </w:tcPr>
          <w:p w14:paraId="42A10F81" w14:textId="79EA2323" w:rsidR="00AD1A8E" w:rsidRPr="00D4698D" w:rsidRDefault="00AD1A8E" w:rsidP="00AD1A8E">
            <w:pPr>
              <w:tabs>
                <w:tab w:val="decimal" w:pos="648"/>
                <w:tab w:val="decimal" w:pos="738"/>
              </w:tabs>
              <w:jc w:val="right"/>
              <w:rPr>
                <w:szCs w:val="24"/>
              </w:rPr>
            </w:pPr>
            <w:r w:rsidRPr="005A4E16">
              <w:rPr>
                <w:szCs w:val="24"/>
              </w:rPr>
              <w:t>35</w:t>
            </w:r>
          </w:p>
        </w:tc>
      </w:tr>
      <w:tr w:rsidR="00AD1A8E" w:rsidRPr="00D948C1" w14:paraId="71241545" w14:textId="77777777" w:rsidTr="007641BA">
        <w:tc>
          <w:tcPr>
            <w:tcW w:w="4536" w:type="dxa"/>
          </w:tcPr>
          <w:p w14:paraId="077C249A" w14:textId="0F162C98" w:rsidR="00AD1A8E" w:rsidRPr="00D948C1" w:rsidRDefault="00AD1A8E" w:rsidP="00AD1A8E">
            <w:pPr>
              <w:rPr>
                <w:szCs w:val="24"/>
              </w:rPr>
            </w:pPr>
            <w:r w:rsidRPr="00D948C1">
              <w:rPr>
                <w:szCs w:val="24"/>
              </w:rPr>
              <w:t xml:space="preserve">Pension Liability (see </w:t>
            </w:r>
            <w:hyperlink w:anchor="_16_Net_Liability" w:history="1">
              <w:r>
                <w:rPr>
                  <w:rStyle w:val="Hyperlink"/>
                  <w:szCs w:val="24"/>
                </w:rPr>
                <w:t>Note 16</w:t>
              </w:r>
            </w:hyperlink>
            <w:r w:rsidRPr="00D948C1">
              <w:rPr>
                <w:szCs w:val="24"/>
              </w:rPr>
              <w:t>)</w:t>
            </w:r>
          </w:p>
        </w:tc>
        <w:tc>
          <w:tcPr>
            <w:tcW w:w="1701" w:type="dxa"/>
            <w:vAlign w:val="center"/>
          </w:tcPr>
          <w:p w14:paraId="4094EB75" w14:textId="31EEB358" w:rsidR="00AD1A8E" w:rsidRPr="005A4E16" w:rsidRDefault="00E873FE" w:rsidP="00AD1A8E">
            <w:pPr>
              <w:tabs>
                <w:tab w:val="decimal" w:pos="648"/>
                <w:tab w:val="decimal" w:pos="738"/>
              </w:tabs>
              <w:jc w:val="right"/>
              <w:rPr>
                <w:szCs w:val="24"/>
              </w:rPr>
            </w:pPr>
            <w:r>
              <w:rPr>
                <w:szCs w:val="24"/>
              </w:rPr>
              <w:t>576,571</w:t>
            </w:r>
          </w:p>
        </w:tc>
        <w:tc>
          <w:tcPr>
            <w:tcW w:w="1701" w:type="dxa"/>
            <w:vAlign w:val="center"/>
          </w:tcPr>
          <w:p w14:paraId="25B8ADA0" w14:textId="597455BD" w:rsidR="00AD1A8E" w:rsidRPr="00D4698D" w:rsidRDefault="00AD1A8E" w:rsidP="00AD1A8E">
            <w:pPr>
              <w:tabs>
                <w:tab w:val="decimal" w:pos="648"/>
                <w:tab w:val="decimal" w:pos="738"/>
              </w:tabs>
              <w:jc w:val="right"/>
              <w:rPr>
                <w:szCs w:val="24"/>
              </w:rPr>
            </w:pPr>
            <w:r w:rsidRPr="005A4E16">
              <w:rPr>
                <w:szCs w:val="24"/>
              </w:rPr>
              <w:t>588,430</w:t>
            </w:r>
          </w:p>
        </w:tc>
      </w:tr>
      <w:tr w:rsidR="00AD1A8E" w:rsidRPr="00D948C1" w14:paraId="3BA5AAA1" w14:textId="77777777" w:rsidTr="007641BA">
        <w:tc>
          <w:tcPr>
            <w:tcW w:w="4536" w:type="dxa"/>
          </w:tcPr>
          <w:p w14:paraId="1050F01B" w14:textId="781EEDD0" w:rsidR="00AD1A8E" w:rsidRPr="00D948C1" w:rsidRDefault="00AD1A8E" w:rsidP="00AD1A8E">
            <w:pPr>
              <w:rPr>
                <w:szCs w:val="24"/>
              </w:rPr>
            </w:pPr>
            <w:r w:rsidRPr="00D948C1">
              <w:rPr>
                <w:szCs w:val="24"/>
              </w:rPr>
              <w:t>Total</w:t>
            </w:r>
          </w:p>
        </w:tc>
        <w:tc>
          <w:tcPr>
            <w:tcW w:w="1701" w:type="dxa"/>
            <w:vAlign w:val="center"/>
          </w:tcPr>
          <w:p w14:paraId="0C17EEFD" w14:textId="549125B0" w:rsidR="00AD1A8E" w:rsidRPr="005A4E16" w:rsidRDefault="00314DA6" w:rsidP="00AD1A8E">
            <w:pPr>
              <w:tabs>
                <w:tab w:val="decimal" w:pos="648"/>
                <w:tab w:val="decimal" w:pos="738"/>
              </w:tabs>
              <w:jc w:val="right"/>
              <w:rPr>
                <w:szCs w:val="24"/>
              </w:rPr>
            </w:pPr>
            <w:r>
              <w:rPr>
                <w:szCs w:val="24"/>
              </w:rPr>
              <w:t>587,811</w:t>
            </w:r>
          </w:p>
        </w:tc>
        <w:tc>
          <w:tcPr>
            <w:tcW w:w="1701" w:type="dxa"/>
            <w:vAlign w:val="center"/>
          </w:tcPr>
          <w:p w14:paraId="755B8B65" w14:textId="2069D107" w:rsidR="00AD1A8E" w:rsidRPr="00D4698D" w:rsidRDefault="00AD1A8E" w:rsidP="00AD1A8E">
            <w:pPr>
              <w:tabs>
                <w:tab w:val="decimal" w:pos="648"/>
                <w:tab w:val="decimal" w:pos="738"/>
              </w:tabs>
              <w:jc w:val="right"/>
              <w:rPr>
                <w:szCs w:val="24"/>
              </w:rPr>
            </w:pPr>
            <w:r w:rsidRPr="00177AAF">
              <w:rPr>
                <w:szCs w:val="24"/>
              </w:rPr>
              <w:t>600,340</w:t>
            </w:r>
          </w:p>
        </w:tc>
      </w:tr>
    </w:tbl>
    <w:p w14:paraId="5D8FAF37" w14:textId="77777777" w:rsidR="001F1736" w:rsidRPr="00D948C1" w:rsidRDefault="001F1736" w:rsidP="00D90216">
      <w:pPr>
        <w:rPr>
          <w:b/>
          <w:sz w:val="22"/>
        </w:rPr>
      </w:pPr>
    </w:p>
    <w:p w14:paraId="6C41AAD1" w14:textId="60F9F9A0" w:rsidR="00D90216" w:rsidRPr="00AD1A8E" w:rsidRDefault="001C592E" w:rsidP="00617696">
      <w:pPr>
        <w:pStyle w:val="Heading2"/>
        <w:jc w:val="left"/>
        <w:rPr>
          <w:sz w:val="24"/>
          <w:szCs w:val="24"/>
        </w:rPr>
      </w:pPr>
      <w:bookmarkStart w:id="51" w:name="_15_PFI_Schemes"/>
      <w:bookmarkStart w:id="52" w:name="_Toc233717534"/>
      <w:bookmarkEnd w:id="51"/>
      <w:r w:rsidRPr="00D948C1">
        <w:rPr>
          <w:sz w:val="24"/>
          <w:szCs w:val="24"/>
        </w:rPr>
        <w:t>1</w:t>
      </w:r>
      <w:r w:rsidR="00B62A26">
        <w:rPr>
          <w:sz w:val="24"/>
          <w:szCs w:val="24"/>
        </w:rPr>
        <w:t>5</w:t>
      </w:r>
      <w:r w:rsidR="000D7D67">
        <w:tab/>
      </w:r>
      <w:bookmarkStart w:id="53" w:name="N14"/>
      <w:bookmarkEnd w:id="53"/>
      <w:r w:rsidR="00D90216" w:rsidRPr="5E9807F6">
        <w:rPr>
          <w:sz w:val="24"/>
          <w:szCs w:val="24"/>
        </w:rPr>
        <w:t>PFI Scheme</w:t>
      </w:r>
      <w:r w:rsidR="00217242" w:rsidRPr="5E9807F6">
        <w:rPr>
          <w:sz w:val="24"/>
          <w:szCs w:val="24"/>
        </w:rPr>
        <w:t>s</w:t>
      </w:r>
      <w:bookmarkEnd w:id="52"/>
    </w:p>
    <w:p w14:paraId="2E430BF6" w14:textId="77777777" w:rsidR="00D90216" w:rsidRPr="00AD1A8E" w:rsidRDefault="00D90216" w:rsidP="00617696">
      <w:pPr>
        <w:rPr>
          <w:b/>
        </w:rPr>
      </w:pPr>
    </w:p>
    <w:p w14:paraId="5D2EB5E8" w14:textId="77777777" w:rsidR="001E0613" w:rsidRPr="00AD1A8E" w:rsidRDefault="001E0613" w:rsidP="22FF31C3">
      <w:pPr>
        <w:ind w:left="720"/>
      </w:pPr>
      <w:r>
        <w:t>The Authority operates two PFI schemes with separate Private Sector Partners (PSP), details of which are as follows:</w:t>
      </w:r>
    </w:p>
    <w:p w14:paraId="64056171" w14:textId="77777777" w:rsidR="001E0613" w:rsidRPr="00AD1A8E" w:rsidRDefault="001E0613" w:rsidP="22FF31C3">
      <w:pPr>
        <w:ind w:left="720"/>
      </w:pPr>
    </w:p>
    <w:p w14:paraId="3D7815ED" w14:textId="77777777" w:rsidR="001E0613" w:rsidRPr="00AD1A8E" w:rsidRDefault="001E0613" w:rsidP="22FF31C3">
      <w:pPr>
        <w:ind w:left="720"/>
      </w:pPr>
      <w:r>
        <w:t>PFF Lancashire L</w:t>
      </w:r>
      <w:r w:rsidR="009E2E4B">
        <w:t>imi</w:t>
      </w:r>
      <w:r>
        <w:t>t</w:t>
      </w:r>
      <w:r w:rsidR="009E2E4B">
        <w:t>e</w:t>
      </w:r>
      <w:r>
        <w:t>d</w:t>
      </w:r>
    </w:p>
    <w:p w14:paraId="42EDF1D3" w14:textId="77777777" w:rsidR="001E0613" w:rsidRPr="00AD1A8E" w:rsidRDefault="001E0613" w:rsidP="22FF31C3">
      <w:pPr>
        <w:ind w:left="720"/>
      </w:pPr>
    </w:p>
    <w:p w14:paraId="3D63057E" w14:textId="77777777" w:rsidR="00D90216" w:rsidRPr="00AD1A8E" w:rsidRDefault="00D90216" w:rsidP="22FF31C3">
      <w:pPr>
        <w:ind w:left="720"/>
      </w:pPr>
      <w:r>
        <w:t xml:space="preserve">The Authority signed a contract in May 2002 with a Private Sector Partner (PSP), a consortium known as PFF Lancashire Limited, under the Government's Private Finance Initiative, for two fire stations at Morecambe and Hyndburn. </w:t>
      </w:r>
    </w:p>
    <w:p w14:paraId="1AD68473" w14:textId="77777777" w:rsidR="00D90216" w:rsidRPr="00AD1A8E" w:rsidRDefault="00D90216" w:rsidP="22FF31C3">
      <w:pPr>
        <w:ind w:left="720"/>
      </w:pPr>
    </w:p>
    <w:p w14:paraId="32A3E2CE" w14:textId="0755B4C9" w:rsidR="00D90216" w:rsidRPr="00D948C1" w:rsidRDefault="00D90216" w:rsidP="00617696">
      <w:pPr>
        <w:ind w:left="720"/>
      </w:pPr>
      <w:r>
        <w:t xml:space="preserve">Under the contract the Authority pays an annual unitary charge to </w:t>
      </w:r>
      <w:r w:rsidR="00217242">
        <w:t>PFF Lancashire</w:t>
      </w:r>
      <w:r>
        <w:t xml:space="preserve"> </w:t>
      </w:r>
      <w:r w:rsidR="009E2E4B">
        <w:t xml:space="preserve">Limited </w:t>
      </w:r>
      <w:r>
        <w:t>for service</w:t>
      </w:r>
      <w:r w:rsidR="00217242">
        <w:t>d</w:t>
      </w:r>
      <w:r>
        <w:t xml:space="preserve"> accommodation over the life of the 30-year contract, commencing in 2003</w:t>
      </w:r>
      <w:r w:rsidR="00F94712">
        <w:t>-</w:t>
      </w:r>
      <w:r>
        <w:t>04.</w:t>
      </w:r>
      <w:r w:rsidR="000F28B4">
        <w:t xml:space="preserve"> </w:t>
      </w:r>
      <w:r>
        <w:t xml:space="preserve">The buildings and any plant installed in them at the end of the contract will be transferred to the </w:t>
      </w:r>
      <w:r>
        <w:lastRenderedPageBreak/>
        <w:t>Authority for nil consideration.</w:t>
      </w:r>
      <w:r w:rsidR="00607136">
        <w:t xml:space="preserve"> </w:t>
      </w:r>
      <w:r>
        <w:t>The estimated capital value of the scheme at the point of financial close was £3.5</w:t>
      </w:r>
      <w:r w:rsidR="00AC5D2C">
        <w:t xml:space="preserve"> </w:t>
      </w:r>
      <w:r>
        <w:t>m</w:t>
      </w:r>
      <w:r w:rsidR="00AC5D2C">
        <w:t>illion</w:t>
      </w:r>
      <w:r>
        <w:t>.</w:t>
      </w:r>
    </w:p>
    <w:p w14:paraId="5440C70F" w14:textId="77777777" w:rsidR="00D90216" w:rsidRPr="00D948C1" w:rsidRDefault="00D90216" w:rsidP="00617696">
      <w:pPr>
        <w:ind w:left="720"/>
        <w:rPr>
          <w:szCs w:val="24"/>
        </w:rPr>
      </w:pPr>
    </w:p>
    <w:p w14:paraId="54217C90" w14:textId="27F76419" w:rsidR="00A50E0F" w:rsidRPr="00D948C1" w:rsidRDefault="00A50E0F" w:rsidP="00617696">
      <w:pPr>
        <w:ind w:left="720"/>
      </w:pPr>
      <w:r>
        <w:t>Under the contract PFF Lancashire L</w:t>
      </w:r>
      <w:r w:rsidR="009E2E4B">
        <w:t>imi</w:t>
      </w:r>
      <w:r>
        <w:t>t</w:t>
      </w:r>
      <w:r w:rsidR="009E2E4B">
        <w:t>e</w:t>
      </w:r>
      <w:r>
        <w:t xml:space="preserve">d </w:t>
      </w:r>
      <w:r w:rsidR="005436A9">
        <w:t>contributed</w:t>
      </w:r>
      <w:r>
        <w:t xml:space="preserve"> £0.15</w:t>
      </w:r>
      <w:r w:rsidR="00AC5D2C">
        <w:t xml:space="preserve"> </w:t>
      </w:r>
      <w:r>
        <w:t>m</w:t>
      </w:r>
      <w:r w:rsidR="00AC5D2C">
        <w:t>illion</w:t>
      </w:r>
      <w:r>
        <w:t xml:space="preserve"> towards the development costs, which is repaid through the annual unitary charge on the life of the 30-year contract commencing in 2005</w:t>
      </w:r>
      <w:r w:rsidR="00F94712">
        <w:t>-</w:t>
      </w:r>
      <w:r>
        <w:t>06.</w:t>
      </w:r>
      <w:r w:rsidR="00607136">
        <w:t xml:space="preserve"> </w:t>
      </w:r>
      <w:r>
        <w:t>In accordance with recommended accounting practice, the reimbursement has been classed as a loan and the liability reflected as such in the Authori</w:t>
      </w:r>
      <w:r w:rsidR="00251BB2">
        <w:t xml:space="preserve">ty’s accounts. </w:t>
      </w:r>
      <w:proofErr w:type="gramStart"/>
      <w:r w:rsidR="00251BB2">
        <w:t>At</w:t>
      </w:r>
      <w:proofErr w:type="gramEnd"/>
      <w:r w:rsidR="00251BB2">
        <w:t xml:space="preserve"> 31 March 202</w:t>
      </w:r>
      <w:r w:rsidR="0011250E">
        <w:t>6</w:t>
      </w:r>
      <w:r>
        <w:t xml:space="preserve"> the </w:t>
      </w:r>
      <w:r w:rsidR="000756D9">
        <w:t xml:space="preserve">total </w:t>
      </w:r>
      <w:r>
        <w:t>outstanding loan was £0.</w:t>
      </w:r>
      <w:r w:rsidR="00EE1D91">
        <w:t>0</w:t>
      </w:r>
      <w:r w:rsidR="00B105DA">
        <w:t>35</w:t>
      </w:r>
      <w:r w:rsidR="00AC5D2C">
        <w:t xml:space="preserve"> </w:t>
      </w:r>
      <w:r>
        <w:t>m</w:t>
      </w:r>
      <w:r w:rsidR="00AC5D2C">
        <w:t>illion</w:t>
      </w:r>
      <w:r>
        <w:t xml:space="preserve"> (</w:t>
      </w:r>
      <w:r w:rsidR="001A42DD">
        <w:t>2024-25</w:t>
      </w:r>
      <w:r>
        <w:t>: £0.</w:t>
      </w:r>
      <w:r w:rsidR="005D3C2B">
        <w:t>04</w:t>
      </w:r>
      <w:r w:rsidR="00C0111A">
        <w:t xml:space="preserve"> </w:t>
      </w:r>
      <w:r>
        <w:t>m</w:t>
      </w:r>
      <w:r w:rsidR="00C0111A">
        <w:t>illion</w:t>
      </w:r>
      <w:r>
        <w:t>).</w:t>
      </w:r>
    </w:p>
    <w:p w14:paraId="23B492A8" w14:textId="77777777" w:rsidR="00A50E0F" w:rsidRPr="00D948C1" w:rsidRDefault="00A50E0F" w:rsidP="00617696">
      <w:pPr>
        <w:ind w:left="720"/>
      </w:pPr>
    </w:p>
    <w:p w14:paraId="616AF18C" w14:textId="700CC162" w:rsidR="001E0613" w:rsidRPr="00B105DA" w:rsidRDefault="003230DB" w:rsidP="00617696">
      <w:pPr>
        <w:ind w:left="720"/>
      </w:pPr>
      <w:r>
        <w:t>F</w:t>
      </w:r>
      <w:r w:rsidR="001E0613">
        <w:t>ire and Rescue NW L</w:t>
      </w:r>
      <w:r w:rsidR="002B520D">
        <w:t>imi</w:t>
      </w:r>
      <w:r w:rsidR="001E0613">
        <w:t>t</w:t>
      </w:r>
      <w:r w:rsidR="002B520D">
        <w:t>e</w:t>
      </w:r>
      <w:r w:rsidR="001E0613">
        <w:t>d</w:t>
      </w:r>
    </w:p>
    <w:p w14:paraId="5EC182BD" w14:textId="77777777" w:rsidR="001E0613" w:rsidRPr="00B105DA" w:rsidRDefault="001E0613" w:rsidP="00617696">
      <w:pPr>
        <w:ind w:left="720"/>
      </w:pPr>
    </w:p>
    <w:p w14:paraId="40C188AB" w14:textId="1795E676" w:rsidR="00217242" w:rsidRPr="00B105DA" w:rsidRDefault="00217242" w:rsidP="22FF31C3">
      <w:pPr>
        <w:ind w:left="720"/>
      </w:pPr>
      <w:r>
        <w:t>The Authority is also involved in a second PFI project, with Merseyside Fire and Rescue Authority and Cumbria County Council to deliver 16 new fire stations, 4 of which will be in Lancashire. Contracts were signed with Balfour Beatty Fire and Rescue NW L</w:t>
      </w:r>
      <w:r w:rsidR="002B520D">
        <w:t>imi</w:t>
      </w:r>
      <w:r>
        <w:t>t</w:t>
      </w:r>
      <w:r w:rsidR="002B520D">
        <w:t>e</w:t>
      </w:r>
      <w:r>
        <w:t>d in February 2011, with phased construction beginning in 2011</w:t>
      </w:r>
      <w:r w:rsidR="004404E4">
        <w:t>-</w:t>
      </w:r>
      <w:r>
        <w:t>12 and completing in 2013</w:t>
      </w:r>
      <w:r w:rsidR="00F94712">
        <w:t>-</w:t>
      </w:r>
      <w:r>
        <w:t>14.</w:t>
      </w:r>
    </w:p>
    <w:p w14:paraId="7ED66E80" w14:textId="035A2D9F" w:rsidR="006B2155" w:rsidRPr="00B105DA" w:rsidRDefault="006B2155" w:rsidP="22FF31C3">
      <w:pPr>
        <w:ind w:left="720"/>
      </w:pPr>
    </w:p>
    <w:p w14:paraId="3594EFD3" w14:textId="657FEF25" w:rsidR="006B2155" w:rsidRPr="00B105DA" w:rsidRDefault="006B2155" w:rsidP="22FF31C3">
      <w:pPr>
        <w:ind w:left="720"/>
      </w:pPr>
      <w:r>
        <w:t xml:space="preserve">Balfour Beatty sold its’ interest in the PFI scheme </w:t>
      </w:r>
      <w:r w:rsidR="005A0490">
        <w:t xml:space="preserve">in July 2021 </w:t>
      </w:r>
      <w:r>
        <w:t xml:space="preserve">to BBGI, a company who already operates several PFI schemes in the UK including within the emergency services sector. BBGI undertook a </w:t>
      </w:r>
      <w:r w:rsidR="00CF111B">
        <w:t>refinancing</w:t>
      </w:r>
      <w:r>
        <w:t xml:space="preserve"> deal </w:t>
      </w:r>
      <w:r w:rsidR="000B73C5">
        <w:t>in December 2021</w:t>
      </w:r>
      <w:r w:rsidR="005A0490">
        <w:t>, resulting in a one-off saving of £0.9</w:t>
      </w:r>
      <w:r w:rsidR="00C0111A">
        <w:t xml:space="preserve"> </w:t>
      </w:r>
      <w:r w:rsidR="005A0490">
        <w:t>m</w:t>
      </w:r>
      <w:r w:rsidR="00C0111A">
        <w:t>illion</w:t>
      </w:r>
      <w:r w:rsidR="005A0490">
        <w:t xml:space="preserve"> for the three authorities, of which Lancashire’s share was £0.2</w:t>
      </w:r>
      <w:r w:rsidR="00C0111A">
        <w:t xml:space="preserve"> </w:t>
      </w:r>
      <w:r w:rsidR="005A0490">
        <w:t>m</w:t>
      </w:r>
      <w:r w:rsidR="00C0111A">
        <w:t>illion</w:t>
      </w:r>
      <w:r w:rsidR="000B73C5">
        <w:t>.</w:t>
      </w:r>
    </w:p>
    <w:p w14:paraId="5BA4D333" w14:textId="77777777" w:rsidR="00217242" w:rsidRPr="00B105DA" w:rsidRDefault="00217242" w:rsidP="00617696">
      <w:pPr>
        <w:ind w:left="720"/>
        <w:rPr>
          <w:szCs w:val="24"/>
          <w:highlight w:val="green"/>
        </w:rPr>
      </w:pPr>
    </w:p>
    <w:p w14:paraId="5D472584" w14:textId="4AE028AB" w:rsidR="00217242" w:rsidRPr="00753FD3" w:rsidRDefault="00217242" w:rsidP="22FF31C3">
      <w:pPr>
        <w:ind w:left="720"/>
      </w:pPr>
      <w:r>
        <w:t>Under the contract the Authority pays an annual unitary charge to Fire and Rescue NW L</w:t>
      </w:r>
      <w:r w:rsidR="002B520D">
        <w:t>imi</w:t>
      </w:r>
      <w:r>
        <w:t>t</w:t>
      </w:r>
      <w:r w:rsidR="002B520D">
        <w:t>e</w:t>
      </w:r>
      <w:r>
        <w:t xml:space="preserve">d for serviced accommodation over the life of the contract, </w:t>
      </w:r>
      <w:r w:rsidR="008B45EF">
        <w:t xml:space="preserve">which runs for 25 years from initial handover of each station </w:t>
      </w:r>
      <w:r>
        <w:t xml:space="preserve">commencing in </w:t>
      </w:r>
      <w:r w:rsidR="008B45EF">
        <w:t xml:space="preserve">March </w:t>
      </w:r>
      <w:r>
        <w:t>20</w:t>
      </w:r>
      <w:r w:rsidR="008B45EF">
        <w:t>11</w:t>
      </w:r>
      <w:r w:rsidR="00F94712">
        <w:t>-</w:t>
      </w:r>
      <w:r w:rsidR="008B45EF">
        <w:t>12 for the Authority</w:t>
      </w:r>
      <w:r>
        <w:t xml:space="preserve">. The buildings and any plant installed in them at the end of the contract will be transferred to the Authority for nil consideration. The estimated capital value of the </w:t>
      </w:r>
      <w:r w:rsidR="008B45EF">
        <w:t xml:space="preserve">total </w:t>
      </w:r>
      <w:r>
        <w:t>scheme at the point of financial close was</w:t>
      </w:r>
      <w:r w:rsidRPr="00753FD3">
        <w:t xml:space="preserve"> </w:t>
      </w:r>
      <w:r>
        <w:t>£</w:t>
      </w:r>
      <w:r w:rsidR="008B45EF">
        <w:t>47.886</w:t>
      </w:r>
      <w:r w:rsidR="00C0111A">
        <w:t xml:space="preserve"> </w:t>
      </w:r>
      <w:r w:rsidR="008B45EF">
        <w:t>m</w:t>
      </w:r>
      <w:r w:rsidR="00C0111A">
        <w:t>illion</w:t>
      </w:r>
      <w:r w:rsidR="008B45EF">
        <w:t>, and for the Authority was £12.161</w:t>
      </w:r>
      <w:r w:rsidR="00C0111A">
        <w:t xml:space="preserve"> </w:t>
      </w:r>
      <w:r w:rsidR="008B45EF">
        <w:t>m</w:t>
      </w:r>
      <w:r w:rsidR="00C0111A">
        <w:t>illion</w:t>
      </w:r>
      <w:r>
        <w:t>.</w:t>
      </w:r>
    </w:p>
    <w:p w14:paraId="3EBBA344" w14:textId="77777777" w:rsidR="00BE1512" w:rsidRPr="00D948C1" w:rsidRDefault="00BE1512" w:rsidP="22FF31C3"/>
    <w:p w14:paraId="2CF61D76" w14:textId="01BCB014" w:rsidR="00217242" w:rsidRPr="00B105DA" w:rsidRDefault="005A3979" w:rsidP="22FF31C3">
      <w:pPr>
        <w:ind w:left="720"/>
      </w:pPr>
      <w:r>
        <w:t>All PFI Schemes</w:t>
      </w:r>
    </w:p>
    <w:p w14:paraId="78D506D7" w14:textId="77777777" w:rsidR="00217242" w:rsidRPr="00B105DA" w:rsidRDefault="00217242" w:rsidP="22FF31C3">
      <w:pPr>
        <w:ind w:left="720"/>
      </w:pPr>
    </w:p>
    <w:p w14:paraId="1F74512E" w14:textId="21E7CE3C" w:rsidR="00D90216" w:rsidRPr="00B105DA" w:rsidRDefault="00217242" w:rsidP="22FF31C3">
      <w:pPr>
        <w:ind w:left="720"/>
      </w:pPr>
      <w:r>
        <w:t>All PFI</w:t>
      </w:r>
      <w:r w:rsidR="00D90216">
        <w:t xml:space="preserve"> stations are recognised on the Authority’s Balance Sheet</w:t>
      </w:r>
      <w:r>
        <w:t xml:space="preserve"> from the date of </w:t>
      </w:r>
      <w:r w:rsidR="008B45EF">
        <w:t xml:space="preserve">initial </w:t>
      </w:r>
      <w:r>
        <w:t>handover</w:t>
      </w:r>
      <w:r w:rsidR="00D90216">
        <w:t xml:space="preserve">. Movements in their value over the year are detailed in the analysis of the movement on Property, Plant &amp; Equipment balance in </w:t>
      </w:r>
      <w:hyperlink w:anchor="N6" w:history="1">
        <w:r w:rsidR="007C6DCB" w:rsidRPr="4CCEC0A7">
          <w:rPr>
            <w:rStyle w:val="Hyperlink"/>
          </w:rPr>
          <w:t>N</w:t>
        </w:r>
        <w:r w:rsidR="00D90216" w:rsidRPr="4CCEC0A7">
          <w:rPr>
            <w:rStyle w:val="Hyperlink"/>
          </w:rPr>
          <w:t xml:space="preserve">ote </w:t>
        </w:r>
        <w:r w:rsidR="00903724" w:rsidRPr="4CCEC0A7">
          <w:rPr>
            <w:rStyle w:val="Hyperlink"/>
          </w:rPr>
          <w:t>6</w:t>
        </w:r>
      </w:hyperlink>
      <w:r w:rsidR="00D90216">
        <w:t xml:space="preserve">. </w:t>
      </w:r>
    </w:p>
    <w:p w14:paraId="4C5B1AEA" w14:textId="77777777" w:rsidR="000669A4" w:rsidRPr="00B105DA" w:rsidRDefault="000669A4" w:rsidP="22FF31C3">
      <w:pPr>
        <w:ind w:left="720"/>
      </w:pPr>
    </w:p>
    <w:p w14:paraId="5E246E9A" w14:textId="5C0FF620" w:rsidR="00BB58EF" w:rsidRDefault="00D90216" w:rsidP="22FF31C3">
      <w:pPr>
        <w:ind w:left="720"/>
      </w:pPr>
      <w:r>
        <w:t>Payments made under the contract</w:t>
      </w:r>
      <w:r w:rsidR="005A3979">
        <w:t>s</w:t>
      </w:r>
      <w:r>
        <w:t xml:space="preserve"> are performance related, so deductions are made if parts of the building are not available or if service performance (including maintenance) falls below an agreed standard. The Authority makes an agreed payment each year which is increased by inflation and can be reduced if the contractor fails to meet availability and performance standards in any </w:t>
      </w:r>
      <w:r w:rsidR="00C35551">
        <w:t>year but</w:t>
      </w:r>
      <w:r>
        <w:t xml:space="preserve"> is otherwise fixed. In addition, the Authority receives Government Grant to offset some of these costs.</w:t>
      </w:r>
    </w:p>
    <w:p w14:paraId="7DBF3660" w14:textId="77777777" w:rsidR="00445B27" w:rsidRDefault="00445B27" w:rsidP="22FF31C3">
      <w:pPr>
        <w:ind w:left="720"/>
      </w:pPr>
    </w:p>
    <w:p w14:paraId="3304B057" w14:textId="5E40291D" w:rsidR="00EF5D8C" w:rsidRDefault="00D90216" w:rsidP="00300384">
      <w:pPr>
        <w:ind w:left="720"/>
      </w:pPr>
      <w:r>
        <w:t xml:space="preserve">Payments remaining to be made under </w:t>
      </w:r>
      <w:r w:rsidR="005A3979">
        <w:t>both</w:t>
      </w:r>
      <w:r>
        <w:t xml:space="preserve"> PFI </w:t>
      </w:r>
      <w:r w:rsidR="000414B9">
        <w:t>contracts</w:t>
      </w:r>
      <w:r>
        <w:t xml:space="preserve"> and Government Subsidie</w:t>
      </w:r>
      <w:r w:rsidR="00251BB2">
        <w:t xml:space="preserve">s to be received </w:t>
      </w:r>
      <w:proofErr w:type="gramStart"/>
      <w:r w:rsidR="00251BB2">
        <w:t>at</w:t>
      </w:r>
      <w:proofErr w:type="gramEnd"/>
      <w:r w:rsidR="00251BB2">
        <w:t xml:space="preserve"> 31 March 202</w:t>
      </w:r>
      <w:r w:rsidR="00207B9A">
        <w:t>6</w:t>
      </w:r>
      <w:r w:rsidR="0003405C">
        <w:t xml:space="preserve"> </w:t>
      </w:r>
      <w:r>
        <w:t>are as follows:</w:t>
      </w:r>
    </w:p>
    <w:p w14:paraId="1131DCC5" w14:textId="77777777" w:rsidR="009B0112" w:rsidRDefault="009B0112" w:rsidP="00300384">
      <w:pPr>
        <w:ind w:left="720"/>
      </w:pPr>
    </w:p>
    <w:tbl>
      <w:tblPr>
        <w:tblW w:w="99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1"/>
        <w:gridCol w:w="1439"/>
        <w:gridCol w:w="2067"/>
        <w:gridCol w:w="1276"/>
        <w:gridCol w:w="1134"/>
        <w:gridCol w:w="1554"/>
      </w:tblGrid>
      <w:tr w:rsidR="00405586" w:rsidRPr="00D948C1" w14:paraId="0EAF2185" w14:textId="77777777" w:rsidTr="00D63769">
        <w:trPr>
          <w:tblHeader/>
        </w:trPr>
        <w:tc>
          <w:tcPr>
            <w:tcW w:w="2481" w:type="dxa"/>
            <w:shd w:val="clear" w:color="auto" w:fill="BD2716"/>
          </w:tcPr>
          <w:p w14:paraId="1FE6CD50" w14:textId="0CAFF252" w:rsidR="00D90216" w:rsidRPr="00D948C1" w:rsidRDefault="00EF5D8C" w:rsidP="00D72DD9">
            <w:pPr>
              <w:pStyle w:val="BodyTextIndent"/>
              <w:ind w:left="0"/>
              <w:rPr>
                <w:color w:val="FFFFFF" w:themeColor="background1"/>
                <w:szCs w:val="24"/>
                <w:lang w:val="en-GB"/>
              </w:rPr>
            </w:pPr>
            <w:r>
              <w:br w:type="page"/>
            </w:r>
          </w:p>
        </w:tc>
        <w:tc>
          <w:tcPr>
            <w:tcW w:w="1439" w:type="dxa"/>
            <w:shd w:val="clear" w:color="auto" w:fill="BD2716"/>
            <w:vAlign w:val="center"/>
          </w:tcPr>
          <w:p w14:paraId="2ABC2450"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Payment for Services</w:t>
            </w:r>
          </w:p>
          <w:p w14:paraId="745F36B9" w14:textId="6980CD51"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2067" w:type="dxa"/>
            <w:shd w:val="clear" w:color="auto" w:fill="BD2716"/>
            <w:vAlign w:val="center"/>
          </w:tcPr>
          <w:p w14:paraId="0E20D5FE" w14:textId="77777777" w:rsidR="00D90216" w:rsidRPr="00D948C1" w:rsidRDefault="00D90216" w:rsidP="00611673">
            <w:pPr>
              <w:pStyle w:val="BodyTextIndent"/>
              <w:ind w:left="0" w:right="139"/>
              <w:jc w:val="right"/>
              <w:rPr>
                <w:color w:val="FFFFFF" w:themeColor="background1"/>
                <w:szCs w:val="24"/>
                <w:lang w:val="en-GB"/>
              </w:rPr>
            </w:pPr>
            <w:r w:rsidRPr="00D948C1">
              <w:rPr>
                <w:color w:val="FFFFFF" w:themeColor="background1"/>
                <w:szCs w:val="24"/>
                <w:lang w:val="en-GB"/>
              </w:rPr>
              <w:t xml:space="preserve">Reimbursement of Capital </w:t>
            </w:r>
            <w:r w:rsidR="00405586" w:rsidRPr="00D948C1">
              <w:rPr>
                <w:color w:val="FFFFFF" w:themeColor="background1"/>
                <w:szCs w:val="24"/>
                <w:lang w:val="en-GB"/>
              </w:rPr>
              <w:t>Expenditure</w:t>
            </w:r>
          </w:p>
          <w:p w14:paraId="03C34E0C" w14:textId="4AD6A4BB" w:rsidR="0058790E" w:rsidRPr="00D948C1" w:rsidRDefault="0058790E" w:rsidP="00611673">
            <w:pPr>
              <w:pStyle w:val="BodyTextIndent"/>
              <w:ind w:left="0" w:right="139"/>
              <w:jc w:val="right"/>
              <w:rPr>
                <w:color w:val="FFFFFF" w:themeColor="background1"/>
                <w:szCs w:val="24"/>
                <w:lang w:val="en-GB"/>
              </w:rPr>
            </w:pPr>
            <w:r w:rsidRPr="00D948C1">
              <w:rPr>
                <w:color w:val="FFFFFF" w:themeColor="background1"/>
                <w:szCs w:val="24"/>
                <w:lang w:val="en-GB"/>
              </w:rPr>
              <w:t>£000</w:t>
            </w:r>
          </w:p>
        </w:tc>
        <w:tc>
          <w:tcPr>
            <w:tcW w:w="1276" w:type="dxa"/>
            <w:shd w:val="clear" w:color="auto" w:fill="BD2716"/>
            <w:vAlign w:val="center"/>
          </w:tcPr>
          <w:p w14:paraId="228F83E2" w14:textId="77777777" w:rsidR="00D90216" w:rsidRPr="00D948C1" w:rsidRDefault="00D90216" w:rsidP="00611673">
            <w:pPr>
              <w:pStyle w:val="BodyTextIndent"/>
              <w:ind w:left="-81" w:right="40"/>
              <w:jc w:val="right"/>
              <w:rPr>
                <w:color w:val="FFFFFF" w:themeColor="background1"/>
                <w:szCs w:val="24"/>
                <w:lang w:val="en-GB"/>
              </w:rPr>
            </w:pPr>
            <w:r w:rsidRPr="00D948C1">
              <w:rPr>
                <w:color w:val="FFFFFF" w:themeColor="background1"/>
                <w:szCs w:val="24"/>
                <w:lang w:val="en-GB"/>
              </w:rPr>
              <w:t>Interest</w:t>
            </w:r>
          </w:p>
          <w:p w14:paraId="7695D921" w14:textId="5A658A82" w:rsidR="0058790E" w:rsidRPr="00D948C1" w:rsidRDefault="0058790E" w:rsidP="00611673">
            <w:pPr>
              <w:pStyle w:val="BodyTextIndent"/>
              <w:ind w:left="-81" w:right="40"/>
              <w:jc w:val="right"/>
              <w:rPr>
                <w:color w:val="FFFFFF" w:themeColor="background1"/>
                <w:szCs w:val="24"/>
                <w:lang w:val="en-GB"/>
              </w:rPr>
            </w:pPr>
            <w:r w:rsidRPr="00D948C1">
              <w:rPr>
                <w:color w:val="FFFFFF" w:themeColor="background1"/>
                <w:szCs w:val="24"/>
                <w:lang w:val="en-GB"/>
              </w:rPr>
              <w:t>£000</w:t>
            </w:r>
          </w:p>
        </w:tc>
        <w:tc>
          <w:tcPr>
            <w:tcW w:w="1134" w:type="dxa"/>
            <w:shd w:val="clear" w:color="auto" w:fill="BD2716"/>
            <w:vAlign w:val="center"/>
          </w:tcPr>
          <w:p w14:paraId="2B7FFC66"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Total</w:t>
            </w:r>
          </w:p>
          <w:p w14:paraId="6DB7BEB9" w14:textId="193D2B2A"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554" w:type="dxa"/>
            <w:shd w:val="clear" w:color="auto" w:fill="BD2716"/>
            <w:vAlign w:val="center"/>
          </w:tcPr>
          <w:p w14:paraId="511BCBE2" w14:textId="77777777" w:rsidR="00D90216" w:rsidRPr="00D948C1" w:rsidRDefault="00D90216" w:rsidP="00611673">
            <w:pPr>
              <w:pStyle w:val="BodyTextIndent"/>
              <w:ind w:left="0"/>
              <w:jc w:val="right"/>
              <w:rPr>
                <w:color w:val="FFFFFF" w:themeColor="background1"/>
                <w:szCs w:val="24"/>
                <w:lang w:val="en-GB"/>
              </w:rPr>
            </w:pPr>
            <w:r w:rsidRPr="00D948C1">
              <w:rPr>
                <w:color w:val="FFFFFF" w:themeColor="background1"/>
                <w:szCs w:val="24"/>
                <w:lang w:val="en-GB"/>
              </w:rPr>
              <w:t>Government Subsidy</w:t>
            </w:r>
          </w:p>
          <w:p w14:paraId="3D1CA33D" w14:textId="02871D9C" w:rsidR="0058790E" w:rsidRPr="00D948C1" w:rsidRDefault="0058790E" w:rsidP="00611673">
            <w:pPr>
              <w:pStyle w:val="BodyTextIndent"/>
              <w:ind w:left="0"/>
              <w:jc w:val="right"/>
              <w:rPr>
                <w:color w:val="FFFFFF" w:themeColor="background1"/>
                <w:szCs w:val="24"/>
                <w:lang w:val="en-GB"/>
              </w:rPr>
            </w:pPr>
            <w:r w:rsidRPr="00D948C1">
              <w:rPr>
                <w:color w:val="FFFFFF" w:themeColor="background1"/>
                <w:szCs w:val="24"/>
                <w:lang w:val="en-GB"/>
              </w:rPr>
              <w:t>£000</w:t>
            </w:r>
          </w:p>
        </w:tc>
      </w:tr>
      <w:tr w:rsidR="00915C49" w:rsidRPr="00D948C1" w14:paraId="15DBA55F" w14:textId="77777777" w:rsidTr="00D63769">
        <w:tc>
          <w:tcPr>
            <w:tcW w:w="2481" w:type="dxa"/>
            <w:vAlign w:val="bottom"/>
          </w:tcPr>
          <w:p w14:paraId="7EAC91DE" w14:textId="77777777" w:rsidR="00915C49" w:rsidRPr="00D948C1" w:rsidRDefault="00915C49" w:rsidP="00915C49">
            <w:pPr>
              <w:pStyle w:val="BodyTextIndent"/>
              <w:ind w:left="0"/>
              <w:rPr>
                <w:szCs w:val="24"/>
                <w:lang w:val="en-GB"/>
              </w:rPr>
            </w:pPr>
            <w:r w:rsidRPr="00D948C1">
              <w:rPr>
                <w:szCs w:val="24"/>
                <w:lang w:val="en-GB"/>
              </w:rPr>
              <w:t>Payable in 1 year</w:t>
            </w:r>
          </w:p>
        </w:tc>
        <w:tc>
          <w:tcPr>
            <w:tcW w:w="1439" w:type="dxa"/>
            <w:vAlign w:val="center"/>
          </w:tcPr>
          <w:p w14:paraId="3D64EE68" w14:textId="2AF332DC" w:rsidR="00915C49" w:rsidRPr="001A4EDE" w:rsidRDefault="00431D8E" w:rsidP="00F40AE4">
            <w:pPr>
              <w:tabs>
                <w:tab w:val="decimal" w:pos="648"/>
                <w:tab w:val="decimal" w:pos="738"/>
              </w:tabs>
              <w:jc w:val="right"/>
            </w:pPr>
            <w:r>
              <w:t>838</w:t>
            </w:r>
          </w:p>
        </w:tc>
        <w:tc>
          <w:tcPr>
            <w:tcW w:w="2067" w:type="dxa"/>
            <w:vAlign w:val="center"/>
          </w:tcPr>
          <w:p w14:paraId="641ACFE4" w14:textId="10606447" w:rsidR="00915C49" w:rsidRPr="001A4EDE" w:rsidRDefault="004470F0" w:rsidP="00F40AE4">
            <w:pPr>
              <w:tabs>
                <w:tab w:val="decimal" w:pos="648"/>
                <w:tab w:val="decimal" w:pos="738"/>
              </w:tabs>
              <w:jc w:val="right"/>
            </w:pPr>
            <w:r>
              <w:t>718</w:t>
            </w:r>
          </w:p>
        </w:tc>
        <w:tc>
          <w:tcPr>
            <w:tcW w:w="1276" w:type="dxa"/>
            <w:vAlign w:val="center"/>
          </w:tcPr>
          <w:p w14:paraId="73A63BEF" w14:textId="59C66F90" w:rsidR="00915C49" w:rsidRPr="001A4EDE" w:rsidRDefault="004470F0" w:rsidP="00F40AE4">
            <w:pPr>
              <w:tabs>
                <w:tab w:val="decimal" w:pos="648"/>
              </w:tabs>
              <w:jc w:val="right"/>
            </w:pPr>
            <w:r>
              <w:t>1,062</w:t>
            </w:r>
          </w:p>
        </w:tc>
        <w:tc>
          <w:tcPr>
            <w:tcW w:w="1134" w:type="dxa"/>
            <w:vAlign w:val="center"/>
          </w:tcPr>
          <w:p w14:paraId="4B56456C" w14:textId="1EC0BEDA" w:rsidR="00915C49" w:rsidRPr="001A4EDE" w:rsidRDefault="004470F0" w:rsidP="00F40AE4">
            <w:pPr>
              <w:tabs>
                <w:tab w:val="decimal" w:pos="648"/>
                <w:tab w:val="decimal" w:pos="738"/>
              </w:tabs>
              <w:jc w:val="right"/>
            </w:pPr>
            <w:r>
              <w:t>2,618</w:t>
            </w:r>
          </w:p>
        </w:tc>
        <w:tc>
          <w:tcPr>
            <w:tcW w:w="1554" w:type="dxa"/>
            <w:vAlign w:val="center"/>
          </w:tcPr>
          <w:p w14:paraId="47B214FA" w14:textId="77DA2519" w:rsidR="00915C49" w:rsidRPr="001A4EDE" w:rsidRDefault="004470F0" w:rsidP="00F40AE4">
            <w:pPr>
              <w:tabs>
                <w:tab w:val="decimal" w:pos="648"/>
                <w:tab w:val="decimal" w:pos="738"/>
                <w:tab w:val="decimal" w:pos="1046"/>
              </w:tabs>
              <w:jc w:val="right"/>
            </w:pPr>
            <w:r>
              <w:t>1,734</w:t>
            </w:r>
          </w:p>
        </w:tc>
      </w:tr>
      <w:tr w:rsidR="00915C49" w:rsidRPr="00D948C1" w14:paraId="2FFB281F" w14:textId="77777777" w:rsidTr="00D63769">
        <w:trPr>
          <w:trHeight w:val="257"/>
        </w:trPr>
        <w:tc>
          <w:tcPr>
            <w:tcW w:w="2481" w:type="dxa"/>
            <w:vAlign w:val="bottom"/>
          </w:tcPr>
          <w:p w14:paraId="2663EC3B" w14:textId="77777777" w:rsidR="00915C49" w:rsidRPr="00D948C1" w:rsidRDefault="00915C49" w:rsidP="00915C49">
            <w:pPr>
              <w:pStyle w:val="BodyTextIndent"/>
              <w:ind w:left="0"/>
              <w:rPr>
                <w:szCs w:val="24"/>
                <w:lang w:val="en-GB"/>
              </w:rPr>
            </w:pPr>
            <w:r w:rsidRPr="00D948C1">
              <w:rPr>
                <w:szCs w:val="24"/>
                <w:lang w:val="en-GB"/>
              </w:rPr>
              <w:lastRenderedPageBreak/>
              <w:t>Payable within 2-5 years</w:t>
            </w:r>
          </w:p>
        </w:tc>
        <w:tc>
          <w:tcPr>
            <w:tcW w:w="1439" w:type="dxa"/>
            <w:vAlign w:val="center"/>
          </w:tcPr>
          <w:p w14:paraId="626A482E" w14:textId="6F7246B8" w:rsidR="00915C49" w:rsidRPr="001A4EDE" w:rsidRDefault="00431D8E" w:rsidP="00F40AE4">
            <w:pPr>
              <w:tabs>
                <w:tab w:val="decimal" w:pos="648"/>
                <w:tab w:val="decimal" w:pos="738"/>
              </w:tabs>
              <w:jc w:val="right"/>
            </w:pPr>
            <w:r>
              <w:t>3,364</w:t>
            </w:r>
          </w:p>
        </w:tc>
        <w:tc>
          <w:tcPr>
            <w:tcW w:w="2067" w:type="dxa"/>
            <w:vAlign w:val="center"/>
          </w:tcPr>
          <w:p w14:paraId="2260081F" w14:textId="63853A08" w:rsidR="00915C49" w:rsidRPr="001A4EDE" w:rsidRDefault="004470F0" w:rsidP="00F40AE4">
            <w:pPr>
              <w:tabs>
                <w:tab w:val="decimal" w:pos="648"/>
                <w:tab w:val="decimal" w:pos="738"/>
              </w:tabs>
              <w:jc w:val="right"/>
            </w:pPr>
            <w:r>
              <w:t>3,586</w:t>
            </w:r>
          </w:p>
        </w:tc>
        <w:tc>
          <w:tcPr>
            <w:tcW w:w="1276" w:type="dxa"/>
            <w:vAlign w:val="center"/>
          </w:tcPr>
          <w:p w14:paraId="592446F5" w14:textId="20A9B5CD" w:rsidR="00915C49" w:rsidRPr="001A4EDE" w:rsidRDefault="004470F0" w:rsidP="00F40AE4">
            <w:pPr>
              <w:tabs>
                <w:tab w:val="decimal" w:pos="648"/>
              </w:tabs>
              <w:jc w:val="right"/>
            </w:pPr>
            <w:r>
              <w:t>3,492</w:t>
            </w:r>
          </w:p>
        </w:tc>
        <w:tc>
          <w:tcPr>
            <w:tcW w:w="1134" w:type="dxa"/>
            <w:vAlign w:val="center"/>
          </w:tcPr>
          <w:p w14:paraId="5FC2F999" w14:textId="3AD79A16" w:rsidR="00915C49" w:rsidRPr="001A4EDE" w:rsidRDefault="004470F0" w:rsidP="00F40AE4">
            <w:pPr>
              <w:tabs>
                <w:tab w:val="decimal" w:pos="648"/>
                <w:tab w:val="decimal" w:pos="738"/>
              </w:tabs>
              <w:jc w:val="right"/>
            </w:pPr>
            <w:r>
              <w:t>10,441</w:t>
            </w:r>
          </w:p>
        </w:tc>
        <w:tc>
          <w:tcPr>
            <w:tcW w:w="1554" w:type="dxa"/>
            <w:vAlign w:val="center"/>
          </w:tcPr>
          <w:p w14:paraId="55EE3F31" w14:textId="57961B7C" w:rsidR="00915C49" w:rsidRPr="001A4EDE" w:rsidRDefault="004470F0" w:rsidP="00F40AE4">
            <w:pPr>
              <w:tabs>
                <w:tab w:val="decimal" w:pos="648"/>
                <w:tab w:val="decimal" w:pos="738"/>
                <w:tab w:val="decimal" w:pos="1046"/>
              </w:tabs>
              <w:jc w:val="right"/>
            </w:pPr>
            <w:r>
              <w:t>6,936</w:t>
            </w:r>
          </w:p>
        </w:tc>
      </w:tr>
      <w:tr w:rsidR="00915C49" w:rsidRPr="00D948C1" w14:paraId="051984C3" w14:textId="77777777" w:rsidTr="00D63769">
        <w:tc>
          <w:tcPr>
            <w:tcW w:w="2481" w:type="dxa"/>
            <w:vAlign w:val="bottom"/>
          </w:tcPr>
          <w:p w14:paraId="513F07A0" w14:textId="77777777" w:rsidR="00915C49" w:rsidRPr="00D948C1" w:rsidRDefault="00915C49" w:rsidP="00915C49">
            <w:pPr>
              <w:pStyle w:val="BodyTextIndent"/>
              <w:ind w:left="0"/>
              <w:rPr>
                <w:szCs w:val="24"/>
                <w:lang w:val="en-GB"/>
              </w:rPr>
            </w:pPr>
            <w:r w:rsidRPr="00D948C1">
              <w:rPr>
                <w:szCs w:val="24"/>
                <w:lang w:val="en-GB"/>
              </w:rPr>
              <w:t>Payable within 6-10 years</w:t>
            </w:r>
          </w:p>
        </w:tc>
        <w:tc>
          <w:tcPr>
            <w:tcW w:w="1439" w:type="dxa"/>
            <w:vAlign w:val="center"/>
          </w:tcPr>
          <w:p w14:paraId="7A146135" w14:textId="395C29D7" w:rsidR="00915C49" w:rsidRPr="00225E6D" w:rsidRDefault="004470F0" w:rsidP="00F40AE4">
            <w:pPr>
              <w:tabs>
                <w:tab w:val="decimal" w:pos="648"/>
                <w:tab w:val="decimal" w:pos="738"/>
              </w:tabs>
              <w:jc w:val="right"/>
            </w:pPr>
            <w:r>
              <w:t>3,065</w:t>
            </w:r>
          </w:p>
        </w:tc>
        <w:tc>
          <w:tcPr>
            <w:tcW w:w="2067" w:type="dxa"/>
            <w:vAlign w:val="center"/>
          </w:tcPr>
          <w:p w14:paraId="7AE23785" w14:textId="2761D56F" w:rsidR="00915C49" w:rsidRPr="00225E6D" w:rsidRDefault="004470F0" w:rsidP="00F40AE4">
            <w:pPr>
              <w:tabs>
                <w:tab w:val="decimal" w:pos="648"/>
                <w:tab w:val="decimal" w:pos="738"/>
              </w:tabs>
              <w:jc w:val="right"/>
            </w:pPr>
            <w:r>
              <w:t>5,041</w:t>
            </w:r>
          </w:p>
        </w:tc>
        <w:tc>
          <w:tcPr>
            <w:tcW w:w="1276" w:type="dxa"/>
            <w:vAlign w:val="center"/>
          </w:tcPr>
          <w:p w14:paraId="5378E087" w14:textId="4C2E8A3F" w:rsidR="00915C49" w:rsidRPr="00225E6D" w:rsidRDefault="004470F0" w:rsidP="00F40AE4">
            <w:pPr>
              <w:tabs>
                <w:tab w:val="decimal" w:pos="648"/>
              </w:tabs>
              <w:jc w:val="right"/>
            </w:pPr>
            <w:r>
              <w:t>2,263</w:t>
            </w:r>
          </w:p>
        </w:tc>
        <w:tc>
          <w:tcPr>
            <w:tcW w:w="1134" w:type="dxa"/>
            <w:vAlign w:val="center"/>
          </w:tcPr>
          <w:p w14:paraId="5F4A7495" w14:textId="74C0FE3F" w:rsidR="00915C49" w:rsidRPr="00225E6D" w:rsidRDefault="004470F0" w:rsidP="00F40AE4">
            <w:pPr>
              <w:tabs>
                <w:tab w:val="decimal" w:pos="648"/>
                <w:tab w:val="decimal" w:pos="738"/>
              </w:tabs>
              <w:jc w:val="right"/>
            </w:pPr>
            <w:r>
              <w:t>10,369</w:t>
            </w:r>
          </w:p>
        </w:tc>
        <w:tc>
          <w:tcPr>
            <w:tcW w:w="1554" w:type="dxa"/>
            <w:vAlign w:val="center"/>
          </w:tcPr>
          <w:p w14:paraId="4667544A" w14:textId="35D89C56" w:rsidR="00915C49" w:rsidRPr="00225E6D" w:rsidRDefault="004470F0" w:rsidP="00F40AE4">
            <w:pPr>
              <w:tabs>
                <w:tab w:val="decimal" w:pos="648"/>
                <w:tab w:val="decimal" w:pos="738"/>
                <w:tab w:val="decimal" w:pos="1046"/>
              </w:tabs>
              <w:jc w:val="right"/>
            </w:pPr>
            <w:r>
              <w:t>7,221</w:t>
            </w:r>
          </w:p>
        </w:tc>
      </w:tr>
      <w:tr w:rsidR="00915C49" w:rsidRPr="00D948C1" w14:paraId="4AECCF04" w14:textId="77777777" w:rsidTr="00D63769">
        <w:tc>
          <w:tcPr>
            <w:tcW w:w="2481" w:type="dxa"/>
            <w:vAlign w:val="bottom"/>
          </w:tcPr>
          <w:p w14:paraId="3F06D334" w14:textId="77777777" w:rsidR="00915C49" w:rsidRPr="00D948C1" w:rsidRDefault="00915C49" w:rsidP="00915C49">
            <w:pPr>
              <w:pStyle w:val="BodyTextIndent"/>
              <w:ind w:left="0"/>
              <w:rPr>
                <w:szCs w:val="24"/>
                <w:lang w:val="en-GB"/>
              </w:rPr>
            </w:pPr>
            <w:r w:rsidRPr="00D948C1">
              <w:rPr>
                <w:szCs w:val="24"/>
                <w:lang w:val="en-GB"/>
              </w:rPr>
              <w:t>Payable within 11-15 years</w:t>
            </w:r>
          </w:p>
        </w:tc>
        <w:tc>
          <w:tcPr>
            <w:tcW w:w="1439" w:type="dxa"/>
            <w:vAlign w:val="center"/>
          </w:tcPr>
          <w:p w14:paraId="03E14BBC" w14:textId="1C99A9BC" w:rsidR="00915C49" w:rsidRPr="00225E6D" w:rsidRDefault="004470F0" w:rsidP="00F40AE4">
            <w:pPr>
              <w:tabs>
                <w:tab w:val="decimal" w:pos="648"/>
                <w:tab w:val="decimal" w:pos="738"/>
              </w:tabs>
              <w:jc w:val="right"/>
            </w:pPr>
            <w:r>
              <w:t>1,003</w:t>
            </w:r>
          </w:p>
        </w:tc>
        <w:tc>
          <w:tcPr>
            <w:tcW w:w="2067" w:type="dxa"/>
            <w:vAlign w:val="center"/>
          </w:tcPr>
          <w:p w14:paraId="7523169A" w14:textId="4AF9DBEC" w:rsidR="00915C49" w:rsidRPr="00225E6D" w:rsidRDefault="004470F0" w:rsidP="00F40AE4">
            <w:pPr>
              <w:tabs>
                <w:tab w:val="decimal" w:pos="648"/>
                <w:tab w:val="decimal" w:pos="738"/>
              </w:tabs>
              <w:jc w:val="right"/>
            </w:pPr>
            <w:r>
              <w:t>2,497</w:t>
            </w:r>
          </w:p>
        </w:tc>
        <w:tc>
          <w:tcPr>
            <w:tcW w:w="1276" w:type="dxa"/>
            <w:vAlign w:val="center"/>
          </w:tcPr>
          <w:p w14:paraId="5E2711B2" w14:textId="18365D6D" w:rsidR="00915C49" w:rsidRPr="00225E6D" w:rsidRDefault="004470F0" w:rsidP="00F40AE4">
            <w:pPr>
              <w:tabs>
                <w:tab w:val="decimal" w:pos="648"/>
              </w:tabs>
              <w:jc w:val="right"/>
            </w:pPr>
            <w:r>
              <w:t>300</w:t>
            </w:r>
          </w:p>
        </w:tc>
        <w:tc>
          <w:tcPr>
            <w:tcW w:w="1134" w:type="dxa"/>
            <w:vAlign w:val="center"/>
          </w:tcPr>
          <w:p w14:paraId="1BDECE54" w14:textId="345C9691" w:rsidR="00915C49" w:rsidRPr="00225E6D" w:rsidRDefault="004470F0" w:rsidP="00F40AE4">
            <w:pPr>
              <w:tabs>
                <w:tab w:val="decimal" w:pos="648"/>
                <w:tab w:val="decimal" w:pos="738"/>
              </w:tabs>
              <w:jc w:val="right"/>
            </w:pPr>
            <w:r>
              <w:t>3,800</w:t>
            </w:r>
          </w:p>
        </w:tc>
        <w:tc>
          <w:tcPr>
            <w:tcW w:w="1554" w:type="dxa"/>
            <w:vAlign w:val="center"/>
          </w:tcPr>
          <w:p w14:paraId="4D9E3F3C" w14:textId="5112F849" w:rsidR="00915C49" w:rsidRPr="00225E6D" w:rsidRDefault="004470F0" w:rsidP="00F40AE4">
            <w:pPr>
              <w:tabs>
                <w:tab w:val="decimal" w:pos="648"/>
                <w:tab w:val="decimal" w:pos="738"/>
                <w:tab w:val="decimal" w:pos="1046"/>
              </w:tabs>
              <w:jc w:val="right"/>
            </w:pPr>
            <w:r>
              <w:t>3,128</w:t>
            </w:r>
          </w:p>
        </w:tc>
      </w:tr>
      <w:tr w:rsidR="00915C49" w:rsidRPr="00D948C1" w14:paraId="6C2262DE" w14:textId="77777777" w:rsidTr="00D63769">
        <w:tc>
          <w:tcPr>
            <w:tcW w:w="2481" w:type="dxa"/>
            <w:vAlign w:val="bottom"/>
          </w:tcPr>
          <w:p w14:paraId="7A65FD0A" w14:textId="77777777" w:rsidR="00915C49" w:rsidRPr="00D948C1" w:rsidRDefault="00915C49" w:rsidP="00915C49">
            <w:pPr>
              <w:pStyle w:val="BodyTextIndent"/>
              <w:ind w:left="0"/>
              <w:rPr>
                <w:szCs w:val="24"/>
                <w:lang w:val="en-GB"/>
              </w:rPr>
            </w:pPr>
            <w:r w:rsidRPr="00D948C1">
              <w:rPr>
                <w:szCs w:val="24"/>
                <w:lang w:val="en-GB"/>
              </w:rPr>
              <w:t>Total</w:t>
            </w:r>
          </w:p>
        </w:tc>
        <w:tc>
          <w:tcPr>
            <w:tcW w:w="1439" w:type="dxa"/>
            <w:vAlign w:val="center"/>
          </w:tcPr>
          <w:p w14:paraId="35A95B6D" w14:textId="12849DB6" w:rsidR="00915C49" w:rsidRPr="00225E6D" w:rsidRDefault="004470F0" w:rsidP="00F40AE4">
            <w:pPr>
              <w:tabs>
                <w:tab w:val="decimal" w:pos="648"/>
                <w:tab w:val="decimal" w:pos="738"/>
              </w:tabs>
              <w:jc w:val="right"/>
            </w:pPr>
            <w:r>
              <w:t>8,269</w:t>
            </w:r>
          </w:p>
        </w:tc>
        <w:tc>
          <w:tcPr>
            <w:tcW w:w="2067" w:type="dxa"/>
            <w:vAlign w:val="center"/>
          </w:tcPr>
          <w:p w14:paraId="3D252290" w14:textId="786A391F" w:rsidR="00915C49" w:rsidRPr="00225E6D" w:rsidRDefault="004470F0" w:rsidP="00F40AE4">
            <w:pPr>
              <w:tabs>
                <w:tab w:val="decimal" w:pos="648"/>
                <w:tab w:val="decimal" w:pos="738"/>
              </w:tabs>
              <w:jc w:val="right"/>
            </w:pPr>
            <w:r>
              <w:t>11,841</w:t>
            </w:r>
          </w:p>
        </w:tc>
        <w:tc>
          <w:tcPr>
            <w:tcW w:w="1276" w:type="dxa"/>
            <w:vAlign w:val="center"/>
          </w:tcPr>
          <w:p w14:paraId="54ABD078" w14:textId="22717269" w:rsidR="00915C49" w:rsidRPr="00225E6D" w:rsidRDefault="004470F0" w:rsidP="00F40AE4">
            <w:pPr>
              <w:tabs>
                <w:tab w:val="decimal" w:pos="648"/>
              </w:tabs>
              <w:jc w:val="right"/>
            </w:pPr>
            <w:r>
              <w:t>7,117</w:t>
            </w:r>
          </w:p>
        </w:tc>
        <w:tc>
          <w:tcPr>
            <w:tcW w:w="1134" w:type="dxa"/>
            <w:vAlign w:val="center"/>
          </w:tcPr>
          <w:p w14:paraId="5E69637C" w14:textId="3391B3F8" w:rsidR="00915C49" w:rsidRPr="00225E6D" w:rsidRDefault="004470F0" w:rsidP="00F40AE4">
            <w:pPr>
              <w:tabs>
                <w:tab w:val="decimal" w:pos="648"/>
              </w:tabs>
              <w:jc w:val="right"/>
            </w:pPr>
            <w:r>
              <w:t>27,227</w:t>
            </w:r>
          </w:p>
        </w:tc>
        <w:tc>
          <w:tcPr>
            <w:tcW w:w="1554" w:type="dxa"/>
            <w:vAlign w:val="center"/>
          </w:tcPr>
          <w:p w14:paraId="0C1A685D" w14:textId="5D4AAD75" w:rsidR="00915C49" w:rsidRPr="00225E6D" w:rsidRDefault="004470F0" w:rsidP="00F40AE4">
            <w:pPr>
              <w:tabs>
                <w:tab w:val="decimal" w:pos="648"/>
                <w:tab w:val="decimal" w:pos="1046"/>
              </w:tabs>
              <w:jc w:val="right"/>
            </w:pPr>
            <w:r>
              <w:t>19,019</w:t>
            </w:r>
          </w:p>
        </w:tc>
      </w:tr>
    </w:tbl>
    <w:p w14:paraId="7BE4AC41" w14:textId="77777777" w:rsidR="00A43D8F" w:rsidRPr="00D948C1" w:rsidRDefault="00A43D8F" w:rsidP="00617696">
      <w:pPr>
        <w:jc w:val="both"/>
      </w:pPr>
    </w:p>
    <w:p w14:paraId="3D39E7E0" w14:textId="503E2A2C" w:rsidR="0061700B" w:rsidRPr="00D948C1" w:rsidRDefault="0061700B" w:rsidP="00BC6C4F">
      <w:pPr>
        <w:ind w:left="720"/>
      </w:pPr>
      <w:r>
        <w:t xml:space="preserve">Although the payments made to the contractor are described as unitary payments, they have been calculated to compensate the contractor for the fair value of the services they provide, the capital expenditure incurred and interest payable </w:t>
      </w:r>
      <w:r w:rsidR="00B1753C">
        <w:t>over the life of the contract</w:t>
      </w:r>
      <w:r>
        <w:t>. The liability outstanding to pay the contractor for capital expenditure incurred is as follows:</w:t>
      </w:r>
    </w:p>
    <w:p w14:paraId="71815503" w14:textId="77777777" w:rsidR="0061700B" w:rsidRPr="00D948C1" w:rsidRDefault="0061700B" w:rsidP="0061700B">
      <w:pPr>
        <w:ind w:left="720"/>
        <w:jc w:val="both"/>
        <w:rPr>
          <w:sz w:val="22"/>
        </w:rPr>
      </w:pPr>
    </w:p>
    <w:tbl>
      <w:tblPr>
        <w:tblW w:w="90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984"/>
        <w:gridCol w:w="1855"/>
      </w:tblGrid>
      <w:tr w:rsidR="00BA53E7" w:rsidRPr="00D948C1" w14:paraId="517B30A0" w14:textId="77777777" w:rsidTr="00611673">
        <w:trPr>
          <w:tblHeader/>
        </w:trPr>
        <w:tc>
          <w:tcPr>
            <w:tcW w:w="5245" w:type="dxa"/>
            <w:shd w:val="clear" w:color="auto" w:fill="BD2716"/>
          </w:tcPr>
          <w:p w14:paraId="09A74FBA" w14:textId="77777777" w:rsidR="00BA53E7" w:rsidRPr="00D948C1" w:rsidRDefault="00BA53E7" w:rsidP="00BA53E7">
            <w:pPr>
              <w:jc w:val="both"/>
              <w:rPr>
                <w:color w:val="FFFFFF" w:themeColor="background1"/>
                <w:szCs w:val="24"/>
              </w:rPr>
            </w:pPr>
          </w:p>
        </w:tc>
        <w:tc>
          <w:tcPr>
            <w:tcW w:w="1984" w:type="dxa"/>
            <w:shd w:val="clear" w:color="auto" w:fill="BD2716"/>
            <w:vAlign w:val="center"/>
          </w:tcPr>
          <w:p w14:paraId="1D9CBE26" w14:textId="6F881B06" w:rsidR="00BA53E7" w:rsidRPr="00D948C1" w:rsidRDefault="001A42DD" w:rsidP="00611673">
            <w:pPr>
              <w:pStyle w:val="BodyTextIndent"/>
              <w:ind w:left="0"/>
              <w:jc w:val="right"/>
              <w:rPr>
                <w:color w:val="FFFFFF" w:themeColor="background1"/>
                <w:szCs w:val="24"/>
                <w:lang w:val="en-GB"/>
              </w:rPr>
            </w:pPr>
            <w:r>
              <w:rPr>
                <w:color w:val="FFFFFF" w:themeColor="background1"/>
                <w:szCs w:val="24"/>
                <w:lang w:val="en-GB"/>
              </w:rPr>
              <w:t>2025-26</w:t>
            </w:r>
          </w:p>
          <w:p w14:paraId="72AA3AF4" w14:textId="4DBC5745" w:rsidR="00C67044" w:rsidRPr="00D948C1" w:rsidRDefault="00C67044" w:rsidP="00611673">
            <w:pPr>
              <w:pStyle w:val="BodyTextIndent"/>
              <w:ind w:left="0"/>
              <w:jc w:val="right"/>
              <w:rPr>
                <w:color w:val="FFFFFF" w:themeColor="background1"/>
                <w:szCs w:val="24"/>
                <w:lang w:val="en-GB"/>
              </w:rPr>
            </w:pPr>
            <w:r w:rsidRPr="00D948C1">
              <w:rPr>
                <w:color w:val="FFFFFF" w:themeColor="background1"/>
                <w:szCs w:val="24"/>
                <w:lang w:val="en-GB"/>
              </w:rPr>
              <w:t>£000</w:t>
            </w:r>
          </w:p>
        </w:tc>
        <w:tc>
          <w:tcPr>
            <w:tcW w:w="1855" w:type="dxa"/>
            <w:shd w:val="clear" w:color="auto" w:fill="BD2716"/>
            <w:vAlign w:val="center"/>
          </w:tcPr>
          <w:p w14:paraId="76434660" w14:textId="5BFDFCF0" w:rsidR="003538E0" w:rsidRPr="00D948C1" w:rsidRDefault="001A42DD" w:rsidP="003538E0">
            <w:pPr>
              <w:pStyle w:val="BodyTextIndent"/>
              <w:ind w:left="0"/>
              <w:jc w:val="right"/>
              <w:rPr>
                <w:color w:val="FFFFFF" w:themeColor="background1"/>
                <w:szCs w:val="24"/>
                <w:lang w:val="en-GB"/>
              </w:rPr>
            </w:pPr>
            <w:r>
              <w:rPr>
                <w:color w:val="FFFFFF" w:themeColor="background1"/>
                <w:szCs w:val="24"/>
                <w:lang w:val="en-GB"/>
              </w:rPr>
              <w:t>2024-25</w:t>
            </w:r>
          </w:p>
          <w:p w14:paraId="285EF060" w14:textId="0DEFB5F5" w:rsidR="00C67044" w:rsidRPr="00D948C1" w:rsidRDefault="003538E0" w:rsidP="003538E0">
            <w:pPr>
              <w:pStyle w:val="BodyTextIndent"/>
              <w:ind w:left="0"/>
              <w:jc w:val="right"/>
              <w:rPr>
                <w:color w:val="FFFFFF" w:themeColor="background1"/>
                <w:szCs w:val="24"/>
                <w:lang w:val="en-GB"/>
              </w:rPr>
            </w:pPr>
            <w:r w:rsidRPr="00D948C1">
              <w:rPr>
                <w:color w:val="FFFFFF" w:themeColor="background1"/>
                <w:szCs w:val="24"/>
                <w:lang w:val="en-GB"/>
              </w:rPr>
              <w:t>£000</w:t>
            </w:r>
          </w:p>
        </w:tc>
      </w:tr>
      <w:tr w:rsidR="003538E0" w:rsidRPr="00D948C1" w14:paraId="488B905B" w14:textId="77777777" w:rsidTr="00DD63D7">
        <w:tc>
          <w:tcPr>
            <w:tcW w:w="5245" w:type="dxa"/>
          </w:tcPr>
          <w:p w14:paraId="1FF56D3D" w14:textId="77777777" w:rsidR="003538E0" w:rsidRPr="00D948C1" w:rsidRDefault="003538E0" w:rsidP="003538E0">
            <w:pPr>
              <w:rPr>
                <w:szCs w:val="24"/>
              </w:rPr>
            </w:pPr>
            <w:r w:rsidRPr="00D948C1">
              <w:rPr>
                <w:szCs w:val="24"/>
              </w:rPr>
              <w:t>Balance outstanding at the start of the year</w:t>
            </w:r>
          </w:p>
        </w:tc>
        <w:tc>
          <w:tcPr>
            <w:tcW w:w="1984" w:type="dxa"/>
            <w:vAlign w:val="center"/>
          </w:tcPr>
          <w:p w14:paraId="256C7309" w14:textId="06D796CA" w:rsidR="003538E0" w:rsidRPr="00294859" w:rsidRDefault="003538E0" w:rsidP="003538E0">
            <w:pPr>
              <w:tabs>
                <w:tab w:val="decimal" w:pos="648"/>
                <w:tab w:val="decimal" w:pos="738"/>
              </w:tabs>
              <w:jc w:val="right"/>
              <w:rPr>
                <w:szCs w:val="24"/>
              </w:rPr>
            </w:pPr>
            <w:r w:rsidRPr="00124FF4">
              <w:rPr>
                <w:szCs w:val="24"/>
              </w:rPr>
              <w:t>12,444</w:t>
            </w:r>
          </w:p>
        </w:tc>
        <w:tc>
          <w:tcPr>
            <w:tcW w:w="1855" w:type="dxa"/>
            <w:vAlign w:val="center"/>
          </w:tcPr>
          <w:p w14:paraId="15F244E1" w14:textId="0340C893" w:rsidR="003538E0" w:rsidRPr="00124FF4" w:rsidRDefault="003538E0" w:rsidP="003538E0">
            <w:pPr>
              <w:tabs>
                <w:tab w:val="decimal" w:pos="648"/>
                <w:tab w:val="decimal" w:pos="738"/>
              </w:tabs>
              <w:jc w:val="right"/>
              <w:rPr>
                <w:szCs w:val="24"/>
              </w:rPr>
            </w:pPr>
            <w:r w:rsidRPr="00294859">
              <w:rPr>
                <w:szCs w:val="24"/>
              </w:rPr>
              <w:t>11,868</w:t>
            </w:r>
          </w:p>
        </w:tc>
      </w:tr>
      <w:tr w:rsidR="003538E0" w:rsidRPr="00D948C1" w14:paraId="7852B02A" w14:textId="77777777" w:rsidTr="00DD63D7">
        <w:tc>
          <w:tcPr>
            <w:tcW w:w="5245" w:type="dxa"/>
          </w:tcPr>
          <w:p w14:paraId="08B57A83" w14:textId="09BB4145" w:rsidR="003538E0" w:rsidRPr="00D948C1" w:rsidRDefault="003538E0" w:rsidP="003538E0">
            <w:pPr>
              <w:rPr>
                <w:szCs w:val="24"/>
              </w:rPr>
            </w:pPr>
            <w:r>
              <w:rPr>
                <w:szCs w:val="24"/>
              </w:rPr>
              <w:t>IFRS 16 PFI transition &amp; indexation</w:t>
            </w:r>
          </w:p>
        </w:tc>
        <w:tc>
          <w:tcPr>
            <w:tcW w:w="1984" w:type="dxa"/>
            <w:vAlign w:val="center"/>
          </w:tcPr>
          <w:p w14:paraId="352996A8" w14:textId="334FAC01" w:rsidR="003538E0" w:rsidRPr="00294859" w:rsidRDefault="00925604" w:rsidP="003538E0">
            <w:pPr>
              <w:tabs>
                <w:tab w:val="decimal" w:pos="648"/>
                <w:tab w:val="decimal" w:pos="738"/>
              </w:tabs>
              <w:jc w:val="right"/>
              <w:rPr>
                <w:szCs w:val="24"/>
              </w:rPr>
            </w:pPr>
            <w:r>
              <w:rPr>
                <w:szCs w:val="24"/>
              </w:rPr>
              <w:t>62</w:t>
            </w:r>
          </w:p>
        </w:tc>
        <w:tc>
          <w:tcPr>
            <w:tcW w:w="1855" w:type="dxa"/>
            <w:vAlign w:val="center"/>
          </w:tcPr>
          <w:p w14:paraId="1785852C" w14:textId="39E14CE9" w:rsidR="003538E0" w:rsidRPr="00124FF4" w:rsidRDefault="003538E0" w:rsidP="003538E0">
            <w:pPr>
              <w:tabs>
                <w:tab w:val="decimal" w:pos="648"/>
                <w:tab w:val="decimal" w:pos="738"/>
              </w:tabs>
              <w:jc w:val="right"/>
              <w:rPr>
                <w:szCs w:val="24"/>
              </w:rPr>
            </w:pPr>
            <w:r w:rsidRPr="00124FF4">
              <w:rPr>
                <w:szCs w:val="24"/>
              </w:rPr>
              <w:t>1,178</w:t>
            </w:r>
          </w:p>
        </w:tc>
      </w:tr>
      <w:tr w:rsidR="003538E0" w:rsidRPr="00D948C1" w14:paraId="3A357D1B" w14:textId="77777777" w:rsidTr="00DD63D7">
        <w:tc>
          <w:tcPr>
            <w:tcW w:w="5245" w:type="dxa"/>
          </w:tcPr>
          <w:p w14:paraId="2D2DCD46" w14:textId="77777777" w:rsidR="003538E0" w:rsidRPr="00D948C1" w:rsidRDefault="003538E0" w:rsidP="003538E0">
            <w:pPr>
              <w:rPr>
                <w:szCs w:val="24"/>
              </w:rPr>
            </w:pPr>
            <w:r w:rsidRPr="00D948C1">
              <w:rPr>
                <w:szCs w:val="24"/>
              </w:rPr>
              <w:t>Payments during the year</w:t>
            </w:r>
          </w:p>
        </w:tc>
        <w:tc>
          <w:tcPr>
            <w:tcW w:w="1984" w:type="dxa"/>
            <w:vAlign w:val="center"/>
          </w:tcPr>
          <w:p w14:paraId="5128C494" w14:textId="4C65579F" w:rsidR="003538E0" w:rsidRPr="00294859" w:rsidRDefault="00925604" w:rsidP="003538E0">
            <w:pPr>
              <w:tabs>
                <w:tab w:val="decimal" w:pos="648"/>
                <w:tab w:val="decimal" w:pos="738"/>
              </w:tabs>
              <w:jc w:val="right"/>
              <w:rPr>
                <w:szCs w:val="24"/>
              </w:rPr>
            </w:pPr>
            <w:r>
              <w:rPr>
                <w:szCs w:val="24"/>
              </w:rPr>
              <w:t>(664)</w:t>
            </w:r>
          </w:p>
        </w:tc>
        <w:tc>
          <w:tcPr>
            <w:tcW w:w="1855" w:type="dxa"/>
            <w:vAlign w:val="center"/>
          </w:tcPr>
          <w:p w14:paraId="34EB73E0" w14:textId="0CF9ED94" w:rsidR="003538E0" w:rsidRPr="00124FF4" w:rsidRDefault="003538E0" w:rsidP="003538E0">
            <w:pPr>
              <w:tabs>
                <w:tab w:val="decimal" w:pos="648"/>
                <w:tab w:val="decimal" w:pos="738"/>
              </w:tabs>
              <w:jc w:val="right"/>
              <w:rPr>
                <w:szCs w:val="24"/>
              </w:rPr>
            </w:pPr>
            <w:r w:rsidRPr="00124FF4">
              <w:rPr>
                <w:szCs w:val="24"/>
              </w:rPr>
              <w:t>(601)</w:t>
            </w:r>
          </w:p>
        </w:tc>
      </w:tr>
      <w:tr w:rsidR="003538E0" w:rsidRPr="00D948C1" w14:paraId="713B56E3" w14:textId="77777777" w:rsidTr="00DD63D7">
        <w:tc>
          <w:tcPr>
            <w:tcW w:w="5245" w:type="dxa"/>
          </w:tcPr>
          <w:p w14:paraId="310D5551" w14:textId="77777777" w:rsidR="003538E0" w:rsidRPr="00D948C1" w:rsidRDefault="003538E0" w:rsidP="003538E0">
            <w:pPr>
              <w:rPr>
                <w:szCs w:val="24"/>
              </w:rPr>
            </w:pPr>
            <w:r w:rsidRPr="00D948C1">
              <w:rPr>
                <w:szCs w:val="24"/>
              </w:rPr>
              <w:t>Balance outstanding at year end</w:t>
            </w:r>
          </w:p>
        </w:tc>
        <w:tc>
          <w:tcPr>
            <w:tcW w:w="1984" w:type="dxa"/>
            <w:vAlign w:val="center"/>
          </w:tcPr>
          <w:p w14:paraId="678EDC77" w14:textId="5FB62C8E" w:rsidR="003538E0" w:rsidRPr="00294859" w:rsidRDefault="00925604" w:rsidP="003538E0">
            <w:pPr>
              <w:tabs>
                <w:tab w:val="decimal" w:pos="648"/>
                <w:tab w:val="decimal" w:pos="738"/>
              </w:tabs>
              <w:jc w:val="right"/>
              <w:rPr>
                <w:szCs w:val="24"/>
              </w:rPr>
            </w:pPr>
            <w:r>
              <w:rPr>
                <w:szCs w:val="24"/>
              </w:rPr>
              <w:t>11,841</w:t>
            </w:r>
          </w:p>
        </w:tc>
        <w:tc>
          <w:tcPr>
            <w:tcW w:w="1855" w:type="dxa"/>
            <w:vAlign w:val="center"/>
          </w:tcPr>
          <w:p w14:paraId="09455FF0" w14:textId="29876347" w:rsidR="003538E0" w:rsidRPr="00124FF4" w:rsidRDefault="003538E0" w:rsidP="003538E0">
            <w:pPr>
              <w:tabs>
                <w:tab w:val="decimal" w:pos="648"/>
                <w:tab w:val="decimal" w:pos="738"/>
              </w:tabs>
              <w:jc w:val="right"/>
              <w:rPr>
                <w:szCs w:val="24"/>
              </w:rPr>
            </w:pPr>
            <w:r w:rsidRPr="00124FF4">
              <w:rPr>
                <w:szCs w:val="24"/>
              </w:rPr>
              <w:t>12,444</w:t>
            </w:r>
          </w:p>
        </w:tc>
      </w:tr>
    </w:tbl>
    <w:p w14:paraId="0153D500" w14:textId="77777777" w:rsidR="003E5739" w:rsidRPr="00D948C1" w:rsidRDefault="003E5739">
      <w:pPr>
        <w:rPr>
          <w:b/>
          <w:szCs w:val="24"/>
        </w:rPr>
      </w:pPr>
    </w:p>
    <w:p w14:paraId="52D3CF4D" w14:textId="68768C75" w:rsidR="00D90216" w:rsidRPr="001800E4" w:rsidRDefault="001C592E" w:rsidP="003278CF">
      <w:pPr>
        <w:pStyle w:val="Heading2"/>
        <w:jc w:val="left"/>
        <w:rPr>
          <w:sz w:val="24"/>
          <w:szCs w:val="24"/>
        </w:rPr>
      </w:pPr>
      <w:bookmarkStart w:id="54" w:name="_16_Net_Liability"/>
      <w:bookmarkStart w:id="55" w:name="_Toc233717535"/>
      <w:bookmarkEnd w:id="54"/>
      <w:r w:rsidRPr="00D948C1">
        <w:rPr>
          <w:sz w:val="24"/>
          <w:szCs w:val="24"/>
        </w:rPr>
        <w:t>1</w:t>
      </w:r>
      <w:r w:rsidR="00B62A26">
        <w:rPr>
          <w:sz w:val="24"/>
          <w:szCs w:val="24"/>
        </w:rPr>
        <w:t>6</w:t>
      </w:r>
      <w:r w:rsidR="00D90216">
        <w:tab/>
      </w:r>
      <w:bookmarkStart w:id="56" w:name="N15"/>
      <w:bookmarkEnd w:id="56"/>
      <w:r w:rsidR="00D90216" w:rsidRPr="5EC7657A">
        <w:rPr>
          <w:sz w:val="24"/>
          <w:szCs w:val="24"/>
        </w:rPr>
        <w:t>Net</w:t>
      </w:r>
      <w:r w:rsidR="00F26246" w:rsidRPr="5EC7657A">
        <w:rPr>
          <w:sz w:val="24"/>
          <w:szCs w:val="24"/>
        </w:rPr>
        <w:t xml:space="preserve"> </w:t>
      </w:r>
      <w:r w:rsidR="00D90216" w:rsidRPr="5EC7657A">
        <w:rPr>
          <w:sz w:val="24"/>
          <w:szCs w:val="24"/>
        </w:rPr>
        <w:t>Liability Related to Local Government and Firefighters’ Pensions Schemes</w:t>
      </w:r>
      <w:bookmarkEnd w:id="55"/>
      <w:r w:rsidR="00D90216" w:rsidRPr="5EC7657A">
        <w:rPr>
          <w:sz w:val="24"/>
          <w:szCs w:val="24"/>
        </w:rPr>
        <w:t xml:space="preserve"> </w:t>
      </w:r>
    </w:p>
    <w:p w14:paraId="6E52B345" w14:textId="597C7A7E" w:rsidR="00D90216" w:rsidRPr="001800E4" w:rsidRDefault="00D90216" w:rsidP="00233BF0">
      <w:r w:rsidRPr="005B3B7E">
        <w:tab/>
      </w:r>
    </w:p>
    <w:p w14:paraId="75B45666" w14:textId="77777777" w:rsidR="00D90216" w:rsidRPr="001800E4" w:rsidRDefault="00D90216" w:rsidP="00233BF0">
      <w:pPr>
        <w:pStyle w:val="BodyTextIndent"/>
      </w:pPr>
      <w:r>
        <w:t xml:space="preserve">During the year the Authority made contributions to the cost of pensions for all employees (except for those who chose not to be members of the scheme) as required by statute. </w:t>
      </w:r>
    </w:p>
    <w:p w14:paraId="22637C78" w14:textId="77777777" w:rsidR="00D90216" w:rsidRPr="001800E4" w:rsidRDefault="00D90216" w:rsidP="00233BF0">
      <w:pPr>
        <w:pStyle w:val="BodyText2"/>
        <w:rPr>
          <w:color w:val="auto"/>
        </w:rPr>
      </w:pPr>
    </w:p>
    <w:p w14:paraId="5DAAD358" w14:textId="77777777" w:rsidR="00D90216" w:rsidRPr="001800E4" w:rsidRDefault="00D90216" w:rsidP="00233BF0">
      <w:pPr>
        <w:pStyle w:val="BodyText2"/>
        <w:ind w:left="720"/>
        <w:rPr>
          <w:color w:val="auto"/>
        </w:rPr>
      </w:pPr>
      <w:r w:rsidRPr="5EC7657A">
        <w:rPr>
          <w:color w:val="auto"/>
        </w:rPr>
        <w:t>The Authority participates in two pension schemes:</w:t>
      </w:r>
    </w:p>
    <w:p w14:paraId="7D7AC94E" w14:textId="77777777" w:rsidR="00D90216" w:rsidRPr="001800E4" w:rsidRDefault="00D90216" w:rsidP="00233BF0"/>
    <w:p w14:paraId="6A89BC94" w14:textId="14B44C25" w:rsidR="00D90216" w:rsidRPr="001800E4" w:rsidRDefault="00D90216" w:rsidP="00233BF0">
      <w:pPr>
        <w:pStyle w:val="BodyTextIndent"/>
        <w:ind w:left="1440" w:hanging="720"/>
        <w:rPr>
          <w:lang w:val="en-GB"/>
        </w:rPr>
      </w:pPr>
      <w:r w:rsidRPr="5EC7657A">
        <w:rPr>
          <w:lang w:val="en-GB"/>
        </w:rPr>
        <w:t>i)</w:t>
      </w:r>
      <w:r>
        <w:tab/>
      </w:r>
      <w:r w:rsidRPr="5EC7657A">
        <w:rPr>
          <w:lang w:val="en-GB"/>
        </w:rPr>
        <w:t xml:space="preserve">Uniformed Firefighters are covered by an unfunded, defined benefit scheme, meaning that there </w:t>
      </w:r>
      <w:proofErr w:type="gramStart"/>
      <w:r w:rsidRPr="5EC7657A">
        <w:rPr>
          <w:lang w:val="en-GB"/>
        </w:rPr>
        <w:t>are</w:t>
      </w:r>
      <w:proofErr w:type="gramEnd"/>
      <w:r w:rsidRPr="5EC7657A">
        <w:rPr>
          <w:lang w:val="en-GB"/>
        </w:rPr>
        <w:t xml:space="preserve"> no investment assets built up to meet the pensions liabilities and that cash </w:t>
      </w:r>
      <w:r w:rsidR="000A40E3" w:rsidRPr="5EC7657A">
        <w:rPr>
          <w:lang w:val="en-GB"/>
        </w:rPr>
        <w:t>must</w:t>
      </w:r>
      <w:r w:rsidRPr="5EC7657A">
        <w:rPr>
          <w:lang w:val="en-GB"/>
        </w:rPr>
        <w:t xml:space="preserve"> be generated by the Authority to meet actual pensions payments as they fall due.</w:t>
      </w:r>
    </w:p>
    <w:p w14:paraId="411474B9" w14:textId="77777777" w:rsidR="00D90216" w:rsidRPr="001800E4" w:rsidRDefault="00D90216" w:rsidP="00233BF0">
      <w:pPr>
        <w:ind w:hanging="425"/>
      </w:pPr>
    </w:p>
    <w:p w14:paraId="260979E0" w14:textId="4FDB19F4" w:rsidR="00DD63D7" w:rsidRPr="00D948C1" w:rsidRDefault="00D90216" w:rsidP="00DD63D7">
      <w:pPr>
        <w:pStyle w:val="BodyTextIndent"/>
        <w:ind w:left="1440" w:hanging="720"/>
        <w:rPr>
          <w:lang w:val="en-GB"/>
        </w:rPr>
      </w:pPr>
      <w:r w:rsidRPr="5EC7657A">
        <w:rPr>
          <w:lang w:val="en-GB"/>
        </w:rPr>
        <w:t>ii)</w:t>
      </w:r>
      <w:r>
        <w:tab/>
      </w:r>
      <w:proofErr w:type="gramStart"/>
      <w:r w:rsidRPr="5EC7657A">
        <w:rPr>
          <w:lang w:val="en-GB"/>
        </w:rPr>
        <w:t>Other</w:t>
      </w:r>
      <w:proofErr w:type="gramEnd"/>
      <w:r w:rsidRPr="5EC7657A">
        <w:rPr>
          <w:lang w:val="en-GB"/>
        </w:rPr>
        <w:t xml:space="preserve"> staff pensions are provided from the Lancashire County Pension Fund. This is a funded scheme, meaning that the Authority and employees pay contributions into a fund calculated at a level intended to balance the pensions liabilities with the investment assets.</w:t>
      </w:r>
    </w:p>
    <w:p w14:paraId="00AA5A64" w14:textId="3520A28B" w:rsidR="00DD63D7" w:rsidRPr="00D948C1" w:rsidRDefault="00DD63D7">
      <w:pPr>
        <w:rPr>
          <w:szCs w:val="24"/>
        </w:rPr>
      </w:pPr>
    </w:p>
    <w:p w14:paraId="5B676F40" w14:textId="549559FE" w:rsidR="00D90216" w:rsidRPr="001800E4" w:rsidRDefault="00D90216" w:rsidP="00DD63D7">
      <w:pPr>
        <w:pStyle w:val="BodyTextIndent"/>
        <w:ind w:left="1440" w:hanging="720"/>
        <w:rPr>
          <w:lang w:val="en-GB"/>
        </w:rPr>
      </w:pPr>
      <w:r w:rsidRPr="3F7EE64A">
        <w:rPr>
          <w:b/>
          <w:color w:val="000000" w:themeColor="text1"/>
        </w:rPr>
        <w:t>Transactions Relating to Post-employment Benefits</w:t>
      </w:r>
    </w:p>
    <w:p w14:paraId="2A23C657" w14:textId="77777777" w:rsidR="00D90216" w:rsidRPr="001800E4" w:rsidRDefault="00D90216" w:rsidP="00233BF0">
      <w:pPr>
        <w:pStyle w:val="BodyTextIndent"/>
        <w:ind w:left="0" w:hanging="425"/>
        <w:rPr>
          <w:lang w:val="en-GB"/>
        </w:rPr>
      </w:pPr>
    </w:p>
    <w:p w14:paraId="294822B1" w14:textId="47283081" w:rsidR="003278CF" w:rsidRPr="001800E4" w:rsidRDefault="00D90216" w:rsidP="00233BF0">
      <w:pPr>
        <w:ind w:left="720"/>
        <w:rPr>
          <w:color w:val="000000"/>
        </w:rPr>
      </w:pPr>
      <w:r w:rsidRPr="3F7EE64A">
        <w:rPr>
          <w:color w:val="000000" w:themeColor="text1"/>
        </w:rPr>
        <w:t>We recognise the cost of retirement benefits in the reported cost of services when they are earned by employees, rather than when the benefits are eventually paid as pensions.</w:t>
      </w:r>
      <w:r w:rsidR="00607136" w:rsidRPr="3F7EE64A">
        <w:rPr>
          <w:color w:val="000000" w:themeColor="text1"/>
        </w:rPr>
        <w:t xml:space="preserve"> </w:t>
      </w:r>
      <w:r w:rsidRPr="3F7EE64A">
        <w:rPr>
          <w:color w:val="000000" w:themeColor="text1"/>
        </w:rPr>
        <w:t xml:space="preserve">However, the charge we are required to make against council tax is based on the cash payable in the year, so the real cost of </w:t>
      </w:r>
      <w:r w:rsidR="003278CF" w:rsidRPr="3F7EE64A">
        <w:rPr>
          <w:color w:val="000000" w:themeColor="text1"/>
        </w:rPr>
        <w:t>post-employment</w:t>
      </w:r>
      <w:r w:rsidR="004404E4">
        <w:rPr>
          <w:color w:val="000000" w:themeColor="text1"/>
        </w:rPr>
        <w:t>-</w:t>
      </w:r>
      <w:r w:rsidRPr="3F7EE64A">
        <w:rPr>
          <w:color w:val="000000" w:themeColor="text1"/>
        </w:rPr>
        <w:t xml:space="preserve">retirement benefits is reversed out of the General Fund via the Movement in Reserves Statement. </w:t>
      </w:r>
    </w:p>
    <w:p w14:paraId="594B8986" w14:textId="5723E9C8" w:rsidR="003278CF" w:rsidRPr="001800E4" w:rsidRDefault="003278CF">
      <w:pPr>
        <w:rPr>
          <w:color w:val="000000"/>
        </w:rPr>
      </w:pPr>
    </w:p>
    <w:p w14:paraId="0017E6A8" w14:textId="539ED99A" w:rsidR="006454EE" w:rsidRPr="00D948C1" w:rsidRDefault="00D90216" w:rsidP="00233BF0">
      <w:pPr>
        <w:ind w:left="720"/>
        <w:rPr>
          <w:color w:val="000000"/>
        </w:rPr>
      </w:pPr>
      <w:r w:rsidRPr="3F7EE64A">
        <w:rPr>
          <w:color w:val="000000" w:themeColor="text1"/>
        </w:rPr>
        <w:t>The following transactions have been made in the Comprehensive Income &amp; Expenditure Statement and the General Fund via the Movement in Reserves Statement during the year:</w:t>
      </w:r>
    </w:p>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67"/>
        <w:gridCol w:w="1243"/>
      </w:tblGrid>
      <w:tr w:rsidR="00D90216" w:rsidRPr="00D948C1" w14:paraId="7B108B96" w14:textId="77777777" w:rsidTr="00611673">
        <w:trPr>
          <w:trHeight w:val="300"/>
          <w:tblHeader/>
        </w:trPr>
        <w:tc>
          <w:tcPr>
            <w:tcW w:w="4536" w:type="dxa"/>
            <w:shd w:val="clear" w:color="auto" w:fill="BD2716"/>
          </w:tcPr>
          <w:p w14:paraId="2FF86E22" w14:textId="77777777" w:rsidR="00D90216" w:rsidRPr="00D948C1" w:rsidRDefault="006454EE" w:rsidP="00BC6C4F">
            <w:pPr>
              <w:ind w:left="34"/>
              <w:jc w:val="center"/>
              <w:rPr>
                <w:color w:val="FFFFFF" w:themeColor="background1"/>
                <w:szCs w:val="24"/>
              </w:rPr>
            </w:pPr>
            <w:r w:rsidRPr="00D948C1">
              <w:rPr>
                <w:color w:val="FFFFFF" w:themeColor="background1"/>
                <w:szCs w:val="24"/>
              </w:rPr>
              <w:lastRenderedPageBreak/>
              <w:br w:type="page"/>
            </w:r>
          </w:p>
        </w:tc>
        <w:tc>
          <w:tcPr>
            <w:tcW w:w="2410" w:type="dxa"/>
            <w:gridSpan w:val="2"/>
            <w:shd w:val="clear" w:color="auto" w:fill="BD2716"/>
            <w:vAlign w:val="center"/>
          </w:tcPr>
          <w:p w14:paraId="68A5E38B" w14:textId="77777777" w:rsidR="00D90216" w:rsidRPr="00D948C1" w:rsidRDefault="00D90216" w:rsidP="00611673">
            <w:pPr>
              <w:ind w:left="34"/>
              <w:jc w:val="center"/>
              <w:rPr>
                <w:color w:val="FFFFFF" w:themeColor="background1"/>
                <w:szCs w:val="24"/>
              </w:rPr>
            </w:pPr>
            <w:r w:rsidRPr="00D948C1">
              <w:rPr>
                <w:color w:val="FFFFFF" w:themeColor="background1"/>
                <w:szCs w:val="24"/>
              </w:rPr>
              <w:t>Local Government Pension Scheme</w:t>
            </w:r>
          </w:p>
        </w:tc>
        <w:tc>
          <w:tcPr>
            <w:tcW w:w="2552" w:type="dxa"/>
            <w:gridSpan w:val="3"/>
            <w:shd w:val="clear" w:color="auto" w:fill="BD2716"/>
            <w:vAlign w:val="center"/>
          </w:tcPr>
          <w:p w14:paraId="3F174721" w14:textId="77777777" w:rsidR="00D90216" w:rsidRPr="00D948C1" w:rsidRDefault="00D90216" w:rsidP="00611673">
            <w:pPr>
              <w:ind w:left="34"/>
              <w:jc w:val="center"/>
              <w:rPr>
                <w:color w:val="FFFFFF" w:themeColor="background1"/>
                <w:szCs w:val="24"/>
              </w:rPr>
            </w:pPr>
            <w:r w:rsidRPr="00D948C1">
              <w:rPr>
                <w:color w:val="FFFFFF" w:themeColor="background1"/>
                <w:szCs w:val="24"/>
              </w:rPr>
              <w:t>Uniformed Firefighters’ Pension Scheme</w:t>
            </w:r>
          </w:p>
        </w:tc>
      </w:tr>
      <w:tr w:rsidR="008F3F7F" w:rsidRPr="00D948C1" w14:paraId="58F96BC7" w14:textId="77777777" w:rsidTr="00611673">
        <w:trPr>
          <w:trHeight w:val="300"/>
          <w:tblHeader/>
        </w:trPr>
        <w:tc>
          <w:tcPr>
            <w:tcW w:w="4536" w:type="dxa"/>
            <w:shd w:val="clear" w:color="auto" w:fill="BD2716"/>
          </w:tcPr>
          <w:p w14:paraId="44C7E816" w14:textId="77777777" w:rsidR="008F3F7F" w:rsidRPr="00D948C1" w:rsidRDefault="008F3F7F" w:rsidP="008F3F7F">
            <w:pPr>
              <w:ind w:left="34"/>
              <w:jc w:val="center"/>
              <w:rPr>
                <w:color w:val="FFFFFF" w:themeColor="background1"/>
                <w:szCs w:val="24"/>
              </w:rPr>
            </w:pPr>
          </w:p>
        </w:tc>
        <w:tc>
          <w:tcPr>
            <w:tcW w:w="1168" w:type="dxa"/>
            <w:shd w:val="clear" w:color="auto" w:fill="BD2716"/>
            <w:vAlign w:val="center"/>
          </w:tcPr>
          <w:p w14:paraId="0FC8E6CC" w14:textId="31E484AD" w:rsidR="008F3F7F" w:rsidRPr="00D948C1" w:rsidRDefault="001A42DD" w:rsidP="008F3F7F">
            <w:pPr>
              <w:pStyle w:val="BodyTextIndent"/>
              <w:ind w:left="0"/>
              <w:jc w:val="right"/>
              <w:rPr>
                <w:color w:val="FFFFFF" w:themeColor="background1"/>
                <w:szCs w:val="24"/>
                <w:lang w:val="en-GB"/>
              </w:rPr>
            </w:pPr>
            <w:r>
              <w:rPr>
                <w:color w:val="FFFFFF" w:themeColor="background1"/>
                <w:szCs w:val="24"/>
                <w:lang w:val="en-GB"/>
              </w:rPr>
              <w:t>2025-26</w:t>
            </w:r>
          </w:p>
          <w:p w14:paraId="441F71BA" w14:textId="294ACC65" w:rsidR="008F3F7F" w:rsidRPr="00D948C1" w:rsidRDefault="008F3F7F" w:rsidP="008F3F7F">
            <w:pPr>
              <w:pStyle w:val="BodyTextIndent"/>
              <w:ind w:left="0"/>
              <w:jc w:val="right"/>
              <w:rPr>
                <w:color w:val="FFFFFF" w:themeColor="background1"/>
                <w:szCs w:val="24"/>
                <w:lang w:val="en-GB"/>
              </w:rPr>
            </w:pPr>
            <w:r w:rsidRPr="00D948C1">
              <w:rPr>
                <w:color w:val="FFFFFF" w:themeColor="background1"/>
                <w:szCs w:val="24"/>
                <w:lang w:val="en-GB"/>
              </w:rPr>
              <w:t>£000</w:t>
            </w:r>
          </w:p>
        </w:tc>
        <w:tc>
          <w:tcPr>
            <w:tcW w:w="1242" w:type="dxa"/>
            <w:shd w:val="clear" w:color="auto" w:fill="BD2716"/>
            <w:vAlign w:val="center"/>
          </w:tcPr>
          <w:p w14:paraId="58E182A1" w14:textId="7DBC5666" w:rsidR="001800E4" w:rsidRPr="00D948C1" w:rsidRDefault="001A42DD" w:rsidP="001800E4">
            <w:pPr>
              <w:pStyle w:val="BodyTextIndent"/>
              <w:ind w:left="0"/>
              <w:jc w:val="right"/>
              <w:rPr>
                <w:color w:val="FFFFFF" w:themeColor="background1"/>
                <w:szCs w:val="24"/>
                <w:lang w:val="en-GB"/>
              </w:rPr>
            </w:pPr>
            <w:r>
              <w:rPr>
                <w:color w:val="FFFFFF" w:themeColor="background1"/>
                <w:szCs w:val="24"/>
                <w:lang w:val="en-GB"/>
              </w:rPr>
              <w:t>2024-25</w:t>
            </w:r>
          </w:p>
          <w:p w14:paraId="055ACF54" w14:textId="5E5D41BD" w:rsidR="008F3F7F" w:rsidRPr="00D948C1" w:rsidRDefault="001800E4" w:rsidP="001800E4">
            <w:pPr>
              <w:pStyle w:val="BodyTextIndent"/>
              <w:ind w:left="0"/>
              <w:jc w:val="right"/>
              <w:rPr>
                <w:color w:val="FFFFFF" w:themeColor="background1"/>
                <w:szCs w:val="24"/>
                <w:lang w:val="en-GB"/>
              </w:rPr>
            </w:pPr>
            <w:r w:rsidRPr="00D948C1">
              <w:rPr>
                <w:color w:val="FFFFFF" w:themeColor="background1"/>
                <w:szCs w:val="24"/>
                <w:lang w:val="en-GB"/>
              </w:rPr>
              <w:t>£000</w:t>
            </w:r>
          </w:p>
        </w:tc>
        <w:tc>
          <w:tcPr>
            <w:tcW w:w="1309" w:type="dxa"/>
            <w:gridSpan w:val="2"/>
            <w:shd w:val="clear" w:color="auto" w:fill="BD2716"/>
            <w:vAlign w:val="center"/>
          </w:tcPr>
          <w:p w14:paraId="50703C51" w14:textId="18191CC2" w:rsidR="001800E4" w:rsidRPr="00D948C1" w:rsidRDefault="001A42DD" w:rsidP="001800E4">
            <w:pPr>
              <w:pStyle w:val="BodyTextIndent"/>
              <w:ind w:left="0"/>
              <w:jc w:val="right"/>
              <w:rPr>
                <w:color w:val="FFFFFF" w:themeColor="background1"/>
                <w:szCs w:val="24"/>
                <w:lang w:val="en-GB"/>
              </w:rPr>
            </w:pPr>
            <w:r>
              <w:rPr>
                <w:color w:val="FFFFFF" w:themeColor="background1"/>
                <w:szCs w:val="24"/>
                <w:lang w:val="en-GB"/>
              </w:rPr>
              <w:t>2025-26</w:t>
            </w:r>
          </w:p>
          <w:p w14:paraId="07D08C6E" w14:textId="7CC6E2A9" w:rsidR="008F3F7F" w:rsidRPr="00D948C1" w:rsidRDefault="001800E4" w:rsidP="001800E4">
            <w:pPr>
              <w:pStyle w:val="BodyTextIndent"/>
              <w:ind w:left="0"/>
              <w:jc w:val="right"/>
              <w:rPr>
                <w:color w:val="FFFFFF" w:themeColor="background1"/>
                <w:szCs w:val="24"/>
                <w:lang w:val="en-GB"/>
              </w:rPr>
            </w:pPr>
            <w:r w:rsidRPr="00D948C1">
              <w:rPr>
                <w:color w:val="FFFFFF" w:themeColor="background1"/>
                <w:szCs w:val="24"/>
                <w:lang w:val="en-GB"/>
              </w:rPr>
              <w:t>£000</w:t>
            </w:r>
          </w:p>
        </w:tc>
        <w:tc>
          <w:tcPr>
            <w:tcW w:w="1243" w:type="dxa"/>
            <w:shd w:val="clear" w:color="auto" w:fill="BD2716"/>
            <w:vAlign w:val="center"/>
          </w:tcPr>
          <w:p w14:paraId="4C97C019" w14:textId="15B33F2D" w:rsidR="001800E4" w:rsidRPr="00D948C1" w:rsidRDefault="001A42DD" w:rsidP="001800E4">
            <w:pPr>
              <w:pStyle w:val="BodyTextIndent"/>
              <w:ind w:left="0"/>
              <w:jc w:val="right"/>
              <w:rPr>
                <w:color w:val="FFFFFF" w:themeColor="background1"/>
                <w:szCs w:val="24"/>
                <w:lang w:val="en-GB"/>
              </w:rPr>
            </w:pPr>
            <w:r>
              <w:rPr>
                <w:color w:val="FFFFFF" w:themeColor="background1"/>
                <w:szCs w:val="24"/>
                <w:lang w:val="en-GB"/>
              </w:rPr>
              <w:t>2024-25</w:t>
            </w:r>
          </w:p>
          <w:p w14:paraId="66A8134D" w14:textId="74B14D87" w:rsidR="008F3F7F" w:rsidRPr="00D948C1" w:rsidRDefault="001800E4" w:rsidP="001800E4">
            <w:pPr>
              <w:pStyle w:val="BodyTextIndent"/>
              <w:ind w:left="0"/>
              <w:jc w:val="right"/>
              <w:rPr>
                <w:color w:val="FFFFFF" w:themeColor="background1"/>
                <w:szCs w:val="24"/>
                <w:lang w:val="en-GB"/>
              </w:rPr>
            </w:pPr>
            <w:r w:rsidRPr="00D948C1">
              <w:rPr>
                <w:color w:val="FFFFFF" w:themeColor="background1"/>
                <w:szCs w:val="24"/>
                <w:lang w:val="en-GB"/>
              </w:rPr>
              <w:t>£000</w:t>
            </w:r>
          </w:p>
        </w:tc>
      </w:tr>
      <w:tr w:rsidR="00053629" w:rsidRPr="00D948C1" w14:paraId="4C252FE8" w14:textId="77777777" w:rsidTr="007641BA">
        <w:trPr>
          <w:trHeight w:val="300"/>
        </w:trPr>
        <w:tc>
          <w:tcPr>
            <w:tcW w:w="9498" w:type="dxa"/>
            <w:gridSpan w:val="6"/>
            <w:shd w:val="clear" w:color="auto" w:fill="D9D9D9" w:themeFill="background1" w:themeFillShade="D9"/>
          </w:tcPr>
          <w:p w14:paraId="6131BCCF" w14:textId="0457A4AF" w:rsidR="00053629" w:rsidRPr="00D948C1" w:rsidRDefault="00053629" w:rsidP="00053629">
            <w:pPr>
              <w:ind w:left="34"/>
              <w:rPr>
                <w:b/>
                <w:bCs/>
                <w:szCs w:val="24"/>
              </w:rPr>
            </w:pPr>
            <w:r w:rsidRPr="00D948C1">
              <w:rPr>
                <w:b/>
                <w:bCs/>
                <w:color w:val="000000"/>
                <w:szCs w:val="24"/>
              </w:rPr>
              <w:t>Comprehensive Income &amp; Expenditure Statement</w:t>
            </w:r>
          </w:p>
        </w:tc>
      </w:tr>
      <w:tr w:rsidR="00053629" w:rsidRPr="00D948C1" w14:paraId="62E32643" w14:textId="77777777" w:rsidTr="007641BA">
        <w:trPr>
          <w:trHeight w:val="300"/>
        </w:trPr>
        <w:tc>
          <w:tcPr>
            <w:tcW w:w="9498" w:type="dxa"/>
            <w:gridSpan w:val="6"/>
            <w:shd w:val="clear" w:color="auto" w:fill="D9D9D9" w:themeFill="background1" w:themeFillShade="D9"/>
          </w:tcPr>
          <w:p w14:paraId="5423222E" w14:textId="2EEC8719" w:rsidR="00053629" w:rsidRPr="00D948C1" w:rsidRDefault="00053629" w:rsidP="00053629">
            <w:pPr>
              <w:ind w:left="34"/>
              <w:rPr>
                <w:b/>
                <w:bCs/>
                <w:szCs w:val="24"/>
              </w:rPr>
            </w:pPr>
            <w:r w:rsidRPr="00D948C1">
              <w:rPr>
                <w:b/>
                <w:bCs/>
                <w:szCs w:val="24"/>
              </w:rPr>
              <w:t>Cost of Services:</w:t>
            </w:r>
          </w:p>
        </w:tc>
      </w:tr>
      <w:tr w:rsidR="001800E4" w:rsidRPr="00670646" w14:paraId="71095A47" w14:textId="77777777" w:rsidTr="008F6F5D">
        <w:trPr>
          <w:trHeight w:val="300"/>
        </w:trPr>
        <w:tc>
          <w:tcPr>
            <w:tcW w:w="4536" w:type="dxa"/>
          </w:tcPr>
          <w:p w14:paraId="3F3FB33A" w14:textId="77777777" w:rsidR="001800E4" w:rsidRPr="00670646" w:rsidRDefault="001800E4" w:rsidP="001800E4">
            <w:pPr>
              <w:numPr>
                <w:ilvl w:val="0"/>
                <w:numId w:val="17"/>
              </w:numPr>
              <w:tabs>
                <w:tab w:val="clear" w:pos="754"/>
                <w:tab w:val="num" w:pos="459"/>
              </w:tabs>
              <w:ind w:hanging="720"/>
              <w:rPr>
                <w:szCs w:val="24"/>
              </w:rPr>
            </w:pPr>
            <w:r w:rsidRPr="00670646">
              <w:rPr>
                <w:szCs w:val="24"/>
              </w:rPr>
              <w:t>Current service cost</w:t>
            </w:r>
          </w:p>
        </w:tc>
        <w:tc>
          <w:tcPr>
            <w:tcW w:w="1168" w:type="dxa"/>
            <w:vAlign w:val="center"/>
          </w:tcPr>
          <w:p w14:paraId="09CB9E93" w14:textId="3A99E70F" w:rsidR="001800E4" w:rsidRPr="00294859" w:rsidRDefault="00BD3F5B" w:rsidP="001800E4">
            <w:pPr>
              <w:tabs>
                <w:tab w:val="decimal" w:pos="717"/>
              </w:tabs>
              <w:ind w:left="34"/>
              <w:jc w:val="right"/>
              <w:rPr>
                <w:szCs w:val="24"/>
              </w:rPr>
            </w:pPr>
            <w:r>
              <w:rPr>
                <w:szCs w:val="24"/>
              </w:rPr>
              <w:t>998</w:t>
            </w:r>
          </w:p>
        </w:tc>
        <w:tc>
          <w:tcPr>
            <w:tcW w:w="1242" w:type="dxa"/>
            <w:vAlign w:val="center"/>
          </w:tcPr>
          <w:p w14:paraId="638F3375" w14:textId="4BFA41E2" w:rsidR="001800E4" w:rsidRPr="00670646" w:rsidRDefault="001800E4" w:rsidP="001800E4">
            <w:pPr>
              <w:tabs>
                <w:tab w:val="decimal" w:pos="717"/>
              </w:tabs>
              <w:ind w:left="34"/>
              <w:jc w:val="right"/>
              <w:rPr>
                <w:szCs w:val="24"/>
              </w:rPr>
            </w:pPr>
            <w:r w:rsidRPr="00294859">
              <w:rPr>
                <w:szCs w:val="24"/>
              </w:rPr>
              <w:t>1,439</w:t>
            </w:r>
          </w:p>
        </w:tc>
        <w:tc>
          <w:tcPr>
            <w:tcW w:w="1242" w:type="dxa"/>
            <w:vAlign w:val="center"/>
          </w:tcPr>
          <w:p w14:paraId="07B60957" w14:textId="21DBBEC5" w:rsidR="001800E4" w:rsidRPr="00294859" w:rsidRDefault="00775668" w:rsidP="001800E4">
            <w:pPr>
              <w:tabs>
                <w:tab w:val="decimal" w:pos="884"/>
              </w:tabs>
              <w:ind w:left="34"/>
              <w:jc w:val="right"/>
              <w:rPr>
                <w:szCs w:val="24"/>
              </w:rPr>
            </w:pPr>
            <w:r>
              <w:rPr>
                <w:szCs w:val="24"/>
              </w:rPr>
              <w:t>1,650</w:t>
            </w:r>
          </w:p>
        </w:tc>
        <w:tc>
          <w:tcPr>
            <w:tcW w:w="1310" w:type="dxa"/>
            <w:gridSpan w:val="2"/>
            <w:vAlign w:val="center"/>
          </w:tcPr>
          <w:p w14:paraId="6D910F6A" w14:textId="248421EF" w:rsidR="001800E4" w:rsidRPr="00670646" w:rsidRDefault="001800E4" w:rsidP="001800E4">
            <w:pPr>
              <w:tabs>
                <w:tab w:val="decimal" w:pos="884"/>
              </w:tabs>
              <w:ind w:left="34"/>
              <w:jc w:val="right"/>
              <w:rPr>
                <w:szCs w:val="24"/>
              </w:rPr>
            </w:pPr>
            <w:r w:rsidRPr="00294859">
              <w:rPr>
                <w:szCs w:val="24"/>
              </w:rPr>
              <w:t>3,360</w:t>
            </w:r>
          </w:p>
        </w:tc>
      </w:tr>
      <w:tr w:rsidR="001800E4" w:rsidRPr="00670646" w14:paraId="3580E7D0" w14:textId="77777777" w:rsidTr="008F6F5D">
        <w:trPr>
          <w:trHeight w:val="300"/>
        </w:trPr>
        <w:tc>
          <w:tcPr>
            <w:tcW w:w="4536" w:type="dxa"/>
          </w:tcPr>
          <w:p w14:paraId="0ED950E7" w14:textId="77777777" w:rsidR="001800E4" w:rsidRPr="00670646" w:rsidRDefault="001800E4" w:rsidP="001800E4">
            <w:pPr>
              <w:numPr>
                <w:ilvl w:val="0"/>
                <w:numId w:val="17"/>
              </w:numPr>
              <w:tabs>
                <w:tab w:val="clear" w:pos="754"/>
                <w:tab w:val="num" w:pos="459"/>
              </w:tabs>
              <w:ind w:hanging="720"/>
              <w:rPr>
                <w:szCs w:val="24"/>
              </w:rPr>
            </w:pPr>
            <w:r w:rsidRPr="00670646">
              <w:rPr>
                <w:szCs w:val="24"/>
              </w:rPr>
              <w:t>Administrative expenses</w:t>
            </w:r>
          </w:p>
        </w:tc>
        <w:tc>
          <w:tcPr>
            <w:tcW w:w="1168" w:type="dxa"/>
            <w:vAlign w:val="center"/>
          </w:tcPr>
          <w:p w14:paraId="4201722E" w14:textId="26C2B28B" w:rsidR="001800E4" w:rsidRPr="00294859" w:rsidRDefault="00BD3F5B" w:rsidP="001800E4">
            <w:pPr>
              <w:tabs>
                <w:tab w:val="decimal" w:pos="717"/>
              </w:tabs>
              <w:ind w:left="34"/>
              <w:jc w:val="right"/>
              <w:rPr>
                <w:szCs w:val="24"/>
              </w:rPr>
            </w:pPr>
            <w:r>
              <w:rPr>
                <w:szCs w:val="24"/>
              </w:rPr>
              <w:t>50</w:t>
            </w:r>
          </w:p>
        </w:tc>
        <w:tc>
          <w:tcPr>
            <w:tcW w:w="1242" w:type="dxa"/>
            <w:vAlign w:val="center"/>
          </w:tcPr>
          <w:p w14:paraId="4C861465" w14:textId="52F5B169" w:rsidR="001800E4" w:rsidRPr="00670646" w:rsidRDefault="001800E4" w:rsidP="001800E4">
            <w:pPr>
              <w:tabs>
                <w:tab w:val="decimal" w:pos="717"/>
              </w:tabs>
              <w:ind w:left="34"/>
              <w:jc w:val="right"/>
              <w:rPr>
                <w:szCs w:val="24"/>
              </w:rPr>
            </w:pPr>
            <w:r w:rsidRPr="00294859">
              <w:rPr>
                <w:szCs w:val="24"/>
              </w:rPr>
              <w:t>49</w:t>
            </w:r>
          </w:p>
        </w:tc>
        <w:tc>
          <w:tcPr>
            <w:tcW w:w="1242" w:type="dxa"/>
            <w:vAlign w:val="center"/>
          </w:tcPr>
          <w:p w14:paraId="4EC93DAF" w14:textId="06325214" w:rsidR="001800E4" w:rsidRPr="00294859" w:rsidRDefault="00775668" w:rsidP="001800E4">
            <w:pPr>
              <w:tabs>
                <w:tab w:val="decimal" w:pos="884"/>
              </w:tabs>
              <w:ind w:left="34"/>
              <w:jc w:val="right"/>
              <w:rPr>
                <w:szCs w:val="24"/>
              </w:rPr>
            </w:pPr>
            <w:r>
              <w:rPr>
                <w:szCs w:val="24"/>
              </w:rPr>
              <w:t>-</w:t>
            </w:r>
          </w:p>
        </w:tc>
        <w:tc>
          <w:tcPr>
            <w:tcW w:w="1310" w:type="dxa"/>
            <w:gridSpan w:val="2"/>
            <w:vAlign w:val="center"/>
          </w:tcPr>
          <w:p w14:paraId="195037FF" w14:textId="07AA4A4B" w:rsidR="001800E4" w:rsidRPr="00670646" w:rsidRDefault="001800E4" w:rsidP="001800E4">
            <w:pPr>
              <w:tabs>
                <w:tab w:val="decimal" w:pos="884"/>
              </w:tabs>
              <w:ind w:left="34"/>
              <w:jc w:val="right"/>
              <w:rPr>
                <w:szCs w:val="24"/>
              </w:rPr>
            </w:pPr>
            <w:r w:rsidRPr="00294859">
              <w:rPr>
                <w:szCs w:val="24"/>
              </w:rPr>
              <w:t>-</w:t>
            </w:r>
          </w:p>
        </w:tc>
      </w:tr>
      <w:tr w:rsidR="00EE653C" w:rsidRPr="00670646" w14:paraId="7EB08CDC" w14:textId="77777777" w:rsidTr="008F6F5D">
        <w:trPr>
          <w:trHeight w:val="300"/>
        </w:trPr>
        <w:tc>
          <w:tcPr>
            <w:tcW w:w="4536" w:type="dxa"/>
          </w:tcPr>
          <w:p w14:paraId="7C99EAD1" w14:textId="0596F132" w:rsidR="00EE653C" w:rsidRPr="00670646" w:rsidRDefault="00EE653C" w:rsidP="001800E4">
            <w:pPr>
              <w:numPr>
                <w:ilvl w:val="0"/>
                <w:numId w:val="17"/>
              </w:numPr>
              <w:tabs>
                <w:tab w:val="clear" w:pos="754"/>
                <w:tab w:val="num" w:pos="459"/>
              </w:tabs>
              <w:ind w:hanging="720"/>
              <w:rPr>
                <w:szCs w:val="24"/>
              </w:rPr>
            </w:pPr>
            <w:r>
              <w:rPr>
                <w:szCs w:val="24"/>
              </w:rPr>
              <w:t>Curtailments</w:t>
            </w:r>
          </w:p>
        </w:tc>
        <w:tc>
          <w:tcPr>
            <w:tcW w:w="1168" w:type="dxa"/>
            <w:vAlign w:val="center"/>
          </w:tcPr>
          <w:p w14:paraId="37D256FA" w14:textId="07EB67CA" w:rsidR="00EE653C" w:rsidRDefault="005E172D" w:rsidP="001800E4">
            <w:pPr>
              <w:tabs>
                <w:tab w:val="decimal" w:pos="717"/>
              </w:tabs>
              <w:ind w:left="34"/>
              <w:jc w:val="right"/>
              <w:rPr>
                <w:szCs w:val="24"/>
              </w:rPr>
            </w:pPr>
            <w:r>
              <w:rPr>
                <w:szCs w:val="24"/>
              </w:rPr>
              <w:t>9</w:t>
            </w:r>
          </w:p>
        </w:tc>
        <w:tc>
          <w:tcPr>
            <w:tcW w:w="1242" w:type="dxa"/>
            <w:vAlign w:val="center"/>
          </w:tcPr>
          <w:p w14:paraId="1B5F82D3" w14:textId="525A2405" w:rsidR="00EE653C" w:rsidRPr="00294859" w:rsidRDefault="005E172D" w:rsidP="001800E4">
            <w:pPr>
              <w:tabs>
                <w:tab w:val="decimal" w:pos="717"/>
              </w:tabs>
              <w:ind w:left="34"/>
              <w:jc w:val="right"/>
              <w:rPr>
                <w:szCs w:val="24"/>
              </w:rPr>
            </w:pPr>
            <w:r>
              <w:rPr>
                <w:szCs w:val="24"/>
              </w:rPr>
              <w:t>-</w:t>
            </w:r>
          </w:p>
        </w:tc>
        <w:tc>
          <w:tcPr>
            <w:tcW w:w="1242" w:type="dxa"/>
            <w:vAlign w:val="center"/>
          </w:tcPr>
          <w:p w14:paraId="3A2A8F80" w14:textId="538379D1" w:rsidR="00EE653C" w:rsidRPr="00294859" w:rsidRDefault="00775668" w:rsidP="001800E4">
            <w:pPr>
              <w:tabs>
                <w:tab w:val="decimal" w:pos="884"/>
              </w:tabs>
              <w:ind w:left="34"/>
              <w:jc w:val="right"/>
              <w:rPr>
                <w:szCs w:val="24"/>
              </w:rPr>
            </w:pPr>
            <w:r>
              <w:rPr>
                <w:szCs w:val="24"/>
              </w:rPr>
              <w:t>-</w:t>
            </w:r>
          </w:p>
        </w:tc>
        <w:tc>
          <w:tcPr>
            <w:tcW w:w="1310" w:type="dxa"/>
            <w:gridSpan w:val="2"/>
            <w:vAlign w:val="center"/>
          </w:tcPr>
          <w:p w14:paraId="0DCFF9D8" w14:textId="6724C020" w:rsidR="00EE653C" w:rsidRPr="00294859" w:rsidRDefault="005E172D" w:rsidP="001800E4">
            <w:pPr>
              <w:tabs>
                <w:tab w:val="decimal" w:pos="884"/>
              </w:tabs>
              <w:ind w:left="34"/>
              <w:jc w:val="right"/>
              <w:rPr>
                <w:szCs w:val="24"/>
              </w:rPr>
            </w:pPr>
            <w:r>
              <w:rPr>
                <w:szCs w:val="24"/>
              </w:rPr>
              <w:t>-</w:t>
            </w:r>
          </w:p>
        </w:tc>
      </w:tr>
      <w:tr w:rsidR="001800E4" w:rsidRPr="00670646" w14:paraId="4B6029D6" w14:textId="77777777" w:rsidTr="008F6F5D">
        <w:trPr>
          <w:trHeight w:val="300"/>
        </w:trPr>
        <w:tc>
          <w:tcPr>
            <w:tcW w:w="4536" w:type="dxa"/>
          </w:tcPr>
          <w:p w14:paraId="18B0A2DC" w14:textId="0374C653" w:rsidR="001800E4" w:rsidRPr="00670646" w:rsidRDefault="001800E4" w:rsidP="001800E4">
            <w:pPr>
              <w:numPr>
                <w:ilvl w:val="0"/>
                <w:numId w:val="17"/>
              </w:numPr>
              <w:tabs>
                <w:tab w:val="clear" w:pos="754"/>
                <w:tab w:val="num" w:pos="459"/>
              </w:tabs>
              <w:ind w:left="459" w:hanging="425"/>
              <w:rPr>
                <w:szCs w:val="24"/>
              </w:rPr>
            </w:pPr>
            <w:r w:rsidRPr="00670646">
              <w:rPr>
                <w:szCs w:val="24"/>
              </w:rPr>
              <w:t>Interest on scheme assets above asset ceiling</w:t>
            </w:r>
          </w:p>
        </w:tc>
        <w:tc>
          <w:tcPr>
            <w:tcW w:w="1168" w:type="dxa"/>
            <w:vAlign w:val="center"/>
          </w:tcPr>
          <w:p w14:paraId="4B648EC3" w14:textId="03106247" w:rsidR="001800E4" w:rsidRPr="00670646" w:rsidRDefault="005E172D" w:rsidP="001800E4">
            <w:pPr>
              <w:tabs>
                <w:tab w:val="decimal" w:pos="717"/>
              </w:tabs>
              <w:ind w:left="34"/>
              <w:jc w:val="right"/>
              <w:rPr>
                <w:szCs w:val="24"/>
              </w:rPr>
            </w:pPr>
            <w:r>
              <w:rPr>
                <w:szCs w:val="24"/>
              </w:rPr>
              <w:t>1,800</w:t>
            </w:r>
          </w:p>
        </w:tc>
        <w:tc>
          <w:tcPr>
            <w:tcW w:w="1242" w:type="dxa"/>
            <w:vAlign w:val="center"/>
          </w:tcPr>
          <w:p w14:paraId="6BC5BB8F" w14:textId="4B108F25" w:rsidR="001800E4" w:rsidRPr="00670646" w:rsidRDefault="001800E4" w:rsidP="001800E4">
            <w:pPr>
              <w:tabs>
                <w:tab w:val="decimal" w:pos="717"/>
              </w:tabs>
              <w:ind w:left="34"/>
              <w:jc w:val="right"/>
              <w:rPr>
                <w:szCs w:val="24"/>
              </w:rPr>
            </w:pPr>
            <w:r w:rsidRPr="00670646">
              <w:rPr>
                <w:szCs w:val="24"/>
              </w:rPr>
              <w:t>1,170</w:t>
            </w:r>
          </w:p>
        </w:tc>
        <w:tc>
          <w:tcPr>
            <w:tcW w:w="1242" w:type="dxa"/>
            <w:vAlign w:val="center"/>
          </w:tcPr>
          <w:p w14:paraId="1BB94C4C" w14:textId="75E53BBC" w:rsidR="001800E4" w:rsidRPr="00670646" w:rsidRDefault="00775668" w:rsidP="001800E4">
            <w:pPr>
              <w:tabs>
                <w:tab w:val="decimal" w:pos="884"/>
              </w:tabs>
              <w:ind w:left="34"/>
              <w:jc w:val="right"/>
              <w:rPr>
                <w:szCs w:val="24"/>
              </w:rPr>
            </w:pPr>
            <w:r>
              <w:rPr>
                <w:szCs w:val="24"/>
              </w:rPr>
              <w:t>-</w:t>
            </w:r>
          </w:p>
        </w:tc>
        <w:tc>
          <w:tcPr>
            <w:tcW w:w="1310" w:type="dxa"/>
            <w:gridSpan w:val="2"/>
            <w:vAlign w:val="center"/>
          </w:tcPr>
          <w:p w14:paraId="2EB0B017" w14:textId="7432907B" w:rsidR="001800E4" w:rsidRPr="00670646" w:rsidRDefault="001800E4" w:rsidP="001800E4">
            <w:pPr>
              <w:tabs>
                <w:tab w:val="decimal" w:pos="884"/>
              </w:tabs>
              <w:ind w:left="34"/>
              <w:jc w:val="right"/>
              <w:rPr>
                <w:szCs w:val="24"/>
              </w:rPr>
            </w:pPr>
            <w:r w:rsidRPr="00670646">
              <w:rPr>
                <w:szCs w:val="24"/>
              </w:rPr>
              <w:t>-</w:t>
            </w:r>
          </w:p>
        </w:tc>
      </w:tr>
      <w:tr w:rsidR="001800E4" w:rsidRPr="00670646" w14:paraId="508DC4B6" w14:textId="77777777" w:rsidTr="008F6F5D">
        <w:trPr>
          <w:trHeight w:val="300"/>
        </w:trPr>
        <w:tc>
          <w:tcPr>
            <w:tcW w:w="4536" w:type="dxa"/>
          </w:tcPr>
          <w:p w14:paraId="45EB3D04" w14:textId="4A25C72F" w:rsidR="001800E4" w:rsidRPr="00670646" w:rsidRDefault="001800E4" w:rsidP="001800E4">
            <w:pPr>
              <w:ind w:left="34"/>
              <w:rPr>
                <w:b/>
                <w:bCs/>
                <w:szCs w:val="24"/>
              </w:rPr>
            </w:pPr>
            <w:r w:rsidRPr="00670646">
              <w:rPr>
                <w:b/>
                <w:bCs/>
                <w:szCs w:val="24"/>
              </w:rPr>
              <w:t>Cost of Services total</w:t>
            </w:r>
          </w:p>
        </w:tc>
        <w:tc>
          <w:tcPr>
            <w:tcW w:w="1168" w:type="dxa"/>
            <w:vAlign w:val="center"/>
          </w:tcPr>
          <w:p w14:paraId="6C90A462" w14:textId="5372281E" w:rsidR="001800E4" w:rsidRPr="00294859" w:rsidRDefault="005E172D" w:rsidP="001800E4">
            <w:pPr>
              <w:tabs>
                <w:tab w:val="decimal" w:pos="717"/>
              </w:tabs>
              <w:ind w:left="34"/>
              <w:jc w:val="right"/>
              <w:rPr>
                <w:b/>
                <w:szCs w:val="24"/>
              </w:rPr>
            </w:pPr>
            <w:r>
              <w:rPr>
                <w:b/>
                <w:szCs w:val="24"/>
              </w:rPr>
              <w:t>2,857</w:t>
            </w:r>
          </w:p>
        </w:tc>
        <w:tc>
          <w:tcPr>
            <w:tcW w:w="1242" w:type="dxa"/>
            <w:vAlign w:val="center"/>
          </w:tcPr>
          <w:p w14:paraId="03FF2CF4" w14:textId="08573CD0" w:rsidR="001800E4" w:rsidRPr="00670646" w:rsidRDefault="001800E4" w:rsidP="001800E4">
            <w:pPr>
              <w:tabs>
                <w:tab w:val="decimal" w:pos="717"/>
              </w:tabs>
              <w:ind w:left="34"/>
              <w:jc w:val="right"/>
              <w:rPr>
                <w:b/>
                <w:bCs/>
                <w:szCs w:val="24"/>
              </w:rPr>
            </w:pPr>
            <w:r w:rsidRPr="00670646">
              <w:rPr>
                <w:b/>
                <w:bCs/>
                <w:szCs w:val="24"/>
              </w:rPr>
              <w:t>2,658</w:t>
            </w:r>
          </w:p>
        </w:tc>
        <w:tc>
          <w:tcPr>
            <w:tcW w:w="1242" w:type="dxa"/>
            <w:vAlign w:val="center"/>
          </w:tcPr>
          <w:p w14:paraId="6F6C4F19" w14:textId="14705B3A" w:rsidR="001800E4" w:rsidRPr="00294859" w:rsidRDefault="00775668" w:rsidP="001800E4">
            <w:pPr>
              <w:tabs>
                <w:tab w:val="decimal" w:pos="884"/>
              </w:tabs>
              <w:ind w:left="34"/>
              <w:jc w:val="right"/>
              <w:rPr>
                <w:b/>
                <w:szCs w:val="24"/>
              </w:rPr>
            </w:pPr>
            <w:r>
              <w:rPr>
                <w:b/>
                <w:szCs w:val="24"/>
              </w:rPr>
              <w:t>1,650</w:t>
            </w:r>
          </w:p>
        </w:tc>
        <w:tc>
          <w:tcPr>
            <w:tcW w:w="1310" w:type="dxa"/>
            <w:gridSpan w:val="2"/>
            <w:vAlign w:val="center"/>
          </w:tcPr>
          <w:p w14:paraId="292376B5" w14:textId="1C1F882F" w:rsidR="001800E4" w:rsidRPr="00670646" w:rsidRDefault="001800E4" w:rsidP="001800E4">
            <w:pPr>
              <w:tabs>
                <w:tab w:val="decimal" w:pos="884"/>
              </w:tabs>
              <w:ind w:left="34"/>
              <w:jc w:val="right"/>
              <w:rPr>
                <w:b/>
                <w:bCs/>
                <w:szCs w:val="24"/>
              </w:rPr>
            </w:pPr>
            <w:r w:rsidRPr="00294859">
              <w:rPr>
                <w:b/>
                <w:szCs w:val="24"/>
              </w:rPr>
              <w:t>3,360</w:t>
            </w:r>
          </w:p>
        </w:tc>
      </w:tr>
    </w:tbl>
    <w:p w14:paraId="72EF1061"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42636F51" w14:textId="77777777" w:rsidTr="007641BA">
        <w:trPr>
          <w:trHeight w:val="300"/>
        </w:trPr>
        <w:tc>
          <w:tcPr>
            <w:tcW w:w="9498" w:type="dxa"/>
            <w:gridSpan w:val="5"/>
            <w:shd w:val="clear" w:color="auto" w:fill="D9D9D9" w:themeFill="background1" w:themeFillShade="D9"/>
          </w:tcPr>
          <w:p w14:paraId="77A6504C" w14:textId="3B17E845" w:rsidR="00053629" w:rsidRPr="00670646" w:rsidRDefault="00053629" w:rsidP="00053629">
            <w:pPr>
              <w:tabs>
                <w:tab w:val="decimal" w:pos="884"/>
              </w:tabs>
              <w:ind w:left="34"/>
              <w:rPr>
                <w:b/>
                <w:bCs/>
                <w:szCs w:val="24"/>
              </w:rPr>
            </w:pPr>
            <w:r w:rsidRPr="00670646">
              <w:rPr>
                <w:b/>
                <w:bCs/>
                <w:szCs w:val="24"/>
              </w:rPr>
              <w:t>Financing and Investment Income and Expenditure:</w:t>
            </w:r>
          </w:p>
        </w:tc>
      </w:tr>
      <w:tr w:rsidR="001800E4" w:rsidRPr="00670646" w14:paraId="5A46A9E6" w14:textId="77777777" w:rsidTr="008F6F5D">
        <w:trPr>
          <w:trHeight w:val="300"/>
        </w:trPr>
        <w:tc>
          <w:tcPr>
            <w:tcW w:w="4536" w:type="dxa"/>
          </w:tcPr>
          <w:p w14:paraId="7BB24C11" w14:textId="77777777" w:rsidR="001800E4" w:rsidRPr="00670646" w:rsidRDefault="001800E4" w:rsidP="001800E4">
            <w:pPr>
              <w:numPr>
                <w:ilvl w:val="0"/>
                <w:numId w:val="17"/>
              </w:numPr>
              <w:tabs>
                <w:tab w:val="clear" w:pos="754"/>
                <w:tab w:val="num" w:pos="459"/>
              </w:tabs>
              <w:ind w:hanging="720"/>
              <w:rPr>
                <w:szCs w:val="24"/>
              </w:rPr>
            </w:pPr>
            <w:r w:rsidRPr="00670646">
              <w:rPr>
                <w:szCs w:val="24"/>
              </w:rPr>
              <w:t>Interest cost</w:t>
            </w:r>
          </w:p>
        </w:tc>
        <w:tc>
          <w:tcPr>
            <w:tcW w:w="1168" w:type="dxa"/>
            <w:vAlign w:val="center"/>
          </w:tcPr>
          <w:p w14:paraId="021D199F" w14:textId="10F211CD" w:rsidR="001800E4" w:rsidRPr="00294859" w:rsidRDefault="004D2CFD" w:rsidP="001800E4">
            <w:pPr>
              <w:tabs>
                <w:tab w:val="decimal" w:pos="717"/>
              </w:tabs>
              <w:ind w:left="34"/>
              <w:jc w:val="right"/>
              <w:rPr>
                <w:szCs w:val="24"/>
              </w:rPr>
            </w:pPr>
            <w:r>
              <w:rPr>
                <w:szCs w:val="24"/>
              </w:rPr>
              <w:t>3,033</w:t>
            </w:r>
          </w:p>
        </w:tc>
        <w:tc>
          <w:tcPr>
            <w:tcW w:w="1242" w:type="dxa"/>
            <w:vAlign w:val="center"/>
          </w:tcPr>
          <w:p w14:paraId="316C9C8A" w14:textId="6B5CF640" w:rsidR="001800E4" w:rsidRPr="00670646" w:rsidRDefault="001800E4" w:rsidP="001800E4">
            <w:pPr>
              <w:tabs>
                <w:tab w:val="decimal" w:pos="717"/>
              </w:tabs>
              <w:ind w:left="34"/>
              <w:jc w:val="right"/>
              <w:rPr>
                <w:szCs w:val="24"/>
              </w:rPr>
            </w:pPr>
            <w:r w:rsidRPr="00294859">
              <w:rPr>
                <w:szCs w:val="24"/>
              </w:rPr>
              <w:t>2,912</w:t>
            </w:r>
          </w:p>
        </w:tc>
        <w:tc>
          <w:tcPr>
            <w:tcW w:w="1242" w:type="dxa"/>
            <w:vAlign w:val="center"/>
          </w:tcPr>
          <w:p w14:paraId="2EBE2152" w14:textId="0A87AD54" w:rsidR="001800E4" w:rsidRPr="00294859" w:rsidRDefault="00775668" w:rsidP="001800E4">
            <w:pPr>
              <w:tabs>
                <w:tab w:val="decimal" w:pos="884"/>
              </w:tabs>
              <w:ind w:left="34"/>
              <w:jc w:val="right"/>
              <w:rPr>
                <w:szCs w:val="24"/>
              </w:rPr>
            </w:pPr>
            <w:r>
              <w:rPr>
                <w:szCs w:val="24"/>
              </w:rPr>
              <w:t>32,400</w:t>
            </w:r>
          </w:p>
        </w:tc>
        <w:tc>
          <w:tcPr>
            <w:tcW w:w="1310" w:type="dxa"/>
            <w:vAlign w:val="center"/>
          </w:tcPr>
          <w:p w14:paraId="4F110055" w14:textId="0A138AE9" w:rsidR="001800E4" w:rsidRPr="00670646" w:rsidRDefault="001800E4" w:rsidP="001800E4">
            <w:pPr>
              <w:tabs>
                <w:tab w:val="decimal" w:pos="884"/>
              </w:tabs>
              <w:ind w:left="34"/>
              <w:jc w:val="right"/>
              <w:rPr>
                <w:szCs w:val="24"/>
              </w:rPr>
            </w:pPr>
            <w:r w:rsidRPr="00294859">
              <w:rPr>
                <w:szCs w:val="24"/>
              </w:rPr>
              <w:t>30,300</w:t>
            </w:r>
          </w:p>
        </w:tc>
      </w:tr>
      <w:tr w:rsidR="001800E4" w:rsidRPr="00670646" w14:paraId="598567C1" w14:textId="77777777" w:rsidTr="008F6F5D">
        <w:trPr>
          <w:trHeight w:val="300"/>
        </w:trPr>
        <w:tc>
          <w:tcPr>
            <w:tcW w:w="4536" w:type="dxa"/>
          </w:tcPr>
          <w:p w14:paraId="63F0C168" w14:textId="77777777" w:rsidR="001800E4" w:rsidRPr="00670646" w:rsidRDefault="001800E4" w:rsidP="001800E4">
            <w:pPr>
              <w:numPr>
                <w:ilvl w:val="0"/>
                <w:numId w:val="17"/>
              </w:numPr>
              <w:tabs>
                <w:tab w:val="clear" w:pos="754"/>
                <w:tab w:val="num" w:pos="459"/>
              </w:tabs>
              <w:ind w:hanging="720"/>
              <w:rPr>
                <w:szCs w:val="24"/>
              </w:rPr>
            </w:pPr>
            <w:r w:rsidRPr="00670646">
              <w:rPr>
                <w:szCs w:val="24"/>
              </w:rPr>
              <w:t>Interest on scheme assets</w:t>
            </w:r>
          </w:p>
        </w:tc>
        <w:tc>
          <w:tcPr>
            <w:tcW w:w="1168" w:type="dxa"/>
            <w:vAlign w:val="center"/>
          </w:tcPr>
          <w:p w14:paraId="26389F5B" w14:textId="4CF6D0CF" w:rsidR="001800E4" w:rsidRPr="00294859" w:rsidRDefault="004D2CFD" w:rsidP="001800E4">
            <w:pPr>
              <w:tabs>
                <w:tab w:val="decimal" w:pos="717"/>
              </w:tabs>
              <w:ind w:left="34"/>
              <w:jc w:val="right"/>
              <w:rPr>
                <w:szCs w:val="24"/>
              </w:rPr>
            </w:pPr>
            <w:r>
              <w:rPr>
                <w:szCs w:val="24"/>
              </w:rPr>
              <w:t>(4,897)</w:t>
            </w:r>
          </w:p>
        </w:tc>
        <w:tc>
          <w:tcPr>
            <w:tcW w:w="1242" w:type="dxa"/>
            <w:vAlign w:val="center"/>
          </w:tcPr>
          <w:p w14:paraId="6546211A" w14:textId="44D0EF75" w:rsidR="001800E4" w:rsidRPr="00670646" w:rsidRDefault="001800E4" w:rsidP="001800E4">
            <w:pPr>
              <w:tabs>
                <w:tab w:val="decimal" w:pos="717"/>
              </w:tabs>
              <w:ind w:left="34"/>
              <w:jc w:val="right"/>
              <w:rPr>
                <w:szCs w:val="24"/>
              </w:rPr>
            </w:pPr>
            <w:r w:rsidRPr="00294859">
              <w:rPr>
                <w:szCs w:val="24"/>
              </w:rPr>
              <w:t>(4,086)</w:t>
            </w:r>
          </w:p>
        </w:tc>
        <w:tc>
          <w:tcPr>
            <w:tcW w:w="1242" w:type="dxa"/>
            <w:vAlign w:val="center"/>
          </w:tcPr>
          <w:p w14:paraId="4E70C161" w14:textId="12112970" w:rsidR="001800E4" w:rsidRPr="00294859" w:rsidRDefault="00775668" w:rsidP="001800E4">
            <w:pPr>
              <w:tabs>
                <w:tab w:val="decimal" w:pos="884"/>
              </w:tabs>
              <w:ind w:left="34"/>
              <w:jc w:val="right"/>
              <w:rPr>
                <w:szCs w:val="24"/>
              </w:rPr>
            </w:pPr>
            <w:r>
              <w:rPr>
                <w:szCs w:val="24"/>
              </w:rPr>
              <w:t>-</w:t>
            </w:r>
          </w:p>
        </w:tc>
        <w:tc>
          <w:tcPr>
            <w:tcW w:w="1310" w:type="dxa"/>
            <w:vAlign w:val="center"/>
          </w:tcPr>
          <w:p w14:paraId="56B78565" w14:textId="576A69AF" w:rsidR="001800E4" w:rsidRPr="00670646" w:rsidRDefault="001800E4" w:rsidP="001800E4">
            <w:pPr>
              <w:tabs>
                <w:tab w:val="decimal" w:pos="884"/>
              </w:tabs>
              <w:ind w:left="34"/>
              <w:jc w:val="right"/>
              <w:rPr>
                <w:szCs w:val="24"/>
              </w:rPr>
            </w:pPr>
            <w:r w:rsidRPr="00294859">
              <w:rPr>
                <w:szCs w:val="24"/>
              </w:rPr>
              <w:t>-</w:t>
            </w:r>
          </w:p>
        </w:tc>
      </w:tr>
      <w:tr w:rsidR="001800E4" w:rsidRPr="00670646" w14:paraId="2A2920CB" w14:textId="77777777" w:rsidTr="008F6F5D">
        <w:trPr>
          <w:trHeight w:val="300"/>
        </w:trPr>
        <w:tc>
          <w:tcPr>
            <w:tcW w:w="4536" w:type="dxa"/>
          </w:tcPr>
          <w:p w14:paraId="6DEA3ED0" w14:textId="14D6CEDB" w:rsidR="001800E4" w:rsidRPr="00670646" w:rsidRDefault="001800E4" w:rsidP="001800E4">
            <w:pPr>
              <w:ind w:left="34"/>
              <w:rPr>
                <w:b/>
                <w:bCs/>
                <w:szCs w:val="24"/>
              </w:rPr>
            </w:pPr>
            <w:r w:rsidRPr="00670646">
              <w:rPr>
                <w:b/>
                <w:bCs/>
                <w:szCs w:val="24"/>
              </w:rPr>
              <w:t>Financing total</w:t>
            </w:r>
          </w:p>
        </w:tc>
        <w:tc>
          <w:tcPr>
            <w:tcW w:w="1168" w:type="dxa"/>
            <w:vAlign w:val="center"/>
          </w:tcPr>
          <w:p w14:paraId="4E789A63" w14:textId="3D0AEC2D" w:rsidR="001800E4" w:rsidRPr="00294859" w:rsidRDefault="0031017B" w:rsidP="001800E4">
            <w:pPr>
              <w:tabs>
                <w:tab w:val="decimal" w:pos="717"/>
              </w:tabs>
              <w:ind w:left="34"/>
              <w:jc w:val="right"/>
              <w:rPr>
                <w:b/>
                <w:szCs w:val="24"/>
              </w:rPr>
            </w:pPr>
            <w:r>
              <w:rPr>
                <w:b/>
                <w:szCs w:val="24"/>
              </w:rPr>
              <w:t>(1,864)</w:t>
            </w:r>
          </w:p>
        </w:tc>
        <w:tc>
          <w:tcPr>
            <w:tcW w:w="1242" w:type="dxa"/>
            <w:vAlign w:val="center"/>
          </w:tcPr>
          <w:p w14:paraId="03C7A64E" w14:textId="0F373947" w:rsidR="001800E4" w:rsidRPr="00670646" w:rsidRDefault="001800E4" w:rsidP="001800E4">
            <w:pPr>
              <w:tabs>
                <w:tab w:val="decimal" w:pos="717"/>
              </w:tabs>
              <w:ind w:left="34"/>
              <w:jc w:val="right"/>
              <w:rPr>
                <w:b/>
                <w:bCs/>
                <w:szCs w:val="24"/>
              </w:rPr>
            </w:pPr>
            <w:r w:rsidRPr="00670646">
              <w:rPr>
                <w:b/>
                <w:bCs/>
                <w:szCs w:val="24"/>
              </w:rPr>
              <w:t>(1,173)</w:t>
            </w:r>
          </w:p>
        </w:tc>
        <w:tc>
          <w:tcPr>
            <w:tcW w:w="1242" w:type="dxa"/>
            <w:vAlign w:val="center"/>
          </w:tcPr>
          <w:p w14:paraId="1D43A5C0" w14:textId="0E494B91" w:rsidR="001800E4" w:rsidRPr="00294859" w:rsidRDefault="00D02A35" w:rsidP="001800E4">
            <w:pPr>
              <w:tabs>
                <w:tab w:val="decimal" w:pos="884"/>
              </w:tabs>
              <w:ind w:left="34"/>
              <w:jc w:val="right"/>
              <w:rPr>
                <w:b/>
                <w:szCs w:val="24"/>
              </w:rPr>
            </w:pPr>
            <w:r>
              <w:rPr>
                <w:b/>
                <w:szCs w:val="24"/>
              </w:rPr>
              <w:t>32,400</w:t>
            </w:r>
          </w:p>
        </w:tc>
        <w:tc>
          <w:tcPr>
            <w:tcW w:w="1310" w:type="dxa"/>
            <w:vAlign w:val="center"/>
          </w:tcPr>
          <w:p w14:paraId="473A7F0E" w14:textId="5170C6CE" w:rsidR="001800E4" w:rsidRPr="00670646" w:rsidRDefault="001800E4" w:rsidP="001800E4">
            <w:pPr>
              <w:tabs>
                <w:tab w:val="decimal" w:pos="884"/>
              </w:tabs>
              <w:ind w:left="34"/>
              <w:jc w:val="right"/>
              <w:rPr>
                <w:b/>
                <w:bCs/>
                <w:szCs w:val="24"/>
              </w:rPr>
            </w:pPr>
            <w:r w:rsidRPr="00294859">
              <w:rPr>
                <w:b/>
                <w:szCs w:val="24"/>
              </w:rPr>
              <w:t>30,300</w:t>
            </w:r>
          </w:p>
        </w:tc>
      </w:tr>
      <w:tr w:rsidR="001800E4" w:rsidRPr="00670646" w14:paraId="3B64AF29" w14:textId="77777777" w:rsidTr="008F6F5D">
        <w:trPr>
          <w:trHeight w:val="300"/>
        </w:trPr>
        <w:tc>
          <w:tcPr>
            <w:tcW w:w="4536" w:type="dxa"/>
          </w:tcPr>
          <w:p w14:paraId="06DBC405" w14:textId="0FF39192" w:rsidR="001800E4" w:rsidRPr="00670646" w:rsidRDefault="001800E4" w:rsidP="001800E4">
            <w:pPr>
              <w:ind w:left="34"/>
              <w:rPr>
                <w:b/>
                <w:szCs w:val="24"/>
              </w:rPr>
            </w:pPr>
            <w:r w:rsidRPr="00670646">
              <w:rPr>
                <w:b/>
                <w:szCs w:val="24"/>
              </w:rPr>
              <w:t xml:space="preserve">Total post-employment benefit charged to the </w:t>
            </w:r>
            <w:r>
              <w:rPr>
                <w:b/>
                <w:szCs w:val="24"/>
              </w:rPr>
              <w:t>(surplus)</w:t>
            </w:r>
            <w:r w:rsidR="004404E4">
              <w:rPr>
                <w:b/>
                <w:szCs w:val="24"/>
              </w:rPr>
              <w:t xml:space="preserve"> or </w:t>
            </w:r>
            <w:r w:rsidRPr="00670646">
              <w:rPr>
                <w:b/>
                <w:szCs w:val="24"/>
              </w:rPr>
              <w:t>deficit on provision of services</w:t>
            </w:r>
          </w:p>
        </w:tc>
        <w:tc>
          <w:tcPr>
            <w:tcW w:w="1168" w:type="dxa"/>
            <w:vAlign w:val="center"/>
          </w:tcPr>
          <w:p w14:paraId="37FBB71A" w14:textId="5EFCE939" w:rsidR="001800E4" w:rsidRPr="00294859" w:rsidRDefault="0031017B" w:rsidP="001800E4">
            <w:pPr>
              <w:tabs>
                <w:tab w:val="decimal" w:pos="717"/>
              </w:tabs>
              <w:ind w:left="34"/>
              <w:jc w:val="right"/>
              <w:rPr>
                <w:b/>
                <w:szCs w:val="24"/>
              </w:rPr>
            </w:pPr>
            <w:r>
              <w:rPr>
                <w:b/>
                <w:szCs w:val="24"/>
              </w:rPr>
              <w:t>993</w:t>
            </w:r>
          </w:p>
        </w:tc>
        <w:tc>
          <w:tcPr>
            <w:tcW w:w="1242" w:type="dxa"/>
            <w:vAlign w:val="center"/>
          </w:tcPr>
          <w:p w14:paraId="40EB8CB1" w14:textId="26B332D6" w:rsidR="001800E4" w:rsidRPr="00670646" w:rsidRDefault="001800E4" w:rsidP="001800E4">
            <w:pPr>
              <w:tabs>
                <w:tab w:val="decimal" w:pos="717"/>
              </w:tabs>
              <w:ind w:left="34"/>
              <w:jc w:val="right"/>
              <w:rPr>
                <w:b/>
                <w:szCs w:val="24"/>
              </w:rPr>
            </w:pPr>
            <w:r w:rsidRPr="00670646">
              <w:rPr>
                <w:b/>
                <w:szCs w:val="24"/>
              </w:rPr>
              <w:t>1,485</w:t>
            </w:r>
          </w:p>
        </w:tc>
        <w:tc>
          <w:tcPr>
            <w:tcW w:w="1242" w:type="dxa"/>
            <w:vAlign w:val="center"/>
          </w:tcPr>
          <w:p w14:paraId="278132DA" w14:textId="2D6CE694" w:rsidR="001800E4" w:rsidRPr="00294859" w:rsidRDefault="00D02A35" w:rsidP="001800E4">
            <w:pPr>
              <w:tabs>
                <w:tab w:val="decimal" w:pos="884"/>
              </w:tabs>
              <w:ind w:left="34"/>
              <w:jc w:val="right"/>
              <w:rPr>
                <w:b/>
                <w:szCs w:val="24"/>
              </w:rPr>
            </w:pPr>
            <w:r>
              <w:rPr>
                <w:b/>
                <w:szCs w:val="24"/>
              </w:rPr>
              <w:t>34,050</w:t>
            </w:r>
          </w:p>
        </w:tc>
        <w:tc>
          <w:tcPr>
            <w:tcW w:w="1310" w:type="dxa"/>
            <w:vAlign w:val="center"/>
          </w:tcPr>
          <w:p w14:paraId="6C740EB2" w14:textId="64BEB045" w:rsidR="001800E4" w:rsidRPr="00670646" w:rsidRDefault="001800E4" w:rsidP="001800E4">
            <w:pPr>
              <w:tabs>
                <w:tab w:val="decimal" w:pos="884"/>
              </w:tabs>
              <w:ind w:left="34"/>
              <w:jc w:val="right"/>
              <w:rPr>
                <w:b/>
                <w:szCs w:val="24"/>
              </w:rPr>
            </w:pPr>
            <w:r w:rsidRPr="00294859">
              <w:rPr>
                <w:b/>
                <w:szCs w:val="24"/>
              </w:rPr>
              <w:t>33,660</w:t>
            </w:r>
          </w:p>
        </w:tc>
      </w:tr>
    </w:tbl>
    <w:p w14:paraId="58543FAA"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371E6237" w14:textId="77777777" w:rsidTr="007641BA">
        <w:trPr>
          <w:trHeight w:val="300"/>
        </w:trPr>
        <w:tc>
          <w:tcPr>
            <w:tcW w:w="9498" w:type="dxa"/>
            <w:gridSpan w:val="5"/>
            <w:shd w:val="clear" w:color="auto" w:fill="D9D9D9" w:themeFill="background1" w:themeFillShade="D9"/>
          </w:tcPr>
          <w:p w14:paraId="16758FE8" w14:textId="0EBF0A18" w:rsidR="00053629" w:rsidRPr="00670646" w:rsidRDefault="00053629" w:rsidP="00053629">
            <w:pPr>
              <w:tabs>
                <w:tab w:val="decimal" w:pos="717"/>
              </w:tabs>
              <w:ind w:left="34"/>
              <w:rPr>
                <w:b/>
                <w:szCs w:val="24"/>
              </w:rPr>
            </w:pPr>
            <w:r w:rsidRPr="00670646">
              <w:rPr>
                <w:b/>
                <w:szCs w:val="24"/>
              </w:rPr>
              <w:t>Other post-employment benefit charged to the Comprehensive Income and Expenditure Statement</w:t>
            </w:r>
          </w:p>
        </w:tc>
      </w:tr>
      <w:tr w:rsidR="001800E4" w:rsidRPr="00670646" w14:paraId="04158396" w14:textId="77777777" w:rsidTr="008F6F5D">
        <w:trPr>
          <w:trHeight w:val="300"/>
        </w:trPr>
        <w:tc>
          <w:tcPr>
            <w:tcW w:w="4536" w:type="dxa"/>
          </w:tcPr>
          <w:p w14:paraId="23AAB4E5" w14:textId="77777777" w:rsidR="001800E4" w:rsidRPr="00670646" w:rsidRDefault="001800E4" w:rsidP="001800E4">
            <w:pPr>
              <w:numPr>
                <w:ilvl w:val="0"/>
                <w:numId w:val="17"/>
              </w:numPr>
              <w:tabs>
                <w:tab w:val="clear" w:pos="754"/>
                <w:tab w:val="num" w:pos="459"/>
              </w:tabs>
              <w:ind w:hanging="720"/>
              <w:rPr>
                <w:szCs w:val="24"/>
              </w:rPr>
            </w:pPr>
            <w:r w:rsidRPr="00670646">
              <w:rPr>
                <w:szCs w:val="24"/>
              </w:rPr>
              <w:t>Actuarial (gains) and losses</w:t>
            </w:r>
          </w:p>
        </w:tc>
        <w:tc>
          <w:tcPr>
            <w:tcW w:w="1168" w:type="dxa"/>
            <w:vAlign w:val="center"/>
          </w:tcPr>
          <w:p w14:paraId="66EA71A8" w14:textId="29F50994" w:rsidR="001800E4" w:rsidRPr="00294859" w:rsidRDefault="0031017B" w:rsidP="001800E4">
            <w:pPr>
              <w:tabs>
                <w:tab w:val="decimal" w:pos="717"/>
              </w:tabs>
              <w:ind w:left="34"/>
              <w:jc w:val="right"/>
              <w:rPr>
                <w:szCs w:val="24"/>
              </w:rPr>
            </w:pPr>
            <w:r>
              <w:rPr>
                <w:szCs w:val="24"/>
              </w:rPr>
              <w:t>(</w:t>
            </w:r>
            <w:r w:rsidR="00C722C9">
              <w:rPr>
                <w:szCs w:val="24"/>
              </w:rPr>
              <w:t>598)</w:t>
            </w:r>
          </w:p>
        </w:tc>
        <w:tc>
          <w:tcPr>
            <w:tcW w:w="1242" w:type="dxa"/>
            <w:vAlign w:val="center"/>
          </w:tcPr>
          <w:p w14:paraId="4B172A46" w14:textId="449A3B16" w:rsidR="001800E4" w:rsidRPr="00670646" w:rsidRDefault="001800E4" w:rsidP="001800E4">
            <w:pPr>
              <w:tabs>
                <w:tab w:val="decimal" w:pos="717"/>
              </w:tabs>
              <w:ind w:left="34"/>
              <w:jc w:val="right"/>
              <w:rPr>
                <w:szCs w:val="24"/>
              </w:rPr>
            </w:pPr>
            <w:r w:rsidRPr="00670646">
              <w:rPr>
                <w:szCs w:val="24"/>
              </w:rPr>
              <w:t>(1,099)</w:t>
            </w:r>
          </w:p>
        </w:tc>
        <w:tc>
          <w:tcPr>
            <w:tcW w:w="1242" w:type="dxa"/>
            <w:vAlign w:val="center"/>
          </w:tcPr>
          <w:p w14:paraId="52BD9D04" w14:textId="5A596E45" w:rsidR="001800E4" w:rsidRPr="00294859" w:rsidRDefault="00D02A35" w:rsidP="001800E4">
            <w:pPr>
              <w:tabs>
                <w:tab w:val="decimal" w:pos="884"/>
              </w:tabs>
              <w:ind w:left="34"/>
              <w:jc w:val="right"/>
              <w:rPr>
                <w:szCs w:val="24"/>
              </w:rPr>
            </w:pPr>
            <w:r>
              <w:rPr>
                <w:szCs w:val="24"/>
              </w:rPr>
              <w:t>(13,850)</w:t>
            </w:r>
          </w:p>
        </w:tc>
        <w:tc>
          <w:tcPr>
            <w:tcW w:w="1310" w:type="dxa"/>
            <w:vAlign w:val="center"/>
          </w:tcPr>
          <w:p w14:paraId="4F3D7745" w14:textId="2FB549F6" w:rsidR="001800E4" w:rsidRPr="00670646" w:rsidRDefault="001800E4" w:rsidP="001800E4">
            <w:pPr>
              <w:tabs>
                <w:tab w:val="decimal" w:pos="884"/>
              </w:tabs>
              <w:ind w:left="34"/>
              <w:jc w:val="right"/>
              <w:rPr>
                <w:szCs w:val="24"/>
              </w:rPr>
            </w:pPr>
            <w:r w:rsidRPr="00294859">
              <w:rPr>
                <w:szCs w:val="24"/>
              </w:rPr>
              <w:t>(66,100)</w:t>
            </w:r>
          </w:p>
        </w:tc>
      </w:tr>
      <w:tr w:rsidR="001800E4" w:rsidRPr="00670646" w14:paraId="3C89A1E0" w14:textId="77777777" w:rsidTr="008F6F5D">
        <w:trPr>
          <w:trHeight w:val="300"/>
        </w:trPr>
        <w:tc>
          <w:tcPr>
            <w:tcW w:w="4536" w:type="dxa"/>
          </w:tcPr>
          <w:p w14:paraId="4865CC16" w14:textId="6DC01BD2" w:rsidR="001800E4" w:rsidRPr="00670646" w:rsidRDefault="001800E4" w:rsidP="001800E4">
            <w:pPr>
              <w:ind w:left="34"/>
              <w:rPr>
                <w:b/>
                <w:szCs w:val="24"/>
              </w:rPr>
            </w:pPr>
            <w:r w:rsidRPr="00670646">
              <w:rPr>
                <w:b/>
                <w:szCs w:val="24"/>
              </w:rPr>
              <w:t>Total post-employment benefit charged to the Comprehensive Income and Expenditure Statement</w:t>
            </w:r>
          </w:p>
        </w:tc>
        <w:tc>
          <w:tcPr>
            <w:tcW w:w="1168" w:type="dxa"/>
            <w:vAlign w:val="center"/>
          </w:tcPr>
          <w:p w14:paraId="0453437C" w14:textId="33B1BB40" w:rsidR="001800E4" w:rsidRPr="00294859" w:rsidRDefault="00C722C9" w:rsidP="001800E4">
            <w:pPr>
              <w:tabs>
                <w:tab w:val="decimal" w:pos="717"/>
              </w:tabs>
              <w:ind w:left="34"/>
              <w:jc w:val="right"/>
              <w:rPr>
                <w:b/>
                <w:szCs w:val="24"/>
              </w:rPr>
            </w:pPr>
            <w:r>
              <w:rPr>
                <w:b/>
                <w:szCs w:val="24"/>
              </w:rPr>
              <w:t>395</w:t>
            </w:r>
          </w:p>
        </w:tc>
        <w:tc>
          <w:tcPr>
            <w:tcW w:w="1242" w:type="dxa"/>
            <w:vAlign w:val="center"/>
          </w:tcPr>
          <w:p w14:paraId="7E59D138" w14:textId="1599DC45" w:rsidR="001800E4" w:rsidRPr="00670646" w:rsidRDefault="001800E4" w:rsidP="001800E4">
            <w:pPr>
              <w:tabs>
                <w:tab w:val="decimal" w:pos="717"/>
              </w:tabs>
              <w:ind w:left="34"/>
              <w:jc w:val="right"/>
              <w:rPr>
                <w:b/>
                <w:szCs w:val="24"/>
              </w:rPr>
            </w:pPr>
            <w:r w:rsidRPr="00670646">
              <w:rPr>
                <w:b/>
                <w:szCs w:val="24"/>
              </w:rPr>
              <w:t>386</w:t>
            </w:r>
          </w:p>
        </w:tc>
        <w:tc>
          <w:tcPr>
            <w:tcW w:w="1242" w:type="dxa"/>
            <w:vAlign w:val="center"/>
          </w:tcPr>
          <w:p w14:paraId="56BC42DC" w14:textId="5C9368EB" w:rsidR="001800E4" w:rsidRPr="00294859" w:rsidRDefault="00916E9F" w:rsidP="001800E4">
            <w:pPr>
              <w:tabs>
                <w:tab w:val="decimal" w:pos="884"/>
              </w:tabs>
              <w:ind w:left="34"/>
              <w:jc w:val="right"/>
              <w:rPr>
                <w:b/>
                <w:szCs w:val="24"/>
              </w:rPr>
            </w:pPr>
            <w:r>
              <w:rPr>
                <w:b/>
                <w:szCs w:val="24"/>
              </w:rPr>
              <w:t>20,200</w:t>
            </w:r>
          </w:p>
        </w:tc>
        <w:tc>
          <w:tcPr>
            <w:tcW w:w="1310" w:type="dxa"/>
            <w:vAlign w:val="center"/>
          </w:tcPr>
          <w:p w14:paraId="55CD357B" w14:textId="1BF4C3B1" w:rsidR="001800E4" w:rsidRPr="00670646" w:rsidRDefault="001800E4" w:rsidP="001800E4">
            <w:pPr>
              <w:tabs>
                <w:tab w:val="decimal" w:pos="884"/>
              </w:tabs>
              <w:ind w:left="34"/>
              <w:jc w:val="right"/>
              <w:rPr>
                <w:b/>
                <w:szCs w:val="24"/>
              </w:rPr>
            </w:pPr>
            <w:r w:rsidRPr="00294859">
              <w:rPr>
                <w:b/>
                <w:szCs w:val="24"/>
              </w:rPr>
              <w:t>(32,440)</w:t>
            </w:r>
          </w:p>
        </w:tc>
      </w:tr>
    </w:tbl>
    <w:p w14:paraId="331B4249"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41B1CF30" w14:textId="77777777" w:rsidTr="00982FEC">
        <w:trPr>
          <w:trHeight w:val="300"/>
        </w:trPr>
        <w:tc>
          <w:tcPr>
            <w:tcW w:w="9498" w:type="dxa"/>
            <w:gridSpan w:val="5"/>
            <w:shd w:val="clear" w:color="auto" w:fill="D9D9D9" w:themeFill="background1" w:themeFillShade="D9"/>
          </w:tcPr>
          <w:p w14:paraId="446DC1D5" w14:textId="155A813C" w:rsidR="00053629" w:rsidRPr="00670646" w:rsidRDefault="00053629" w:rsidP="00053629">
            <w:pPr>
              <w:tabs>
                <w:tab w:val="decimal" w:pos="717"/>
              </w:tabs>
              <w:ind w:left="34"/>
              <w:rPr>
                <w:b/>
                <w:szCs w:val="24"/>
              </w:rPr>
            </w:pPr>
            <w:r w:rsidRPr="00670646">
              <w:rPr>
                <w:b/>
                <w:szCs w:val="24"/>
              </w:rPr>
              <w:t>Movement in reserves statement</w:t>
            </w:r>
          </w:p>
        </w:tc>
      </w:tr>
      <w:tr w:rsidR="006636C3" w:rsidRPr="00670646" w14:paraId="1FEE3C73" w14:textId="77777777" w:rsidTr="008F6F5D">
        <w:trPr>
          <w:trHeight w:val="300"/>
        </w:trPr>
        <w:tc>
          <w:tcPr>
            <w:tcW w:w="4536" w:type="dxa"/>
          </w:tcPr>
          <w:p w14:paraId="5D6630DD" w14:textId="16676097" w:rsidR="006636C3" w:rsidRPr="00670646" w:rsidRDefault="006636C3" w:rsidP="006636C3">
            <w:pPr>
              <w:numPr>
                <w:ilvl w:val="0"/>
                <w:numId w:val="17"/>
              </w:numPr>
              <w:tabs>
                <w:tab w:val="clear" w:pos="754"/>
                <w:tab w:val="num" w:pos="459"/>
              </w:tabs>
              <w:ind w:left="459" w:hanging="425"/>
              <w:rPr>
                <w:b/>
                <w:szCs w:val="24"/>
              </w:rPr>
            </w:pPr>
            <w:r w:rsidRPr="00670646">
              <w:rPr>
                <w:szCs w:val="24"/>
              </w:rPr>
              <w:t>Reversal of net charges made to the</w:t>
            </w:r>
            <w:r w:rsidRPr="00670646">
              <w:rPr>
                <w:b/>
                <w:szCs w:val="24"/>
              </w:rPr>
              <w:t xml:space="preserve"> </w:t>
            </w:r>
            <w:r w:rsidRPr="00670646">
              <w:rPr>
                <w:szCs w:val="24"/>
              </w:rPr>
              <w:t>deficit on provision of services in accordance with the code</w:t>
            </w:r>
          </w:p>
        </w:tc>
        <w:tc>
          <w:tcPr>
            <w:tcW w:w="1168" w:type="dxa"/>
            <w:vAlign w:val="center"/>
          </w:tcPr>
          <w:p w14:paraId="346D729D" w14:textId="39DD43CF" w:rsidR="006636C3" w:rsidRPr="00670646" w:rsidRDefault="00C722C9" w:rsidP="006636C3">
            <w:pPr>
              <w:tabs>
                <w:tab w:val="decimal" w:pos="717"/>
              </w:tabs>
              <w:ind w:left="34"/>
              <w:jc w:val="right"/>
              <w:rPr>
                <w:szCs w:val="24"/>
              </w:rPr>
            </w:pPr>
            <w:r>
              <w:rPr>
                <w:szCs w:val="24"/>
              </w:rPr>
              <w:t>(569</w:t>
            </w:r>
          </w:p>
        </w:tc>
        <w:tc>
          <w:tcPr>
            <w:tcW w:w="1242" w:type="dxa"/>
            <w:vAlign w:val="center"/>
          </w:tcPr>
          <w:p w14:paraId="75C5209C" w14:textId="1E70505F" w:rsidR="006636C3" w:rsidRPr="00670646" w:rsidRDefault="001800E4" w:rsidP="006636C3">
            <w:pPr>
              <w:tabs>
                <w:tab w:val="decimal" w:pos="717"/>
              </w:tabs>
              <w:ind w:left="34"/>
              <w:jc w:val="right"/>
              <w:rPr>
                <w:szCs w:val="24"/>
              </w:rPr>
            </w:pPr>
            <w:r w:rsidRPr="00294859">
              <w:rPr>
                <w:szCs w:val="24"/>
              </w:rPr>
              <w:t>(1</w:t>
            </w:r>
            <w:r w:rsidRPr="00DE3FCE">
              <w:rPr>
                <w:szCs w:val="24"/>
              </w:rPr>
              <w:t>,089)</w:t>
            </w:r>
          </w:p>
        </w:tc>
        <w:tc>
          <w:tcPr>
            <w:tcW w:w="1242" w:type="dxa"/>
            <w:vAlign w:val="center"/>
          </w:tcPr>
          <w:p w14:paraId="2680F87C" w14:textId="30F0B004" w:rsidR="006636C3" w:rsidRPr="00670646" w:rsidRDefault="00F87449" w:rsidP="006636C3">
            <w:pPr>
              <w:tabs>
                <w:tab w:val="decimal" w:pos="884"/>
              </w:tabs>
              <w:ind w:left="34"/>
              <w:jc w:val="right"/>
              <w:rPr>
                <w:szCs w:val="24"/>
              </w:rPr>
            </w:pPr>
            <w:r>
              <w:rPr>
                <w:szCs w:val="24"/>
              </w:rPr>
              <w:t>(2,020)</w:t>
            </w:r>
          </w:p>
        </w:tc>
        <w:tc>
          <w:tcPr>
            <w:tcW w:w="1310" w:type="dxa"/>
            <w:vAlign w:val="center"/>
          </w:tcPr>
          <w:p w14:paraId="14E49329" w14:textId="778700D0" w:rsidR="006636C3" w:rsidRPr="00670646" w:rsidRDefault="001800E4" w:rsidP="006636C3">
            <w:pPr>
              <w:tabs>
                <w:tab w:val="decimal" w:pos="884"/>
              </w:tabs>
              <w:ind w:left="34"/>
              <w:jc w:val="right"/>
              <w:rPr>
                <w:szCs w:val="24"/>
              </w:rPr>
            </w:pPr>
            <w:r w:rsidRPr="00294859">
              <w:rPr>
                <w:szCs w:val="24"/>
              </w:rPr>
              <w:t>(2,620)</w:t>
            </w:r>
          </w:p>
        </w:tc>
      </w:tr>
    </w:tbl>
    <w:p w14:paraId="37CAC914" w14:textId="77777777" w:rsidR="001E71F1" w:rsidRPr="00670646" w:rsidRDefault="001E71F1"/>
    <w:tbl>
      <w:tblPr>
        <w:tblW w:w="94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168"/>
        <w:gridCol w:w="1242"/>
        <w:gridCol w:w="1242"/>
        <w:gridCol w:w="1310"/>
      </w:tblGrid>
      <w:tr w:rsidR="00053629" w:rsidRPr="00670646" w14:paraId="3DC62280" w14:textId="77777777" w:rsidTr="00982FEC">
        <w:trPr>
          <w:trHeight w:val="300"/>
        </w:trPr>
        <w:tc>
          <w:tcPr>
            <w:tcW w:w="9498" w:type="dxa"/>
            <w:gridSpan w:val="5"/>
            <w:shd w:val="clear" w:color="auto" w:fill="D9D9D9" w:themeFill="background1" w:themeFillShade="D9"/>
          </w:tcPr>
          <w:p w14:paraId="0D74329B" w14:textId="57BAD4BD" w:rsidR="00053629" w:rsidRPr="00670646" w:rsidRDefault="00053629" w:rsidP="00053629">
            <w:pPr>
              <w:tabs>
                <w:tab w:val="decimal" w:pos="717"/>
              </w:tabs>
              <w:ind w:left="34"/>
              <w:rPr>
                <w:b/>
                <w:szCs w:val="24"/>
              </w:rPr>
            </w:pPr>
            <w:r w:rsidRPr="00670646">
              <w:rPr>
                <w:b/>
                <w:szCs w:val="24"/>
              </w:rPr>
              <w:t>Actual amount charged against the General Fund Balance for pensions in the year:</w:t>
            </w:r>
          </w:p>
        </w:tc>
      </w:tr>
      <w:tr w:rsidR="006636C3" w:rsidRPr="00670646" w14:paraId="6F8300F6" w14:textId="77777777" w:rsidTr="008F6F5D">
        <w:trPr>
          <w:trHeight w:val="300"/>
        </w:trPr>
        <w:tc>
          <w:tcPr>
            <w:tcW w:w="4536" w:type="dxa"/>
          </w:tcPr>
          <w:p w14:paraId="75265932" w14:textId="77777777" w:rsidR="006636C3" w:rsidRPr="00670646" w:rsidRDefault="006636C3" w:rsidP="006636C3">
            <w:pPr>
              <w:pStyle w:val="Footer"/>
              <w:tabs>
                <w:tab w:val="clear" w:pos="4153"/>
                <w:tab w:val="clear" w:pos="8306"/>
              </w:tabs>
              <w:ind w:left="34"/>
              <w:rPr>
                <w:szCs w:val="24"/>
              </w:rPr>
            </w:pPr>
            <w:r w:rsidRPr="00670646">
              <w:rPr>
                <w:szCs w:val="24"/>
              </w:rPr>
              <w:t>Employers’ contributions payable to the scheme</w:t>
            </w:r>
          </w:p>
        </w:tc>
        <w:tc>
          <w:tcPr>
            <w:tcW w:w="1168" w:type="dxa"/>
            <w:vAlign w:val="center"/>
          </w:tcPr>
          <w:p w14:paraId="5B38C50E" w14:textId="7350B867" w:rsidR="006636C3" w:rsidRPr="00294859" w:rsidRDefault="00C722C9" w:rsidP="006636C3">
            <w:pPr>
              <w:tabs>
                <w:tab w:val="decimal" w:pos="717"/>
              </w:tabs>
              <w:ind w:left="34"/>
              <w:jc w:val="right"/>
              <w:rPr>
                <w:szCs w:val="24"/>
              </w:rPr>
            </w:pPr>
            <w:r>
              <w:rPr>
                <w:szCs w:val="24"/>
              </w:rPr>
              <w:t>(424)</w:t>
            </w:r>
          </w:p>
        </w:tc>
        <w:tc>
          <w:tcPr>
            <w:tcW w:w="1242" w:type="dxa"/>
            <w:vAlign w:val="center"/>
          </w:tcPr>
          <w:p w14:paraId="2BEC8786" w14:textId="5E495C74" w:rsidR="006636C3" w:rsidRPr="00670646" w:rsidRDefault="006636C3" w:rsidP="006636C3">
            <w:pPr>
              <w:tabs>
                <w:tab w:val="decimal" w:pos="717"/>
              </w:tabs>
              <w:ind w:left="34"/>
              <w:jc w:val="right"/>
              <w:rPr>
                <w:szCs w:val="24"/>
              </w:rPr>
            </w:pPr>
            <w:r w:rsidRPr="00670646">
              <w:rPr>
                <w:szCs w:val="24"/>
              </w:rPr>
              <w:t>(3</w:t>
            </w:r>
            <w:r w:rsidR="001800E4">
              <w:rPr>
                <w:szCs w:val="24"/>
              </w:rPr>
              <w:t>9</w:t>
            </w:r>
            <w:r w:rsidRPr="00670646">
              <w:rPr>
                <w:szCs w:val="24"/>
              </w:rPr>
              <w:t>6)</w:t>
            </w:r>
          </w:p>
        </w:tc>
        <w:tc>
          <w:tcPr>
            <w:tcW w:w="1242" w:type="dxa"/>
            <w:vAlign w:val="center"/>
          </w:tcPr>
          <w:p w14:paraId="2C17E690" w14:textId="384EED93" w:rsidR="006636C3" w:rsidRPr="00294859" w:rsidRDefault="001800E4" w:rsidP="006636C3">
            <w:pPr>
              <w:tabs>
                <w:tab w:val="decimal" w:pos="717"/>
              </w:tabs>
              <w:ind w:left="34"/>
              <w:jc w:val="right"/>
              <w:rPr>
                <w:szCs w:val="24"/>
              </w:rPr>
            </w:pPr>
            <w:r>
              <w:rPr>
                <w:szCs w:val="24"/>
              </w:rPr>
              <w:t>-</w:t>
            </w:r>
          </w:p>
        </w:tc>
        <w:tc>
          <w:tcPr>
            <w:tcW w:w="1310" w:type="dxa"/>
            <w:vAlign w:val="center"/>
          </w:tcPr>
          <w:p w14:paraId="2BF4F5B6" w14:textId="1913ED00" w:rsidR="006636C3" w:rsidRPr="00670646" w:rsidRDefault="006636C3" w:rsidP="006636C3">
            <w:pPr>
              <w:tabs>
                <w:tab w:val="decimal" w:pos="717"/>
              </w:tabs>
              <w:ind w:left="34"/>
              <w:jc w:val="right"/>
              <w:rPr>
                <w:szCs w:val="24"/>
              </w:rPr>
            </w:pPr>
            <w:r w:rsidRPr="00670646">
              <w:rPr>
                <w:szCs w:val="24"/>
              </w:rPr>
              <w:t>-</w:t>
            </w:r>
          </w:p>
        </w:tc>
      </w:tr>
      <w:tr w:rsidR="006636C3" w:rsidRPr="00D948C1" w14:paraId="30B5A597" w14:textId="77777777" w:rsidTr="008F6F5D">
        <w:trPr>
          <w:trHeight w:val="300"/>
        </w:trPr>
        <w:tc>
          <w:tcPr>
            <w:tcW w:w="4536" w:type="dxa"/>
          </w:tcPr>
          <w:p w14:paraId="0FC8BFE7" w14:textId="77777777" w:rsidR="006636C3" w:rsidRPr="00670646" w:rsidRDefault="006636C3" w:rsidP="006636C3">
            <w:pPr>
              <w:pStyle w:val="Footer"/>
              <w:tabs>
                <w:tab w:val="clear" w:pos="4153"/>
                <w:tab w:val="clear" w:pos="8306"/>
              </w:tabs>
              <w:ind w:left="34"/>
              <w:rPr>
                <w:szCs w:val="24"/>
              </w:rPr>
            </w:pPr>
            <w:r w:rsidRPr="00670646">
              <w:rPr>
                <w:szCs w:val="24"/>
              </w:rPr>
              <w:t>Net retirement benefits payable to pensioners</w:t>
            </w:r>
          </w:p>
        </w:tc>
        <w:tc>
          <w:tcPr>
            <w:tcW w:w="1168" w:type="dxa"/>
            <w:vAlign w:val="center"/>
          </w:tcPr>
          <w:p w14:paraId="2376AF00" w14:textId="1116F202" w:rsidR="006636C3" w:rsidRPr="00294859" w:rsidRDefault="001800E4" w:rsidP="006636C3">
            <w:pPr>
              <w:tabs>
                <w:tab w:val="decimal" w:pos="717"/>
              </w:tabs>
              <w:ind w:left="34"/>
              <w:jc w:val="right"/>
              <w:rPr>
                <w:szCs w:val="24"/>
              </w:rPr>
            </w:pPr>
            <w:r>
              <w:rPr>
                <w:szCs w:val="24"/>
              </w:rPr>
              <w:t>-</w:t>
            </w:r>
          </w:p>
        </w:tc>
        <w:tc>
          <w:tcPr>
            <w:tcW w:w="1242" w:type="dxa"/>
            <w:vAlign w:val="center"/>
          </w:tcPr>
          <w:p w14:paraId="1B2461AD" w14:textId="2982C87C" w:rsidR="006636C3" w:rsidRPr="00670646" w:rsidRDefault="006636C3" w:rsidP="006636C3">
            <w:pPr>
              <w:tabs>
                <w:tab w:val="decimal" w:pos="717"/>
              </w:tabs>
              <w:ind w:left="34"/>
              <w:jc w:val="right"/>
              <w:rPr>
                <w:szCs w:val="24"/>
              </w:rPr>
            </w:pPr>
            <w:r w:rsidRPr="00670646">
              <w:rPr>
                <w:szCs w:val="24"/>
              </w:rPr>
              <w:t>-</w:t>
            </w:r>
          </w:p>
        </w:tc>
        <w:tc>
          <w:tcPr>
            <w:tcW w:w="1242" w:type="dxa"/>
            <w:vAlign w:val="center"/>
          </w:tcPr>
          <w:p w14:paraId="5DC3F90C" w14:textId="2C628536" w:rsidR="006636C3" w:rsidRPr="00294859" w:rsidRDefault="00C95EF9" w:rsidP="006636C3">
            <w:pPr>
              <w:tabs>
                <w:tab w:val="decimal" w:pos="884"/>
              </w:tabs>
              <w:ind w:left="34"/>
              <w:jc w:val="right"/>
              <w:rPr>
                <w:szCs w:val="24"/>
              </w:rPr>
            </w:pPr>
            <w:r>
              <w:rPr>
                <w:szCs w:val="24"/>
              </w:rPr>
              <w:t>(32,030)</w:t>
            </w:r>
          </w:p>
        </w:tc>
        <w:tc>
          <w:tcPr>
            <w:tcW w:w="1310" w:type="dxa"/>
            <w:vAlign w:val="center"/>
          </w:tcPr>
          <w:p w14:paraId="42361AF9" w14:textId="31BCBCF8" w:rsidR="006636C3" w:rsidRPr="00D948C1" w:rsidRDefault="001800E4" w:rsidP="006636C3">
            <w:pPr>
              <w:tabs>
                <w:tab w:val="decimal" w:pos="884"/>
              </w:tabs>
              <w:ind w:left="34"/>
              <w:jc w:val="right"/>
              <w:rPr>
                <w:szCs w:val="24"/>
              </w:rPr>
            </w:pPr>
            <w:r w:rsidRPr="00294859">
              <w:rPr>
                <w:szCs w:val="24"/>
              </w:rPr>
              <w:t>(31,040)</w:t>
            </w:r>
          </w:p>
        </w:tc>
      </w:tr>
    </w:tbl>
    <w:p w14:paraId="001D32CF" w14:textId="5BDA0B1D" w:rsidR="00D90216" w:rsidRPr="001800E4" w:rsidRDefault="00D90216" w:rsidP="00233BF0">
      <w:pPr>
        <w:ind w:left="706"/>
      </w:pPr>
      <w:r>
        <w:t xml:space="preserve">The change in the net </w:t>
      </w:r>
      <w:r w:rsidR="003278CF">
        <w:t>pension</w:t>
      </w:r>
      <w:r>
        <w:t xml:space="preserve"> liability is analysed into seven components:</w:t>
      </w:r>
    </w:p>
    <w:p w14:paraId="7B32DB07" w14:textId="77777777" w:rsidR="00D90216" w:rsidRPr="001800E4" w:rsidRDefault="00D90216" w:rsidP="00233BF0">
      <w:pPr>
        <w:ind w:left="706"/>
        <w:rPr>
          <w:b/>
        </w:rPr>
      </w:pPr>
    </w:p>
    <w:p w14:paraId="6909A5B6" w14:textId="2854286F" w:rsidR="00D90216" w:rsidRPr="001800E4" w:rsidRDefault="00D90216" w:rsidP="00233BF0">
      <w:pPr>
        <w:ind w:left="706"/>
      </w:pPr>
      <w:r w:rsidRPr="4F54A1C4">
        <w:rPr>
          <w:b/>
        </w:rPr>
        <w:t>Current service cost</w:t>
      </w:r>
      <w:r>
        <w:t xml:space="preserve"> – the increase in liabilities </w:t>
      </w:r>
      <w:r w:rsidR="00010C11">
        <w:t>because of</w:t>
      </w:r>
      <w:r>
        <w:t xml:space="preserve"> years of service earned this year – allocated in the Comprehensive Income and Expenditure Statement to the services for which the employees worked. </w:t>
      </w:r>
    </w:p>
    <w:p w14:paraId="32271D3F" w14:textId="77777777" w:rsidR="00D90216" w:rsidRPr="001800E4" w:rsidRDefault="00D90216" w:rsidP="00233BF0">
      <w:pPr>
        <w:ind w:left="706"/>
        <w:rPr>
          <w:b/>
        </w:rPr>
      </w:pPr>
    </w:p>
    <w:p w14:paraId="2199C378" w14:textId="72442430" w:rsidR="00D90216" w:rsidRPr="001800E4" w:rsidRDefault="00D90216" w:rsidP="00233BF0">
      <w:pPr>
        <w:ind w:left="706"/>
      </w:pPr>
      <w:r w:rsidRPr="4F54A1C4">
        <w:rPr>
          <w:b/>
        </w:rPr>
        <w:t>Past service cost</w:t>
      </w:r>
      <w:r w:rsidR="00A57302">
        <w:rPr>
          <w:b/>
        </w:rPr>
        <w:t xml:space="preserve"> or </w:t>
      </w:r>
      <w:r w:rsidR="00075D09" w:rsidRPr="4F54A1C4">
        <w:rPr>
          <w:b/>
        </w:rPr>
        <w:t>(gain)</w:t>
      </w:r>
      <w:r>
        <w:t xml:space="preserve"> – the increase</w:t>
      </w:r>
      <w:r w:rsidR="00A57302">
        <w:t xml:space="preserve"> or (</w:t>
      </w:r>
      <w:r w:rsidR="00075D09">
        <w:t>decrease)</w:t>
      </w:r>
      <w:r>
        <w:t xml:space="preserve"> in liabilities arising from current year decisions whose effect relates to years of service earned in earlier years – debited</w:t>
      </w:r>
      <w:r w:rsidR="00A57302">
        <w:t xml:space="preserve"> or </w:t>
      </w:r>
      <w:r w:rsidR="00075D09">
        <w:lastRenderedPageBreak/>
        <w:t>(credited)</w:t>
      </w:r>
      <w:r>
        <w:t xml:space="preserve"> to the deficit on the provision of services in the Comprehensive Income and Expenditure Statement</w:t>
      </w:r>
      <w:r w:rsidR="006454EE">
        <w:t>.</w:t>
      </w:r>
    </w:p>
    <w:p w14:paraId="22EC944F" w14:textId="77777777" w:rsidR="00D90216" w:rsidRPr="001800E4" w:rsidRDefault="00D90216" w:rsidP="00233BF0">
      <w:pPr>
        <w:ind w:left="706"/>
      </w:pPr>
    </w:p>
    <w:p w14:paraId="690259A3" w14:textId="77777777" w:rsidR="00D90216" w:rsidRPr="001800E4" w:rsidRDefault="00D90216" w:rsidP="00233BF0">
      <w:pPr>
        <w:ind w:left="706"/>
      </w:pPr>
      <w:r w:rsidRPr="4F54A1C4">
        <w:rPr>
          <w:b/>
        </w:rPr>
        <w:t xml:space="preserve">Interest </w:t>
      </w:r>
      <w:r w:rsidR="0078056C" w:rsidRPr="4F54A1C4">
        <w:rPr>
          <w:b/>
        </w:rPr>
        <w:t>on liabilities</w:t>
      </w:r>
      <w:r>
        <w:t xml:space="preserve"> – the expected increase in the present value of liabilities during the year as they move one year closer to being paid.</w:t>
      </w:r>
    </w:p>
    <w:p w14:paraId="1A35B23C" w14:textId="77777777" w:rsidR="00D90216" w:rsidRPr="001800E4" w:rsidRDefault="00D90216" w:rsidP="00233BF0">
      <w:pPr>
        <w:ind w:left="706"/>
      </w:pPr>
    </w:p>
    <w:p w14:paraId="1903707B" w14:textId="77777777" w:rsidR="00D90216" w:rsidRPr="001800E4" w:rsidRDefault="0078056C" w:rsidP="00233BF0">
      <w:pPr>
        <w:ind w:left="706"/>
      </w:pPr>
      <w:r w:rsidRPr="4F54A1C4">
        <w:rPr>
          <w:b/>
        </w:rPr>
        <w:t>Interest</w:t>
      </w:r>
      <w:r w:rsidR="00D90216" w:rsidRPr="4F54A1C4">
        <w:rPr>
          <w:b/>
        </w:rPr>
        <w:t xml:space="preserve"> on </w:t>
      </w:r>
      <w:r w:rsidRPr="4F54A1C4">
        <w:rPr>
          <w:b/>
        </w:rPr>
        <w:t>a</w:t>
      </w:r>
      <w:r w:rsidR="00D90216" w:rsidRPr="4F54A1C4">
        <w:rPr>
          <w:b/>
        </w:rPr>
        <w:t>ssets</w:t>
      </w:r>
      <w:r w:rsidR="00D90216">
        <w:t xml:space="preserve"> – the average rate of return expected on the investment assets held by the pension scheme.</w:t>
      </w:r>
    </w:p>
    <w:p w14:paraId="33FED981" w14:textId="77777777" w:rsidR="00D90216" w:rsidRPr="001800E4" w:rsidRDefault="00D90216" w:rsidP="00233BF0">
      <w:pPr>
        <w:ind w:left="706"/>
      </w:pPr>
    </w:p>
    <w:p w14:paraId="52EAF3E4" w14:textId="5DDF19A8" w:rsidR="00D90216" w:rsidRPr="001800E4" w:rsidRDefault="00D90216" w:rsidP="00233BF0">
      <w:pPr>
        <w:ind w:left="706"/>
      </w:pPr>
      <w:r w:rsidRPr="4F54A1C4">
        <w:rPr>
          <w:b/>
        </w:rPr>
        <w:t xml:space="preserve">Actuarial (gains) and losses </w:t>
      </w:r>
      <w:r>
        <w:t xml:space="preserve">– changes in the net pension liability that arise because events have not coincided with assumptions made at the last actuarial valuation or because the actuaries have updated their assumptions – </w:t>
      </w:r>
      <w:r w:rsidR="00DF3E5F">
        <w:t>(credited)</w:t>
      </w:r>
      <w:r w:rsidR="00BC0904">
        <w:t xml:space="preserve"> or </w:t>
      </w:r>
      <w:r>
        <w:t>debited to the pensions reserve.</w:t>
      </w:r>
    </w:p>
    <w:p w14:paraId="1A9B5D5A" w14:textId="77777777" w:rsidR="00D90216" w:rsidRPr="001800E4" w:rsidRDefault="00D90216" w:rsidP="00233BF0">
      <w:pPr>
        <w:ind w:left="706"/>
      </w:pPr>
    </w:p>
    <w:p w14:paraId="55591245" w14:textId="77777777" w:rsidR="00D90216" w:rsidRPr="001800E4" w:rsidRDefault="00D90216" w:rsidP="00233BF0">
      <w:pPr>
        <w:ind w:left="706"/>
      </w:pPr>
      <w:r w:rsidRPr="4F54A1C4">
        <w:rPr>
          <w:b/>
        </w:rPr>
        <w:t>Employers’ contributions</w:t>
      </w:r>
      <w:r>
        <w:t xml:space="preserve"> – the payments made into the pension scheme by the Authority during the year in respect of current employees. </w:t>
      </w:r>
    </w:p>
    <w:p w14:paraId="551ED355" w14:textId="77777777" w:rsidR="00D90216" w:rsidRPr="001800E4" w:rsidRDefault="00D90216" w:rsidP="00233BF0">
      <w:pPr>
        <w:ind w:left="706"/>
        <w:rPr>
          <w:b/>
          <w:szCs w:val="24"/>
          <w:highlight w:val="green"/>
        </w:rPr>
      </w:pPr>
    </w:p>
    <w:p w14:paraId="1A9E3DCC" w14:textId="3F547958" w:rsidR="00D90216" w:rsidRPr="00680902" w:rsidRDefault="00D90216" w:rsidP="000E23AE">
      <w:pPr>
        <w:spacing w:line="259" w:lineRule="auto"/>
        <w:ind w:left="706"/>
        <w:rPr>
          <w:b/>
          <w:bCs/>
          <w:highlight w:val="red"/>
        </w:rPr>
      </w:pPr>
      <w:r w:rsidRPr="00154A8F">
        <w:rPr>
          <w:b/>
          <w:bCs/>
        </w:rPr>
        <w:t xml:space="preserve">Retirement benefits payable to pensioners – </w:t>
      </w:r>
      <w:r w:rsidRPr="00154A8F">
        <w:t xml:space="preserve">the net payments made in respect of the Firefighter pension scheme. Note, the fund also received a top up grant of </w:t>
      </w:r>
      <w:r w:rsidR="0004720E" w:rsidRPr="00154A8F">
        <w:t>£</w:t>
      </w:r>
      <w:r w:rsidR="008564FB" w:rsidRPr="00154A8F">
        <w:t>22</w:t>
      </w:r>
      <w:r w:rsidR="261F2EC8" w:rsidRPr="00154A8F">
        <w:t>.</w:t>
      </w:r>
      <w:r w:rsidR="008564FB" w:rsidRPr="00154A8F">
        <w:t>669</w:t>
      </w:r>
      <w:r w:rsidR="00C0111A">
        <w:t xml:space="preserve"> </w:t>
      </w:r>
      <w:r w:rsidR="00C0111A" w:rsidRPr="00154A8F">
        <w:t>m</w:t>
      </w:r>
      <w:r w:rsidR="00C0111A">
        <w:t>illion</w:t>
      </w:r>
      <w:r w:rsidR="006605BB" w:rsidRPr="00154A8F">
        <w:t xml:space="preserve"> </w:t>
      </w:r>
      <w:r w:rsidRPr="00154A8F">
        <w:t>(</w:t>
      </w:r>
      <w:r w:rsidR="001A42DD">
        <w:t>2024-25</w:t>
      </w:r>
      <w:r w:rsidRPr="00154A8F">
        <w:t>: £</w:t>
      </w:r>
      <w:r w:rsidR="51328C97" w:rsidRPr="00154A8F">
        <w:t>1</w:t>
      </w:r>
      <w:r w:rsidR="001800E4" w:rsidRPr="00154A8F">
        <w:t>8</w:t>
      </w:r>
      <w:r w:rsidR="51328C97" w:rsidRPr="00154A8F">
        <w:t>.</w:t>
      </w:r>
      <w:r w:rsidR="001800E4" w:rsidRPr="00154A8F">
        <w:t>594</w:t>
      </w:r>
      <w:r w:rsidR="00C0111A">
        <w:t xml:space="preserve"> </w:t>
      </w:r>
      <w:r w:rsidR="51328C97" w:rsidRPr="00154A8F">
        <w:t>m</w:t>
      </w:r>
      <w:r w:rsidR="00C0111A">
        <w:t>illion</w:t>
      </w:r>
      <w:r w:rsidRPr="00154A8F">
        <w:t xml:space="preserve">) in addition to these, which can be seen in the Firefighters Pension Fund Account </w:t>
      </w:r>
      <w:r w:rsidRPr="007617C8">
        <w:t xml:space="preserve">on </w:t>
      </w:r>
      <w:r w:rsidR="003D483B" w:rsidRPr="007617C8">
        <w:t xml:space="preserve">page </w:t>
      </w:r>
      <w:r w:rsidR="007617C8" w:rsidRPr="007617C8">
        <w:t>76</w:t>
      </w:r>
      <w:r w:rsidRPr="00154A8F">
        <w:t>.</w:t>
      </w:r>
    </w:p>
    <w:p w14:paraId="43B56D63" w14:textId="77777777" w:rsidR="00D90216" w:rsidRPr="00D948C1" w:rsidRDefault="00D90216" w:rsidP="00233BF0">
      <w:pPr>
        <w:ind w:left="706"/>
        <w:rPr>
          <w:szCs w:val="24"/>
        </w:rPr>
      </w:pPr>
    </w:p>
    <w:p w14:paraId="2232443C" w14:textId="5C4D1405" w:rsidR="00D90216" w:rsidRPr="00154A8F" w:rsidRDefault="00D90216" w:rsidP="00233BF0">
      <w:pPr>
        <w:ind w:left="709"/>
        <w:rPr>
          <w:szCs w:val="24"/>
        </w:rPr>
      </w:pPr>
      <w:r w:rsidRPr="00154A8F">
        <w:rPr>
          <w:szCs w:val="24"/>
        </w:rPr>
        <w:t xml:space="preserve">A full set of audited accounts for the Lancashire County Pension Fund, together with information relating to membership, actuarial and investment </w:t>
      </w:r>
      <w:r w:rsidR="00804E6C" w:rsidRPr="00154A8F">
        <w:rPr>
          <w:szCs w:val="24"/>
        </w:rPr>
        <w:t>policy,</w:t>
      </w:r>
      <w:r w:rsidRPr="00154A8F">
        <w:rPr>
          <w:szCs w:val="24"/>
        </w:rPr>
        <w:t xml:space="preserve"> and investment performance, are published in the ‘Lancashire County Pension Fund Annual Report’, available from the administering authority, Lancashire County Council, on request.</w:t>
      </w:r>
    </w:p>
    <w:p w14:paraId="7D708065" w14:textId="77777777" w:rsidR="00D90216" w:rsidRPr="00154A8F" w:rsidRDefault="00D90216" w:rsidP="00233BF0">
      <w:pPr>
        <w:rPr>
          <w:szCs w:val="24"/>
        </w:rPr>
      </w:pPr>
    </w:p>
    <w:p w14:paraId="5FFA9149" w14:textId="77777777" w:rsidR="00D90216" w:rsidRPr="00154A8F" w:rsidRDefault="00D90216" w:rsidP="00233BF0">
      <w:pPr>
        <w:ind w:left="709"/>
        <w:rPr>
          <w:b/>
          <w:szCs w:val="24"/>
        </w:rPr>
      </w:pPr>
      <w:r w:rsidRPr="00154A8F">
        <w:rPr>
          <w:b/>
          <w:szCs w:val="24"/>
        </w:rPr>
        <w:t>Assets and Liabilities in Relation to Post-employment Benefits</w:t>
      </w:r>
    </w:p>
    <w:p w14:paraId="2AA47B42" w14:textId="77777777" w:rsidR="00D90216" w:rsidRPr="00154A8F" w:rsidRDefault="00D90216" w:rsidP="00233BF0">
      <w:pPr>
        <w:ind w:left="709"/>
        <w:rPr>
          <w:szCs w:val="24"/>
        </w:rPr>
      </w:pPr>
    </w:p>
    <w:p w14:paraId="03194F5F" w14:textId="77777777" w:rsidR="00D90216" w:rsidRPr="00D948C1" w:rsidRDefault="00D90216" w:rsidP="00233BF0">
      <w:pPr>
        <w:ind w:left="709"/>
        <w:rPr>
          <w:szCs w:val="24"/>
        </w:rPr>
      </w:pPr>
      <w:r w:rsidRPr="00154A8F">
        <w:rPr>
          <w:szCs w:val="24"/>
        </w:rPr>
        <w:t>Reconciliation of present value of the scheme liabilities (defined benefit obligation):</w:t>
      </w:r>
    </w:p>
    <w:p w14:paraId="7D06B26B" w14:textId="77777777" w:rsidR="00D90216" w:rsidRPr="00D948C1" w:rsidRDefault="00D90216" w:rsidP="00D90216">
      <w:pPr>
        <w:ind w:left="709"/>
        <w:jc w:val="both"/>
        <w:rPr>
          <w:sz w:val="22"/>
        </w:rPr>
      </w:pPr>
    </w:p>
    <w:tbl>
      <w:tblPr>
        <w:tblW w:w="93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1412"/>
        <w:gridCol w:w="1272"/>
        <w:gridCol w:w="1447"/>
        <w:gridCol w:w="1305"/>
      </w:tblGrid>
      <w:tr w:rsidR="00B805A9" w:rsidRPr="00D948C1" w14:paraId="7697DE95" w14:textId="77777777" w:rsidTr="00611673">
        <w:trPr>
          <w:trHeight w:hRule="exact" w:val="850"/>
          <w:tblHeader/>
        </w:trPr>
        <w:tc>
          <w:tcPr>
            <w:tcW w:w="3953" w:type="dxa"/>
            <w:shd w:val="clear" w:color="auto" w:fill="BD2716"/>
          </w:tcPr>
          <w:p w14:paraId="04F7BAF2" w14:textId="77777777" w:rsidR="00B805A9" w:rsidRPr="00D948C1" w:rsidRDefault="00B805A9" w:rsidP="00CD62E6">
            <w:pPr>
              <w:jc w:val="both"/>
              <w:rPr>
                <w:color w:val="FFFFFF" w:themeColor="background1"/>
                <w:szCs w:val="24"/>
              </w:rPr>
            </w:pPr>
          </w:p>
        </w:tc>
        <w:tc>
          <w:tcPr>
            <w:tcW w:w="2684" w:type="dxa"/>
            <w:gridSpan w:val="2"/>
            <w:shd w:val="clear" w:color="auto" w:fill="BD2716"/>
            <w:vAlign w:val="center"/>
          </w:tcPr>
          <w:p w14:paraId="2ECB9B13" w14:textId="77777777" w:rsidR="00B805A9" w:rsidRPr="00D948C1" w:rsidRDefault="00B805A9" w:rsidP="00611673">
            <w:pPr>
              <w:jc w:val="center"/>
              <w:rPr>
                <w:color w:val="FFFFFF" w:themeColor="background1"/>
                <w:szCs w:val="24"/>
              </w:rPr>
            </w:pPr>
            <w:r w:rsidRPr="00D948C1">
              <w:rPr>
                <w:color w:val="FFFFFF" w:themeColor="background1"/>
                <w:szCs w:val="24"/>
              </w:rPr>
              <w:t>Funded Liabilities: Local Government Pension Scheme</w:t>
            </w:r>
          </w:p>
        </w:tc>
        <w:tc>
          <w:tcPr>
            <w:tcW w:w="2752" w:type="dxa"/>
            <w:gridSpan w:val="2"/>
            <w:shd w:val="clear" w:color="auto" w:fill="BD2716"/>
            <w:vAlign w:val="center"/>
          </w:tcPr>
          <w:p w14:paraId="5408F47A" w14:textId="77777777" w:rsidR="00B805A9" w:rsidRPr="00D948C1" w:rsidRDefault="00B805A9" w:rsidP="00611673">
            <w:pPr>
              <w:jc w:val="center"/>
              <w:rPr>
                <w:color w:val="FFFFFF" w:themeColor="background1"/>
                <w:szCs w:val="24"/>
              </w:rPr>
            </w:pPr>
            <w:r w:rsidRPr="00D948C1">
              <w:rPr>
                <w:color w:val="FFFFFF" w:themeColor="background1"/>
                <w:szCs w:val="24"/>
              </w:rPr>
              <w:t>Unfunded Liabilities: Uniformed Firefighters’ Pension Scheme</w:t>
            </w:r>
          </w:p>
        </w:tc>
      </w:tr>
      <w:tr w:rsidR="005E658A" w:rsidRPr="00D948C1" w14:paraId="6D60649A" w14:textId="77777777" w:rsidTr="00611673">
        <w:trPr>
          <w:trHeight w:hRule="exact" w:val="850"/>
          <w:tblHeader/>
        </w:trPr>
        <w:tc>
          <w:tcPr>
            <w:tcW w:w="3953" w:type="dxa"/>
            <w:shd w:val="clear" w:color="auto" w:fill="BD2716"/>
          </w:tcPr>
          <w:p w14:paraId="3B42FA68" w14:textId="77777777" w:rsidR="005E658A" w:rsidRPr="00D948C1" w:rsidRDefault="005E658A" w:rsidP="005E658A">
            <w:pPr>
              <w:jc w:val="both"/>
              <w:rPr>
                <w:color w:val="FFFFFF" w:themeColor="background1"/>
                <w:szCs w:val="24"/>
              </w:rPr>
            </w:pPr>
          </w:p>
        </w:tc>
        <w:tc>
          <w:tcPr>
            <w:tcW w:w="1412" w:type="dxa"/>
            <w:shd w:val="clear" w:color="auto" w:fill="BD2716"/>
            <w:vAlign w:val="center"/>
          </w:tcPr>
          <w:p w14:paraId="3A9D5B8D" w14:textId="63596ED5"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138D406D" w14:textId="3C2D704A" w:rsidR="005E658A" w:rsidRPr="00D948C1" w:rsidRDefault="005E658A" w:rsidP="005E658A">
            <w:pPr>
              <w:jc w:val="right"/>
              <w:rPr>
                <w:color w:val="FFFFFF" w:themeColor="background1"/>
                <w:szCs w:val="24"/>
              </w:rPr>
            </w:pPr>
            <w:r w:rsidRPr="00D948C1">
              <w:rPr>
                <w:color w:val="FFFFFF" w:themeColor="background1"/>
                <w:szCs w:val="24"/>
              </w:rPr>
              <w:t>£000</w:t>
            </w:r>
          </w:p>
        </w:tc>
        <w:tc>
          <w:tcPr>
            <w:tcW w:w="1272" w:type="dxa"/>
            <w:shd w:val="clear" w:color="auto" w:fill="BD2716"/>
            <w:vAlign w:val="center"/>
          </w:tcPr>
          <w:p w14:paraId="26EB456F" w14:textId="3BC46555"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2CED4481" w14:textId="2AD36946" w:rsidR="005E658A" w:rsidRPr="00D948C1" w:rsidRDefault="005E658A" w:rsidP="005E658A">
            <w:pPr>
              <w:jc w:val="right"/>
              <w:rPr>
                <w:color w:val="FFFFFF" w:themeColor="background1"/>
                <w:szCs w:val="24"/>
              </w:rPr>
            </w:pPr>
            <w:r w:rsidRPr="00D948C1">
              <w:rPr>
                <w:color w:val="FFFFFF" w:themeColor="background1"/>
                <w:szCs w:val="24"/>
              </w:rPr>
              <w:t>£000</w:t>
            </w:r>
          </w:p>
        </w:tc>
        <w:tc>
          <w:tcPr>
            <w:tcW w:w="1447" w:type="dxa"/>
            <w:shd w:val="clear" w:color="auto" w:fill="BD2716"/>
            <w:vAlign w:val="center"/>
          </w:tcPr>
          <w:p w14:paraId="26973209"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2569D777" w14:textId="11674955" w:rsidR="005E658A" w:rsidRPr="00D948C1" w:rsidRDefault="005E658A" w:rsidP="005E658A">
            <w:pPr>
              <w:jc w:val="right"/>
              <w:rPr>
                <w:color w:val="FFFFFF" w:themeColor="background1"/>
                <w:szCs w:val="24"/>
              </w:rPr>
            </w:pPr>
            <w:r w:rsidRPr="00D948C1">
              <w:rPr>
                <w:color w:val="FFFFFF" w:themeColor="background1"/>
                <w:szCs w:val="24"/>
              </w:rPr>
              <w:t>£000</w:t>
            </w:r>
          </w:p>
        </w:tc>
        <w:tc>
          <w:tcPr>
            <w:tcW w:w="1305" w:type="dxa"/>
            <w:shd w:val="clear" w:color="auto" w:fill="BD2716"/>
            <w:vAlign w:val="center"/>
          </w:tcPr>
          <w:p w14:paraId="1B0120BA"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687BB876" w14:textId="1551379F" w:rsidR="005E658A" w:rsidRPr="00D948C1" w:rsidRDefault="005E658A" w:rsidP="005E658A">
            <w:pPr>
              <w:jc w:val="right"/>
              <w:rPr>
                <w:color w:val="FFFFFF" w:themeColor="background1"/>
                <w:szCs w:val="24"/>
              </w:rPr>
            </w:pPr>
            <w:r w:rsidRPr="00D948C1">
              <w:rPr>
                <w:color w:val="FFFFFF" w:themeColor="background1"/>
                <w:szCs w:val="24"/>
              </w:rPr>
              <w:t>£000</w:t>
            </w:r>
          </w:p>
        </w:tc>
      </w:tr>
      <w:tr w:rsidR="000C4247" w:rsidRPr="00D948C1" w14:paraId="0D282737" w14:textId="77777777" w:rsidTr="00DD63D7">
        <w:trPr>
          <w:trHeight w:val="289"/>
        </w:trPr>
        <w:tc>
          <w:tcPr>
            <w:tcW w:w="3953" w:type="dxa"/>
          </w:tcPr>
          <w:p w14:paraId="61181DA7" w14:textId="5D8CE955" w:rsidR="000C4247" w:rsidRPr="00D948C1" w:rsidRDefault="000C4247" w:rsidP="000C4247">
            <w:pPr>
              <w:rPr>
                <w:szCs w:val="24"/>
              </w:rPr>
            </w:pPr>
            <w:r w:rsidRPr="00D948C1">
              <w:rPr>
                <w:b/>
                <w:bCs/>
                <w:szCs w:val="24"/>
              </w:rPr>
              <w:t xml:space="preserve">Opening balance </w:t>
            </w:r>
            <w:proofErr w:type="gramStart"/>
            <w:r w:rsidRPr="00D948C1">
              <w:rPr>
                <w:b/>
                <w:bCs/>
                <w:szCs w:val="24"/>
              </w:rPr>
              <w:t>at</w:t>
            </w:r>
            <w:proofErr w:type="gramEnd"/>
            <w:r w:rsidRPr="00D948C1">
              <w:rPr>
                <w:b/>
                <w:bCs/>
                <w:szCs w:val="24"/>
              </w:rPr>
              <w:t xml:space="preserve"> 1 April</w:t>
            </w:r>
          </w:p>
        </w:tc>
        <w:tc>
          <w:tcPr>
            <w:tcW w:w="1412" w:type="dxa"/>
            <w:vAlign w:val="center"/>
          </w:tcPr>
          <w:p w14:paraId="75368740" w14:textId="218937A4" w:rsidR="000C4247" w:rsidRPr="00680902" w:rsidRDefault="002A4463" w:rsidP="000C4247">
            <w:pPr>
              <w:tabs>
                <w:tab w:val="decimal" w:pos="888"/>
              </w:tabs>
              <w:jc w:val="right"/>
              <w:rPr>
                <w:b/>
                <w:bCs/>
                <w:szCs w:val="24"/>
              </w:rPr>
            </w:pPr>
            <w:r w:rsidRPr="00680902">
              <w:rPr>
                <w:b/>
                <w:bCs/>
                <w:szCs w:val="24"/>
              </w:rPr>
              <w:t>(53,417)</w:t>
            </w:r>
          </w:p>
        </w:tc>
        <w:tc>
          <w:tcPr>
            <w:tcW w:w="1272" w:type="dxa"/>
            <w:vAlign w:val="center"/>
          </w:tcPr>
          <w:p w14:paraId="47EF9E8E" w14:textId="5B93D997" w:rsidR="000C4247" w:rsidRPr="00670646" w:rsidRDefault="000C4247" w:rsidP="000C4247">
            <w:pPr>
              <w:tabs>
                <w:tab w:val="decimal" w:pos="888"/>
              </w:tabs>
              <w:jc w:val="right"/>
              <w:rPr>
                <w:szCs w:val="24"/>
              </w:rPr>
            </w:pPr>
            <w:r w:rsidRPr="00680902">
              <w:rPr>
                <w:b/>
                <w:bCs/>
                <w:szCs w:val="24"/>
              </w:rPr>
              <w:t>(60,315)</w:t>
            </w:r>
          </w:p>
        </w:tc>
        <w:tc>
          <w:tcPr>
            <w:tcW w:w="1447" w:type="dxa"/>
            <w:vAlign w:val="center"/>
          </w:tcPr>
          <w:p w14:paraId="4EA2949D" w14:textId="37ABA881" w:rsidR="000C4247" w:rsidRPr="00670646" w:rsidRDefault="002A4463" w:rsidP="000C4247">
            <w:pPr>
              <w:tabs>
                <w:tab w:val="decimal" w:pos="1026"/>
              </w:tabs>
              <w:jc w:val="right"/>
              <w:rPr>
                <w:b/>
                <w:bCs/>
                <w:szCs w:val="24"/>
              </w:rPr>
            </w:pPr>
            <w:r w:rsidRPr="00670646">
              <w:rPr>
                <w:b/>
                <w:bCs/>
                <w:szCs w:val="24"/>
              </w:rPr>
              <w:t>(588,346)</w:t>
            </w:r>
          </w:p>
        </w:tc>
        <w:tc>
          <w:tcPr>
            <w:tcW w:w="1305" w:type="dxa"/>
            <w:vAlign w:val="center"/>
          </w:tcPr>
          <w:p w14:paraId="4E2C1B82" w14:textId="0A8ACAC3" w:rsidR="000C4247" w:rsidRPr="00670646" w:rsidRDefault="000C4247" w:rsidP="000C4247">
            <w:pPr>
              <w:tabs>
                <w:tab w:val="decimal" w:pos="1026"/>
              </w:tabs>
              <w:jc w:val="right"/>
              <w:rPr>
                <w:szCs w:val="24"/>
              </w:rPr>
            </w:pPr>
            <w:r w:rsidRPr="00670646">
              <w:rPr>
                <w:b/>
                <w:bCs/>
                <w:szCs w:val="24"/>
              </w:rPr>
              <w:t>(651,826)</w:t>
            </w:r>
          </w:p>
        </w:tc>
      </w:tr>
      <w:tr w:rsidR="000C4247" w:rsidRPr="00D948C1" w14:paraId="50DF659C" w14:textId="77777777" w:rsidTr="00DD63D7">
        <w:trPr>
          <w:trHeight w:val="289"/>
        </w:trPr>
        <w:tc>
          <w:tcPr>
            <w:tcW w:w="3953" w:type="dxa"/>
          </w:tcPr>
          <w:p w14:paraId="0E4BBE62" w14:textId="358921E3" w:rsidR="000C4247" w:rsidRPr="00D948C1" w:rsidRDefault="000C4247" w:rsidP="000C4247">
            <w:pPr>
              <w:rPr>
                <w:b/>
                <w:bCs/>
                <w:szCs w:val="24"/>
              </w:rPr>
            </w:pPr>
            <w:r w:rsidRPr="00D948C1">
              <w:rPr>
                <w:szCs w:val="24"/>
              </w:rPr>
              <w:t>Current service cost</w:t>
            </w:r>
          </w:p>
        </w:tc>
        <w:tc>
          <w:tcPr>
            <w:tcW w:w="1412" w:type="dxa"/>
            <w:vAlign w:val="center"/>
          </w:tcPr>
          <w:p w14:paraId="0AD36CAD" w14:textId="23466593" w:rsidR="000C4247" w:rsidRPr="00680902" w:rsidRDefault="00B2082A" w:rsidP="000C4247">
            <w:pPr>
              <w:tabs>
                <w:tab w:val="decimal" w:pos="888"/>
              </w:tabs>
              <w:jc w:val="right"/>
              <w:rPr>
                <w:szCs w:val="24"/>
              </w:rPr>
            </w:pPr>
            <w:r>
              <w:rPr>
                <w:szCs w:val="24"/>
              </w:rPr>
              <w:t>(998)</w:t>
            </w:r>
          </w:p>
        </w:tc>
        <w:tc>
          <w:tcPr>
            <w:tcW w:w="1272" w:type="dxa"/>
            <w:vAlign w:val="center"/>
          </w:tcPr>
          <w:p w14:paraId="6BFCEFBA" w14:textId="287BB3D2" w:rsidR="000C4247" w:rsidRPr="00670646" w:rsidRDefault="000C4247" w:rsidP="000C4247">
            <w:pPr>
              <w:tabs>
                <w:tab w:val="decimal" w:pos="888"/>
              </w:tabs>
              <w:jc w:val="right"/>
              <w:rPr>
                <w:b/>
                <w:bCs/>
                <w:szCs w:val="24"/>
              </w:rPr>
            </w:pPr>
            <w:r w:rsidRPr="00680902">
              <w:rPr>
                <w:szCs w:val="24"/>
              </w:rPr>
              <w:t>(1,439)</w:t>
            </w:r>
          </w:p>
        </w:tc>
        <w:tc>
          <w:tcPr>
            <w:tcW w:w="1447" w:type="dxa"/>
            <w:vAlign w:val="center"/>
          </w:tcPr>
          <w:p w14:paraId="6185AC54" w14:textId="134A6E0B" w:rsidR="000C4247" w:rsidRPr="00670646" w:rsidRDefault="00BB74A2" w:rsidP="000C4247">
            <w:pPr>
              <w:tabs>
                <w:tab w:val="decimal" w:pos="1026"/>
              </w:tabs>
              <w:jc w:val="right"/>
              <w:rPr>
                <w:szCs w:val="24"/>
              </w:rPr>
            </w:pPr>
            <w:r>
              <w:rPr>
                <w:szCs w:val="24"/>
              </w:rPr>
              <w:t>(1,640)</w:t>
            </w:r>
          </w:p>
        </w:tc>
        <w:tc>
          <w:tcPr>
            <w:tcW w:w="1305" w:type="dxa"/>
            <w:vAlign w:val="center"/>
          </w:tcPr>
          <w:p w14:paraId="6030F2CC" w14:textId="2259FD28" w:rsidR="000C4247" w:rsidRPr="00670646" w:rsidRDefault="000C4247" w:rsidP="000C4247">
            <w:pPr>
              <w:tabs>
                <w:tab w:val="decimal" w:pos="1026"/>
              </w:tabs>
              <w:jc w:val="right"/>
              <w:rPr>
                <w:b/>
                <w:bCs/>
                <w:szCs w:val="24"/>
              </w:rPr>
            </w:pPr>
            <w:r w:rsidRPr="00670646">
              <w:rPr>
                <w:szCs w:val="24"/>
              </w:rPr>
              <w:t>(3,250)</w:t>
            </w:r>
          </w:p>
        </w:tc>
      </w:tr>
      <w:tr w:rsidR="000C4247" w:rsidRPr="00D948C1" w14:paraId="4EA7BD55" w14:textId="77777777" w:rsidTr="00E631A2">
        <w:tc>
          <w:tcPr>
            <w:tcW w:w="3953" w:type="dxa"/>
            <w:tcBorders>
              <w:bottom w:val="single" w:sz="4" w:space="0" w:color="auto"/>
            </w:tcBorders>
          </w:tcPr>
          <w:p w14:paraId="2549E1EC" w14:textId="3A4E4C4C" w:rsidR="000C4247" w:rsidRPr="00D948C1" w:rsidRDefault="000C4247" w:rsidP="000C4247">
            <w:pPr>
              <w:rPr>
                <w:szCs w:val="24"/>
              </w:rPr>
            </w:pPr>
            <w:r w:rsidRPr="00D948C1">
              <w:rPr>
                <w:szCs w:val="24"/>
              </w:rPr>
              <w:t>Interest on liabilities</w:t>
            </w:r>
          </w:p>
        </w:tc>
        <w:tc>
          <w:tcPr>
            <w:tcW w:w="1412" w:type="dxa"/>
            <w:tcBorders>
              <w:bottom w:val="single" w:sz="4" w:space="0" w:color="auto"/>
            </w:tcBorders>
            <w:vAlign w:val="center"/>
          </w:tcPr>
          <w:p w14:paraId="1E6CE2D1" w14:textId="3A29912A" w:rsidR="000C4247" w:rsidRPr="00670646" w:rsidRDefault="00BB74A2" w:rsidP="000C4247">
            <w:pPr>
              <w:tabs>
                <w:tab w:val="decimal" w:pos="888"/>
              </w:tabs>
              <w:jc w:val="right"/>
              <w:rPr>
                <w:szCs w:val="24"/>
              </w:rPr>
            </w:pPr>
            <w:r>
              <w:rPr>
                <w:szCs w:val="24"/>
              </w:rPr>
              <w:t>(3,033)</w:t>
            </w:r>
          </w:p>
        </w:tc>
        <w:tc>
          <w:tcPr>
            <w:tcW w:w="1272" w:type="dxa"/>
            <w:tcBorders>
              <w:bottom w:val="single" w:sz="4" w:space="0" w:color="auto"/>
            </w:tcBorders>
            <w:vAlign w:val="center"/>
          </w:tcPr>
          <w:p w14:paraId="52463BB9" w14:textId="628C2F35" w:rsidR="000C4247" w:rsidRPr="00670646" w:rsidRDefault="000C4247" w:rsidP="000C4247">
            <w:pPr>
              <w:tabs>
                <w:tab w:val="decimal" w:pos="888"/>
              </w:tabs>
              <w:jc w:val="right"/>
              <w:rPr>
                <w:szCs w:val="24"/>
              </w:rPr>
            </w:pPr>
            <w:r w:rsidRPr="00670646">
              <w:rPr>
                <w:szCs w:val="24"/>
              </w:rPr>
              <w:t>(2,912)</w:t>
            </w:r>
          </w:p>
        </w:tc>
        <w:tc>
          <w:tcPr>
            <w:tcW w:w="1447" w:type="dxa"/>
            <w:tcBorders>
              <w:bottom w:val="single" w:sz="4" w:space="0" w:color="auto"/>
            </w:tcBorders>
            <w:vAlign w:val="center"/>
          </w:tcPr>
          <w:p w14:paraId="6B6E1334" w14:textId="4900BFFA" w:rsidR="000C4247" w:rsidRPr="00670646" w:rsidRDefault="00BB74A2" w:rsidP="000C4247">
            <w:pPr>
              <w:tabs>
                <w:tab w:val="decimal" w:pos="1026"/>
              </w:tabs>
              <w:jc w:val="right"/>
              <w:rPr>
                <w:szCs w:val="24"/>
              </w:rPr>
            </w:pPr>
            <w:r>
              <w:rPr>
                <w:szCs w:val="24"/>
              </w:rPr>
              <w:t>(32,400)</w:t>
            </w:r>
          </w:p>
        </w:tc>
        <w:tc>
          <w:tcPr>
            <w:tcW w:w="1305" w:type="dxa"/>
            <w:tcBorders>
              <w:bottom w:val="single" w:sz="4" w:space="0" w:color="auto"/>
            </w:tcBorders>
            <w:vAlign w:val="center"/>
          </w:tcPr>
          <w:p w14:paraId="78E39A6A" w14:textId="1B82453E" w:rsidR="000C4247" w:rsidRPr="00670646" w:rsidRDefault="000C4247" w:rsidP="000C4247">
            <w:pPr>
              <w:tabs>
                <w:tab w:val="decimal" w:pos="1026"/>
              </w:tabs>
              <w:jc w:val="right"/>
              <w:rPr>
                <w:szCs w:val="24"/>
              </w:rPr>
            </w:pPr>
            <w:r w:rsidRPr="00670646">
              <w:rPr>
                <w:szCs w:val="24"/>
              </w:rPr>
              <w:t>(30,</w:t>
            </w:r>
            <w:r>
              <w:rPr>
                <w:szCs w:val="24"/>
              </w:rPr>
              <w:t>3</w:t>
            </w:r>
            <w:r w:rsidRPr="00670646">
              <w:rPr>
                <w:szCs w:val="24"/>
              </w:rPr>
              <w:t>00)</w:t>
            </w:r>
          </w:p>
        </w:tc>
      </w:tr>
      <w:tr w:rsidR="000C4247" w:rsidRPr="00D948C1" w14:paraId="08B4C0BD" w14:textId="77777777" w:rsidTr="00E631A2">
        <w:tc>
          <w:tcPr>
            <w:tcW w:w="3953" w:type="dxa"/>
            <w:tcBorders>
              <w:top w:val="single" w:sz="4" w:space="0" w:color="auto"/>
              <w:left w:val="single" w:sz="4" w:space="0" w:color="auto"/>
              <w:bottom w:val="single" w:sz="4" w:space="0" w:color="auto"/>
              <w:right w:val="single" w:sz="4" w:space="0" w:color="auto"/>
            </w:tcBorders>
          </w:tcPr>
          <w:p w14:paraId="14174437" w14:textId="48CE0A87" w:rsidR="000C4247" w:rsidRPr="00D948C1" w:rsidRDefault="000C4247" w:rsidP="000C4247">
            <w:pPr>
              <w:rPr>
                <w:szCs w:val="24"/>
              </w:rPr>
            </w:pPr>
            <w:r w:rsidRPr="00D948C1">
              <w:rPr>
                <w:szCs w:val="24"/>
              </w:rPr>
              <w:t xml:space="preserve">Contributions by scheme participants </w:t>
            </w:r>
          </w:p>
        </w:tc>
        <w:tc>
          <w:tcPr>
            <w:tcW w:w="1412" w:type="dxa"/>
            <w:tcBorders>
              <w:top w:val="single" w:sz="4" w:space="0" w:color="auto"/>
              <w:left w:val="single" w:sz="4" w:space="0" w:color="auto"/>
              <w:bottom w:val="single" w:sz="4" w:space="0" w:color="auto"/>
              <w:right w:val="single" w:sz="4" w:space="0" w:color="auto"/>
            </w:tcBorders>
            <w:vAlign w:val="center"/>
          </w:tcPr>
          <w:p w14:paraId="5BA0BFC1" w14:textId="643785E4" w:rsidR="000C4247" w:rsidRPr="00670646" w:rsidRDefault="00BB74A2" w:rsidP="000C4247">
            <w:pPr>
              <w:tabs>
                <w:tab w:val="decimal" w:pos="888"/>
              </w:tabs>
              <w:jc w:val="right"/>
              <w:rPr>
                <w:szCs w:val="24"/>
              </w:rPr>
            </w:pPr>
            <w:r>
              <w:rPr>
                <w:szCs w:val="24"/>
              </w:rPr>
              <w:t>(611)</w:t>
            </w:r>
          </w:p>
        </w:tc>
        <w:tc>
          <w:tcPr>
            <w:tcW w:w="1272" w:type="dxa"/>
            <w:tcBorders>
              <w:top w:val="single" w:sz="4" w:space="0" w:color="auto"/>
              <w:left w:val="single" w:sz="4" w:space="0" w:color="auto"/>
              <w:bottom w:val="single" w:sz="4" w:space="0" w:color="auto"/>
              <w:right w:val="single" w:sz="4" w:space="0" w:color="auto"/>
            </w:tcBorders>
            <w:vAlign w:val="center"/>
          </w:tcPr>
          <w:p w14:paraId="40E93DC8" w14:textId="7AE27789" w:rsidR="000C4247" w:rsidRPr="00670646" w:rsidRDefault="000C4247" w:rsidP="000C4247">
            <w:pPr>
              <w:tabs>
                <w:tab w:val="decimal" w:pos="888"/>
              </w:tabs>
              <w:jc w:val="right"/>
              <w:rPr>
                <w:szCs w:val="24"/>
              </w:rPr>
            </w:pPr>
            <w:r w:rsidRPr="00670646">
              <w:rPr>
                <w:szCs w:val="24"/>
              </w:rPr>
              <w:t>(588)</w:t>
            </w:r>
          </w:p>
        </w:tc>
        <w:tc>
          <w:tcPr>
            <w:tcW w:w="1447" w:type="dxa"/>
            <w:tcBorders>
              <w:top w:val="single" w:sz="4" w:space="0" w:color="auto"/>
              <w:left w:val="single" w:sz="4" w:space="0" w:color="auto"/>
              <w:bottom w:val="single" w:sz="4" w:space="0" w:color="auto"/>
              <w:right w:val="single" w:sz="4" w:space="0" w:color="auto"/>
            </w:tcBorders>
            <w:vAlign w:val="center"/>
          </w:tcPr>
          <w:p w14:paraId="4EF4065C" w14:textId="62B4448C" w:rsidR="000C4247" w:rsidRPr="00670646" w:rsidRDefault="00BB74A2" w:rsidP="000C4247">
            <w:pPr>
              <w:tabs>
                <w:tab w:val="decimal" w:pos="1026"/>
              </w:tabs>
              <w:jc w:val="right"/>
              <w:rPr>
                <w:szCs w:val="24"/>
              </w:rPr>
            </w:pPr>
            <w:r>
              <w:rPr>
                <w:szCs w:val="24"/>
              </w:rPr>
              <w:t>(4,000)</w:t>
            </w:r>
          </w:p>
        </w:tc>
        <w:tc>
          <w:tcPr>
            <w:tcW w:w="1305" w:type="dxa"/>
            <w:tcBorders>
              <w:top w:val="single" w:sz="4" w:space="0" w:color="auto"/>
              <w:left w:val="single" w:sz="4" w:space="0" w:color="auto"/>
              <w:bottom w:val="single" w:sz="4" w:space="0" w:color="auto"/>
              <w:right w:val="single" w:sz="4" w:space="0" w:color="auto"/>
            </w:tcBorders>
            <w:vAlign w:val="center"/>
          </w:tcPr>
          <w:p w14:paraId="02A4D60F" w14:textId="4104C872" w:rsidR="000C4247" w:rsidRPr="00670646" w:rsidRDefault="000C4247" w:rsidP="000C4247">
            <w:pPr>
              <w:tabs>
                <w:tab w:val="decimal" w:pos="1026"/>
              </w:tabs>
              <w:jc w:val="right"/>
              <w:rPr>
                <w:szCs w:val="24"/>
              </w:rPr>
            </w:pPr>
            <w:r w:rsidRPr="00670646">
              <w:rPr>
                <w:szCs w:val="24"/>
              </w:rPr>
              <w:t>(3,970)</w:t>
            </w:r>
          </w:p>
        </w:tc>
      </w:tr>
    </w:tbl>
    <w:p w14:paraId="0FCA580A" w14:textId="77777777" w:rsidR="001E71F1" w:rsidRPr="00D948C1" w:rsidRDefault="001E71F1"/>
    <w:tbl>
      <w:tblPr>
        <w:tblW w:w="93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3"/>
        <w:gridCol w:w="1412"/>
        <w:gridCol w:w="1272"/>
        <w:gridCol w:w="1447"/>
        <w:gridCol w:w="1305"/>
      </w:tblGrid>
      <w:tr w:rsidR="00DD63D7" w:rsidRPr="00D948C1" w14:paraId="0E58499D" w14:textId="77777777" w:rsidTr="00982FEC">
        <w:tc>
          <w:tcPr>
            <w:tcW w:w="9389" w:type="dxa"/>
            <w:gridSpan w:val="5"/>
            <w:shd w:val="clear" w:color="auto" w:fill="D9D9D9" w:themeFill="background1" w:themeFillShade="D9"/>
          </w:tcPr>
          <w:p w14:paraId="757115A5" w14:textId="5E0168E5" w:rsidR="00DD63D7" w:rsidRPr="00D948C1" w:rsidRDefault="00DD63D7" w:rsidP="00DD63D7">
            <w:pPr>
              <w:tabs>
                <w:tab w:val="decimal" w:pos="1026"/>
              </w:tabs>
              <w:rPr>
                <w:b/>
                <w:bCs/>
                <w:szCs w:val="24"/>
              </w:rPr>
            </w:pPr>
            <w:r w:rsidRPr="00D948C1">
              <w:rPr>
                <w:b/>
                <w:bCs/>
                <w:szCs w:val="24"/>
              </w:rPr>
              <w:t>Remeasurements (liabilities):</w:t>
            </w:r>
          </w:p>
        </w:tc>
      </w:tr>
      <w:tr w:rsidR="002A4463" w:rsidRPr="00D948C1" w14:paraId="20412B26" w14:textId="77777777" w:rsidTr="00DD63D7">
        <w:tc>
          <w:tcPr>
            <w:tcW w:w="3953" w:type="dxa"/>
          </w:tcPr>
          <w:p w14:paraId="700DB496" w14:textId="14FDD9B4" w:rsidR="002A4463" w:rsidRPr="00D948C1" w:rsidRDefault="002A4463" w:rsidP="002A4463">
            <w:pPr>
              <w:rPr>
                <w:szCs w:val="24"/>
              </w:rPr>
            </w:pPr>
            <w:r w:rsidRPr="00D948C1">
              <w:rPr>
                <w:szCs w:val="24"/>
              </w:rPr>
              <w:t>Experience (gain)</w:t>
            </w:r>
            <w:r w:rsidR="00BC0904">
              <w:rPr>
                <w:szCs w:val="24"/>
              </w:rPr>
              <w:t xml:space="preserve"> or </w:t>
            </w:r>
            <w:r w:rsidRPr="00D948C1">
              <w:rPr>
                <w:szCs w:val="24"/>
              </w:rPr>
              <w:t>loss</w:t>
            </w:r>
          </w:p>
        </w:tc>
        <w:tc>
          <w:tcPr>
            <w:tcW w:w="1412" w:type="dxa"/>
            <w:vAlign w:val="center"/>
          </w:tcPr>
          <w:p w14:paraId="58D5C06C" w14:textId="4B4F8FD8" w:rsidR="002A4463" w:rsidRPr="00670646" w:rsidRDefault="0040787E" w:rsidP="002A4463">
            <w:pPr>
              <w:tabs>
                <w:tab w:val="decimal" w:pos="888"/>
              </w:tabs>
              <w:jc w:val="right"/>
              <w:rPr>
                <w:szCs w:val="24"/>
              </w:rPr>
            </w:pPr>
            <w:r>
              <w:rPr>
                <w:szCs w:val="24"/>
              </w:rPr>
              <w:t>(2,637)</w:t>
            </w:r>
          </w:p>
        </w:tc>
        <w:tc>
          <w:tcPr>
            <w:tcW w:w="1272" w:type="dxa"/>
            <w:vAlign w:val="center"/>
          </w:tcPr>
          <w:p w14:paraId="1B43D8A9" w14:textId="568DC4FA" w:rsidR="002A4463" w:rsidRPr="00670646" w:rsidRDefault="002A4463" w:rsidP="002A4463">
            <w:pPr>
              <w:tabs>
                <w:tab w:val="decimal" w:pos="888"/>
              </w:tabs>
              <w:jc w:val="right"/>
              <w:rPr>
                <w:szCs w:val="24"/>
              </w:rPr>
            </w:pPr>
            <w:r w:rsidRPr="00670646">
              <w:rPr>
                <w:szCs w:val="24"/>
              </w:rPr>
              <w:t>92</w:t>
            </w:r>
          </w:p>
        </w:tc>
        <w:tc>
          <w:tcPr>
            <w:tcW w:w="1447" w:type="dxa"/>
            <w:vAlign w:val="center"/>
          </w:tcPr>
          <w:p w14:paraId="14DB94AD" w14:textId="707C9A7D" w:rsidR="002A4463" w:rsidRPr="00670646" w:rsidRDefault="0040787E" w:rsidP="002A4463">
            <w:pPr>
              <w:tabs>
                <w:tab w:val="decimal" w:pos="1026"/>
              </w:tabs>
              <w:jc w:val="right"/>
              <w:rPr>
                <w:szCs w:val="24"/>
              </w:rPr>
            </w:pPr>
            <w:r>
              <w:rPr>
                <w:szCs w:val="24"/>
              </w:rPr>
              <w:t>(4,480)</w:t>
            </w:r>
          </w:p>
        </w:tc>
        <w:tc>
          <w:tcPr>
            <w:tcW w:w="1305" w:type="dxa"/>
            <w:vAlign w:val="center"/>
          </w:tcPr>
          <w:p w14:paraId="46E37D0D" w14:textId="7BDF34E8" w:rsidR="002A4463" w:rsidRPr="00670646" w:rsidRDefault="002A4463" w:rsidP="002A4463">
            <w:pPr>
              <w:tabs>
                <w:tab w:val="decimal" w:pos="1026"/>
              </w:tabs>
              <w:jc w:val="right"/>
              <w:rPr>
                <w:szCs w:val="24"/>
              </w:rPr>
            </w:pPr>
            <w:r w:rsidRPr="00670646">
              <w:rPr>
                <w:szCs w:val="24"/>
              </w:rPr>
              <w:t>1,030</w:t>
            </w:r>
          </w:p>
        </w:tc>
      </w:tr>
      <w:tr w:rsidR="002A4463" w:rsidRPr="00D948C1" w14:paraId="13DA8E3F" w14:textId="77777777" w:rsidTr="00DD63D7">
        <w:tc>
          <w:tcPr>
            <w:tcW w:w="3953" w:type="dxa"/>
          </w:tcPr>
          <w:p w14:paraId="7F2118F5" w14:textId="0EB52A50" w:rsidR="002A4463" w:rsidRPr="00D948C1" w:rsidRDefault="002A4463" w:rsidP="002A4463">
            <w:pPr>
              <w:rPr>
                <w:szCs w:val="24"/>
              </w:rPr>
            </w:pPr>
            <w:r w:rsidRPr="00D948C1">
              <w:rPr>
                <w:szCs w:val="24"/>
              </w:rPr>
              <w:t>Gain</w:t>
            </w:r>
            <w:r w:rsidR="00BC0904">
              <w:rPr>
                <w:szCs w:val="24"/>
              </w:rPr>
              <w:t xml:space="preserve"> or </w:t>
            </w:r>
            <w:r w:rsidRPr="00D948C1">
              <w:rPr>
                <w:szCs w:val="24"/>
              </w:rPr>
              <w:t>(</w:t>
            </w:r>
            <w:r w:rsidR="00BC0904">
              <w:rPr>
                <w:szCs w:val="24"/>
              </w:rPr>
              <w:t>l</w:t>
            </w:r>
            <w:r w:rsidRPr="00D948C1">
              <w:rPr>
                <w:szCs w:val="24"/>
              </w:rPr>
              <w:t>oss) on financial assumptions</w:t>
            </w:r>
          </w:p>
        </w:tc>
        <w:tc>
          <w:tcPr>
            <w:tcW w:w="1412" w:type="dxa"/>
            <w:vAlign w:val="center"/>
          </w:tcPr>
          <w:p w14:paraId="33C76C23" w14:textId="58CE178C" w:rsidR="002A4463" w:rsidRPr="00670646" w:rsidRDefault="0040787E" w:rsidP="002A4463">
            <w:pPr>
              <w:tabs>
                <w:tab w:val="decimal" w:pos="888"/>
              </w:tabs>
              <w:jc w:val="right"/>
              <w:rPr>
                <w:szCs w:val="24"/>
              </w:rPr>
            </w:pPr>
            <w:r>
              <w:rPr>
                <w:szCs w:val="24"/>
              </w:rPr>
              <w:t>834</w:t>
            </w:r>
          </w:p>
        </w:tc>
        <w:tc>
          <w:tcPr>
            <w:tcW w:w="1272" w:type="dxa"/>
            <w:vAlign w:val="center"/>
          </w:tcPr>
          <w:p w14:paraId="048C3B62" w14:textId="6AF0464F" w:rsidR="002A4463" w:rsidRPr="00670646" w:rsidRDefault="002A4463" w:rsidP="002A4463">
            <w:pPr>
              <w:tabs>
                <w:tab w:val="decimal" w:pos="888"/>
              </w:tabs>
              <w:jc w:val="right"/>
              <w:rPr>
                <w:szCs w:val="24"/>
              </w:rPr>
            </w:pPr>
            <w:r w:rsidRPr="00670646">
              <w:rPr>
                <w:szCs w:val="24"/>
              </w:rPr>
              <w:t>9,186</w:t>
            </w:r>
          </w:p>
        </w:tc>
        <w:tc>
          <w:tcPr>
            <w:tcW w:w="1447" w:type="dxa"/>
            <w:vAlign w:val="center"/>
          </w:tcPr>
          <w:p w14:paraId="12CEC8B7" w14:textId="48CFCE40" w:rsidR="002A4463" w:rsidRPr="00670646" w:rsidRDefault="00D26F3D" w:rsidP="002A4463">
            <w:pPr>
              <w:tabs>
                <w:tab w:val="decimal" w:pos="1026"/>
              </w:tabs>
              <w:jc w:val="right"/>
              <w:rPr>
                <w:szCs w:val="24"/>
              </w:rPr>
            </w:pPr>
            <w:r>
              <w:rPr>
                <w:szCs w:val="24"/>
              </w:rPr>
              <w:t>18,330</w:t>
            </w:r>
          </w:p>
        </w:tc>
        <w:tc>
          <w:tcPr>
            <w:tcW w:w="1305" w:type="dxa"/>
            <w:vAlign w:val="center"/>
          </w:tcPr>
          <w:p w14:paraId="21F6CB1B" w14:textId="5AB7D080" w:rsidR="002A4463" w:rsidRPr="00670646" w:rsidRDefault="002A4463" w:rsidP="002A4463">
            <w:pPr>
              <w:tabs>
                <w:tab w:val="decimal" w:pos="1026"/>
              </w:tabs>
              <w:jc w:val="right"/>
              <w:rPr>
                <w:szCs w:val="24"/>
              </w:rPr>
            </w:pPr>
            <w:r w:rsidRPr="00670646">
              <w:rPr>
                <w:szCs w:val="24"/>
              </w:rPr>
              <w:t>63,630</w:t>
            </w:r>
          </w:p>
        </w:tc>
      </w:tr>
      <w:tr w:rsidR="002A4463" w:rsidRPr="00D948C1" w14:paraId="48ADFB46" w14:textId="77777777" w:rsidTr="00DD63D7">
        <w:tc>
          <w:tcPr>
            <w:tcW w:w="3953" w:type="dxa"/>
          </w:tcPr>
          <w:p w14:paraId="428FCCA5" w14:textId="6166DA49" w:rsidR="002A4463" w:rsidRPr="00D948C1" w:rsidRDefault="002A4463" w:rsidP="002A4463">
            <w:pPr>
              <w:rPr>
                <w:szCs w:val="24"/>
              </w:rPr>
            </w:pPr>
            <w:r w:rsidRPr="00D948C1">
              <w:rPr>
                <w:szCs w:val="24"/>
              </w:rPr>
              <w:t>Gain</w:t>
            </w:r>
            <w:r w:rsidR="00BC0904">
              <w:rPr>
                <w:szCs w:val="24"/>
              </w:rPr>
              <w:t xml:space="preserve"> or </w:t>
            </w:r>
            <w:r w:rsidRPr="00D948C1">
              <w:rPr>
                <w:szCs w:val="24"/>
              </w:rPr>
              <w:t>(</w:t>
            </w:r>
            <w:r w:rsidR="00BC0904">
              <w:rPr>
                <w:szCs w:val="24"/>
              </w:rPr>
              <w:t>l</w:t>
            </w:r>
            <w:r w:rsidRPr="00D948C1">
              <w:rPr>
                <w:szCs w:val="24"/>
              </w:rPr>
              <w:t>oss) on demographic assumptions</w:t>
            </w:r>
          </w:p>
        </w:tc>
        <w:tc>
          <w:tcPr>
            <w:tcW w:w="1412" w:type="dxa"/>
            <w:vAlign w:val="center"/>
          </w:tcPr>
          <w:p w14:paraId="21AAB3E7" w14:textId="68EE5394" w:rsidR="002A4463" w:rsidRPr="00670646" w:rsidRDefault="0040787E" w:rsidP="002A4463">
            <w:pPr>
              <w:tabs>
                <w:tab w:val="decimal" w:pos="888"/>
              </w:tabs>
              <w:jc w:val="right"/>
              <w:rPr>
                <w:szCs w:val="24"/>
              </w:rPr>
            </w:pPr>
            <w:r>
              <w:rPr>
                <w:szCs w:val="24"/>
              </w:rPr>
              <w:t>264</w:t>
            </w:r>
          </w:p>
        </w:tc>
        <w:tc>
          <w:tcPr>
            <w:tcW w:w="1272" w:type="dxa"/>
            <w:vAlign w:val="center"/>
          </w:tcPr>
          <w:p w14:paraId="07F7F8E5" w14:textId="57F9DA51" w:rsidR="002A4463" w:rsidRPr="00670646" w:rsidRDefault="002A4463" w:rsidP="002A4463">
            <w:pPr>
              <w:tabs>
                <w:tab w:val="decimal" w:pos="888"/>
              </w:tabs>
              <w:jc w:val="right"/>
              <w:rPr>
                <w:szCs w:val="24"/>
              </w:rPr>
            </w:pPr>
            <w:r w:rsidRPr="00670646">
              <w:rPr>
                <w:szCs w:val="24"/>
              </w:rPr>
              <w:t>173</w:t>
            </w:r>
          </w:p>
        </w:tc>
        <w:tc>
          <w:tcPr>
            <w:tcW w:w="1447" w:type="dxa"/>
            <w:vAlign w:val="center"/>
          </w:tcPr>
          <w:p w14:paraId="4F1425A8" w14:textId="67284058" w:rsidR="002A4463" w:rsidRPr="00670646" w:rsidRDefault="00D26F3D" w:rsidP="002A4463">
            <w:pPr>
              <w:tabs>
                <w:tab w:val="decimal" w:pos="1026"/>
              </w:tabs>
              <w:jc w:val="right"/>
              <w:rPr>
                <w:szCs w:val="24"/>
              </w:rPr>
            </w:pPr>
            <w:r>
              <w:rPr>
                <w:szCs w:val="24"/>
              </w:rPr>
              <w:t>-</w:t>
            </w:r>
          </w:p>
        </w:tc>
        <w:tc>
          <w:tcPr>
            <w:tcW w:w="1305" w:type="dxa"/>
            <w:vAlign w:val="center"/>
          </w:tcPr>
          <w:p w14:paraId="315FF104" w14:textId="1C51527E" w:rsidR="002A4463" w:rsidRPr="00670646" w:rsidRDefault="002A4463" w:rsidP="002A4463">
            <w:pPr>
              <w:tabs>
                <w:tab w:val="decimal" w:pos="1026"/>
              </w:tabs>
              <w:jc w:val="right"/>
              <w:rPr>
                <w:szCs w:val="24"/>
              </w:rPr>
            </w:pPr>
            <w:r w:rsidRPr="00670646">
              <w:rPr>
                <w:szCs w:val="24"/>
              </w:rPr>
              <w:t>1,440</w:t>
            </w:r>
          </w:p>
        </w:tc>
      </w:tr>
      <w:tr w:rsidR="002A4463" w:rsidRPr="00D948C1" w14:paraId="30C18108" w14:textId="77777777" w:rsidTr="00DD63D7">
        <w:tc>
          <w:tcPr>
            <w:tcW w:w="3953" w:type="dxa"/>
          </w:tcPr>
          <w:p w14:paraId="558D7795" w14:textId="35598155" w:rsidR="002A4463" w:rsidRPr="00D948C1" w:rsidRDefault="002A4463" w:rsidP="002A4463">
            <w:pPr>
              <w:rPr>
                <w:szCs w:val="24"/>
              </w:rPr>
            </w:pPr>
            <w:r w:rsidRPr="00D948C1">
              <w:rPr>
                <w:szCs w:val="24"/>
              </w:rPr>
              <w:t>Benefits</w:t>
            </w:r>
            <w:r w:rsidR="00E24BF8">
              <w:rPr>
                <w:szCs w:val="24"/>
              </w:rPr>
              <w:t xml:space="preserve"> or </w:t>
            </w:r>
            <w:r w:rsidRPr="00D948C1">
              <w:rPr>
                <w:szCs w:val="24"/>
              </w:rPr>
              <w:t>transfers paid</w:t>
            </w:r>
          </w:p>
        </w:tc>
        <w:tc>
          <w:tcPr>
            <w:tcW w:w="1412" w:type="dxa"/>
            <w:vAlign w:val="center"/>
          </w:tcPr>
          <w:p w14:paraId="2F317016" w14:textId="30379554" w:rsidR="002A4463" w:rsidRPr="00670646" w:rsidRDefault="0040787E" w:rsidP="002A4463">
            <w:pPr>
              <w:tabs>
                <w:tab w:val="decimal" w:pos="888"/>
              </w:tabs>
              <w:jc w:val="right"/>
              <w:rPr>
                <w:szCs w:val="24"/>
              </w:rPr>
            </w:pPr>
            <w:r>
              <w:rPr>
                <w:szCs w:val="24"/>
              </w:rPr>
              <w:t>3,046</w:t>
            </w:r>
          </w:p>
        </w:tc>
        <w:tc>
          <w:tcPr>
            <w:tcW w:w="1272" w:type="dxa"/>
            <w:vAlign w:val="center"/>
          </w:tcPr>
          <w:p w14:paraId="73485B34" w14:textId="1C8EE3B4" w:rsidR="002A4463" w:rsidRPr="00670646" w:rsidRDefault="002A4463" w:rsidP="002A4463">
            <w:pPr>
              <w:tabs>
                <w:tab w:val="decimal" w:pos="888"/>
              </w:tabs>
              <w:jc w:val="right"/>
              <w:rPr>
                <w:szCs w:val="24"/>
              </w:rPr>
            </w:pPr>
            <w:r w:rsidRPr="00670646">
              <w:rPr>
                <w:szCs w:val="24"/>
              </w:rPr>
              <w:t>2,386</w:t>
            </w:r>
          </w:p>
        </w:tc>
        <w:tc>
          <w:tcPr>
            <w:tcW w:w="1447" w:type="dxa"/>
            <w:vAlign w:val="center"/>
          </w:tcPr>
          <w:p w14:paraId="39DFCBB5" w14:textId="762C1B96" w:rsidR="002A4463" w:rsidRPr="00670646" w:rsidRDefault="00D26F3D" w:rsidP="002A4463">
            <w:pPr>
              <w:tabs>
                <w:tab w:val="decimal" w:pos="1026"/>
              </w:tabs>
              <w:jc w:val="right"/>
              <w:rPr>
                <w:szCs w:val="24"/>
              </w:rPr>
            </w:pPr>
            <w:r>
              <w:rPr>
                <w:szCs w:val="24"/>
              </w:rPr>
              <w:t>36,020</w:t>
            </w:r>
          </w:p>
        </w:tc>
        <w:tc>
          <w:tcPr>
            <w:tcW w:w="1305" w:type="dxa"/>
            <w:vAlign w:val="center"/>
          </w:tcPr>
          <w:p w14:paraId="05B5F696" w14:textId="44CCBB5C" w:rsidR="002A4463" w:rsidRPr="00670646" w:rsidRDefault="002A4463" w:rsidP="002A4463">
            <w:pPr>
              <w:tabs>
                <w:tab w:val="decimal" w:pos="1026"/>
              </w:tabs>
              <w:jc w:val="right"/>
              <w:rPr>
                <w:szCs w:val="24"/>
              </w:rPr>
            </w:pPr>
            <w:r w:rsidRPr="00670646">
              <w:rPr>
                <w:szCs w:val="24"/>
              </w:rPr>
              <w:t>34,900</w:t>
            </w:r>
          </w:p>
        </w:tc>
      </w:tr>
      <w:tr w:rsidR="002A4463" w:rsidRPr="00D948C1" w14:paraId="56759CEA" w14:textId="77777777" w:rsidTr="00DD63D7">
        <w:tc>
          <w:tcPr>
            <w:tcW w:w="3953" w:type="dxa"/>
          </w:tcPr>
          <w:p w14:paraId="0A7FCDA7" w14:textId="7E040BF5" w:rsidR="002A4463" w:rsidRPr="00D948C1" w:rsidRDefault="002A4463" w:rsidP="002A4463">
            <w:pPr>
              <w:rPr>
                <w:szCs w:val="24"/>
              </w:rPr>
            </w:pPr>
            <w:r w:rsidRPr="00D948C1">
              <w:rPr>
                <w:szCs w:val="24"/>
              </w:rPr>
              <w:t>Past service cost</w:t>
            </w:r>
          </w:p>
        </w:tc>
        <w:tc>
          <w:tcPr>
            <w:tcW w:w="1412" w:type="dxa"/>
            <w:vAlign w:val="center"/>
          </w:tcPr>
          <w:p w14:paraId="6401268E" w14:textId="79798F97" w:rsidR="002A4463" w:rsidRPr="00670646" w:rsidRDefault="0040787E" w:rsidP="002A4463">
            <w:pPr>
              <w:tabs>
                <w:tab w:val="decimal" w:pos="888"/>
              </w:tabs>
              <w:jc w:val="right"/>
              <w:rPr>
                <w:szCs w:val="24"/>
              </w:rPr>
            </w:pPr>
            <w:r>
              <w:rPr>
                <w:szCs w:val="24"/>
              </w:rPr>
              <w:t>(9)</w:t>
            </w:r>
          </w:p>
        </w:tc>
        <w:tc>
          <w:tcPr>
            <w:tcW w:w="1272" w:type="dxa"/>
            <w:vAlign w:val="center"/>
          </w:tcPr>
          <w:p w14:paraId="1B30F9D8" w14:textId="195C13A6" w:rsidR="002A4463" w:rsidRPr="00670646" w:rsidRDefault="002A4463" w:rsidP="002A4463">
            <w:pPr>
              <w:tabs>
                <w:tab w:val="decimal" w:pos="888"/>
              </w:tabs>
              <w:jc w:val="right"/>
              <w:rPr>
                <w:szCs w:val="24"/>
              </w:rPr>
            </w:pPr>
            <w:r w:rsidRPr="00670646">
              <w:rPr>
                <w:szCs w:val="24"/>
              </w:rPr>
              <w:t>-</w:t>
            </w:r>
          </w:p>
        </w:tc>
        <w:tc>
          <w:tcPr>
            <w:tcW w:w="1447" w:type="dxa"/>
            <w:vAlign w:val="center"/>
          </w:tcPr>
          <w:p w14:paraId="40ED884B" w14:textId="152B5037" w:rsidR="002A4463" w:rsidRPr="00670646" w:rsidRDefault="00D26F3D" w:rsidP="002A4463">
            <w:pPr>
              <w:tabs>
                <w:tab w:val="decimal" w:pos="1026"/>
              </w:tabs>
              <w:jc w:val="right"/>
              <w:rPr>
                <w:szCs w:val="24"/>
              </w:rPr>
            </w:pPr>
            <w:r>
              <w:rPr>
                <w:szCs w:val="24"/>
              </w:rPr>
              <w:t>-</w:t>
            </w:r>
          </w:p>
        </w:tc>
        <w:tc>
          <w:tcPr>
            <w:tcW w:w="1305" w:type="dxa"/>
            <w:vAlign w:val="center"/>
          </w:tcPr>
          <w:p w14:paraId="73928141" w14:textId="5F216D7D" w:rsidR="002A4463" w:rsidRPr="00670646" w:rsidRDefault="002A4463" w:rsidP="002A4463">
            <w:pPr>
              <w:tabs>
                <w:tab w:val="decimal" w:pos="1026"/>
              </w:tabs>
              <w:jc w:val="right"/>
              <w:rPr>
                <w:szCs w:val="24"/>
              </w:rPr>
            </w:pPr>
            <w:r w:rsidRPr="00670646">
              <w:rPr>
                <w:szCs w:val="24"/>
              </w:rPr>
              <w:t>-</w:t>
            </w:r>
          </w:p>
        </w:tc>
      </w:tr>
      <w:tr w:rsidR="002A4463" w:rsidRPr="00D948C1" w14:paraId="6AF1DE4A" w14:textId="77777777" w:rsidTr="00DD63D7">
        <w:tc>
          <w:tcPr>
            <w:tcW w:w="3953" w:type="dxa"/>
          </w:tcPr>
          <w:p w14:paraId="7911920C" w14:textId="61DAFBAE" w:rsidR="002A4463" w:rsidRPr="00D948C1" w:rsidRDefault="002A4463" w:rsidP="002A4463">
            <w:pPr>
              <w:rPr>
                <w:szCs w:val="24"/>
              </w:rPr>
            </w:pPr>
            <w:r w:rsidRPr="00D948C1">
              <w:rPr>
                <w:b/>
                <w:bCs/>
                <w:szCs w:val="24"/>
              </w:rPr>
              <w:t xml:space="preserve">Closing balance </w:t>
            </w:r>
            <w:proofErr w:type="gramStart"/>
            <w:r w:rsidRPr="00D948C1">
              <w:rPr>
                <w:b/>
                <w:bCs/>
                <w:szCs w:val="24"/>
              </w:rPr>
              <w:t>at</w:t>
            </w:r>
            <w:proofErr w:type="gramEnd"/>
            <w:r w:rsidRPr="00D948C1">
              <w:rPr>
                <w:b/>
                <w:bCs/>
                <w:szCs w:val="24"/>
              </w:rPr>
              <w:t xml:space="preserve"> 31 March</w:t>
            </w:r>
          </w:p>
        </w:tc>
        <w:tc>
          <w:tcPr>
            <w:tcW w:w="1412" w:type="dxa"/>
            <w:vAlign w:val="center"/>
          </w:tcPr>
          <w:p w14:paraId="321CDCC8" w14:textId="2E69A3FC" w:rsidR="002A4463" w:rsidRPr="00680902" w:rsidRDefault="0040787E" w:rsidP="002A4463">
            <w:pPr>
              <w:tabs>
                <w:tab w:val="decimal" w:pos="888"/>
              </w:tabs>
              <w:jc w:val="right"/>
              <w:rPr>
                <w:b/>
                <w:bCs/>
                <w:szCs w:val="24"/>
              </w:rPr>
            </w:pPr>
            <w:r>
              <w:rPr>
                <w:b/>
                <w:bCs/>
                <w:szCs w:val="24"/>
              </w:rPr>
              <w:t>(56,560)</w:t>
            </w:r>
          </w:p>
        </w:tc>
        <w:tc>
          <w:tcPr>
            <w:tcW w:w="1272" w:type="dxa"/>
            <w:vAlign w:val="center"/>
          </w:tcPr>
          <w:p w14:paraId="184EB967" w14:textId="56D56563" w:rsidR="002A4463" w:rsidRPr="00670646" w:rsidRDefault="002A4463" w:rsidP="002A4463">
            <w:pPr>
              <w:tabs>
                <w:tab w:val="decimal" w:pos="888"/>
              </w:tabs>
              <w:jc w:val="right"/>
              <w:rPr>
                <w:szCs w:val="24"/>
              </w:rPr>
            </w:pPr>
            <w:r w:rsidRPr="00680902">
              <w:rPr>
                <w:b/>
                <w:bCs/>
                <w:szCs w:val="24"/>
              </w:rPr>
              <w:t>(53,417)</w:t>
            </w:r>
          </w:p>
        </w:tc>
        <w:tc>
          <w:tcPr>
            <w:tcW w:w="1447" w:type="dxa"/>
            <w:vAlign w:val="center"/>
          </w:tcPr>
          <w:p w14:paraId="1F2B689B" w14:textId="2A98296B" w:rsidR="002A4463" w:rsidRPr="00670646" w:rsidRDefault="00D26F3D" w:rsidP="002A4463">
            <w:pPr>
              <w:tabs>
                <w:tab w:val="decimal" w:pos="1026"/>
              </w:tabs>
              <w:jc w:val="right"/>
              <w:rPr>
                <w:b/>
                <w:bCs/>
                <w:szCs w:val="24"/>
              </w:rPr>
            </w:pPr>
            <w:r>
              <w:rPr>
                <w:b/>
                <w:bCs/>
                <w:szCs w:val="24"/>
              </w:rPr>
              <w:t>(576,516)</w:t>
            </w:r>
          </w:p>
        </w:tc>
        <w:tc>
          <w:tcPr>
            <w:tcW w:w="1305" w:type="dxa"/>
            <w:vAlign w:val="center"/>
          </w:tcPr>
          <w:p w14:paraId="5F58C106" w14:textId="4C8EB4EF" w:rsidR="002A4463" w:rsidRPr="00670646" w:rsidRDefault="002A4463" w:rsidP="002A4463">
            <w:pPr>
              <w:tabs>
                <w:tab w:val="decimal" w:pos="1026"/>
              </w:tabs>
              <w:jc w:val="right"/>
              <w:rPr>
                <w:szCs w:val="24"/>
              </w:rPr>
            </w:pPr>
            <w:r w:rsidRPr="00670646">
              <w:rPr>
                <w:b/>
                <w:bCs/>
                <w:szCs w:val="24"/>
              </w:rPr>
              <w:t>(588,346)</w:t>
            </w:r>
          </w:p>
        </w:tc>
      </w:tr>
    </w:tbl>
    <w:p w14:paraId="35B5488F" w14:textId="1E61E8F5" w:rsidR="00D90216" w:rsidRPr="00D948C1" w:rsidRDefault="00D90216" w:rsidP="000C442C">
      <w:pPr>
        <w:ind w:left="709"/>
        <w:rPr>
          <w:szCs w:val="24"/>
        </w:rPr>
      </w:pPr>
      <w:r w:rsidRPr="00D948C1">
        <w:rPr>
          <w:szCs w:val="24"/>
        </w:rPr>
        <w:lastRenderedPageBreak/>
        <w:t>Reconciliation of the fair value of the scheme assets:</w:t>
      </w:r>
    </w:p>
    <w:p w14:paraId="06AD6826" w14:textId="77777777" w:rsidR="00D90216" w:rsidRPr="00D948C1" w:rsidRDefault="00D90216" w:rsidP="00D90216">
      <w:pPr>
        <w:ind w:left="709"/>
        <w:jc w:val="both"/>
        <w:rPr>
          <w:sz w:val="22"/>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5"/>
        <w:gridCol w:w="1418"/>
        <w:gridCol w:w="1276"/>
        <w:gridCol w:w="1417"/>
      </w:tblGrid>
      <w:tr w:rsidR="00B145DB" w:rsidRPr="00D948C1" w14:paraId="061108FA" w14:textId="77777777" w:rsidTr="00611673">
        <w:trPr>
          <w:cantSplit/>
          <w:trHeight w:val="850"/>
        </w:trPr>
        <w:tc>
          <w:tcPr>
            <w:tcW w:w="4111" w:type="dxa"/>
            <w:shd w:val="clear" w:color="auto" w:fill="BD2716"/>
          </w:tcPr>
          <w:p w14:paraId="4581373F" w14:textId="77777777" w:rsidR="00B145DB" w:rsidRPr="00D948C1" w:rsidRDefault="00B145DB" w:rsidP="00CD62E6">
            <w:pPr>
              <w:jc w:val="both"/>
              <w:rPr>
                <w:color w:val="FFFFFF" w:themeColor="background1"/>
                <w:szCs w:val="24"/>
              </w:rPr>
            </w:pPr>
          </w:p>
        </w:tc>
        <w:tc>
          <w:tcPr>
            <w:tcW w:w="2693" w:type="dxa"/>
            <w:gridSpan w:val="2"/>
            <w:shd w:val="clear" w:color="auto" w:fill="BD2716"/>
            <w:vAlign w:val="center"/>
          </w:tcPr>
          <w:p w14:paraId="093143A2" w14:textId="77777777" w:rsidR="00B145DB" w:rsidRPr="00D948C1" w:rsidRDefault="00B145DB" w:rsidP="00611673">
            <w:pPr>
              <w:jc w:val="center"/>
              <w:rPr>
                <w:color w:val="FFFFFF" w:themeColor="background1"/>
                <w:szCs w:val="24"/>
              </w:rPr>
            </w:pPr>
            <w:r w:rsidRPr="00D948C1">
              <w:rPr>
                <w:color w:val="FFFFFF" w:themeColor="background1"/>
                <w:szCs w:val="24"/>
              </w:rPr>
              <w:t>Funded Liabilities: Local Government Pension Scheme</w:t>
            </w:r>
          </w:p>
        </w:tc>
        <w:tc>
          <w:tcPr>
            <w:tcW w:w="2693" w:type="dxa"/>
            <w:gridSpan w:val="2"/>
            <w:shd w:val="clear" w:color="auto" w:fill="BD2716"/>
            <w:vAlign w:val="center"/>
          </w:tcPr>
          <w:p w14:paraId="41FC45DD" w14:textId="77777777" w:rsidR="00B145DB" w:rsidRPr="00D948C1" w:rsidRDefault="00B145DB" w:rsidP="00611673">
            <w:pPr>
              <w:jc w:val="center"/>
              <w:rPr>
                <w:color w:val="FFFFFF" w:themeColor="background1"/>
                <w:szCs w:val="24"/>
              </w:rPr>
            </w:pPr>
            <w:r w:rsidRPr="00D948C1">
              <w:rPr>
                <w:color w:val="FFFFFF" w:themeColor="background1"/>
                <w:szCs w:val="24"/>
              </w:rPr>
              <w:t>Unfunded Liabilities: Uniformed Firefighters’ Pension Scheme</w:t>
            </w:r>
          </w:p>
        </w:tc>
      </w:tr>
      <w:tr w:rsidR="005E658A" w:rsidRPr="00D948C1" w14:paraId="625D6C0F" w14:textId="77777777" w:rsidTr="005E658A">
        <w:trPr>
          <w:trHeight w:val="828"/>
        </w:trPr>
        <w:tc>
          <w:tcPr>
            <w:tcW w:w="4111" w:type="dxa"/>
            <w:shd w:val="clear" w:color="auto" w:fill="BD2716"/>
          </w:tcPr>
          <w:p w14:paraId="5692228E" w14:textId="77777777" w:rsidR="005E658A" w:rsidRPr="00D948C1" w:rsidRDefault="005E658A" w:rsidP="005E658A">
            <w:pPr>
              <w:jc w:val="both"/>
              <w:rPr>
                <w:color w:val="FFFFFF" w:themeColor="background1"/>
                <w:szCs w:val="24"/>
              </w:rPr>
            </w:pPr>
          </w:p>
        </w:tc>
        <w:tc>
          <w:tcPr>
            <w:tcW w:w="1275" w:type="dxa"/>
            <w:shd w:val="clear" w:color="auto" w:fill="BD2716"/>
            <w:vAlign w:val="center"/>
          </w:tcPr>
          <w:p w14:paraId="62759D1E"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3F448338" w14:textId="5519736B" w:rsidR="005E658A" w:rsidRPr="00D948C1" w:rsidRDefault="005E658A" w:rsidP="005E658A">
            <w:pPr>
              <w:jc w:val="right"/>
              <w:rPr>
                <w:color w:val="FFFFFF" w:themeColor="background1"/>
                <w:szCs w:val="24"/>
              </w:rPr>
            </w:pPr>
            <w:r w:rsidRPr="00D948C1">
              <w:rPr>
                <w:color w:val="FFFFFF" w:themeColor="background1"/>
                <w:szCs w:val="24"/>
              </w:rPr>
              <w:t>£000</w:t>
            </w:r>
          </w:p>
        </w:tc>
        <w:tc>
          <w:tcPr>
            <w:tcW w:w="1418" w:type="dxa"/>
            <w:shd w:val="clear" w:color="auto" w:fill="BD2716"/>
            <w:vAlign w:val="center"/>
          </w:tcPr>
          <w:p w14:paraId="29D77177"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426AC8D2" w14:textId="4928BC25" w:rsidR="005E658A" w:rsidRPr="00D948C1" w:rsidRDefault="005E658A" w:rsidP="005E658A">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735DEAE5"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6</w:t>
            </w:r>
          </w:p>
          <w:p w14:paraId="15A6F316" w14:textId="75094827" w:rsidR="005E658A" w:rsidRPr="00D948C1" w:rsidRDefault="005E658A" w:rsidP="005E658A">
            <w:pPr>
              <w:jc w:val="right"/>
              <w:rPr>
                <w:color w:val="FFFFFF" w:themeColor="background1"/>
                <w:szCs w:val="24"/>
              </w:rPr>
            </w:pPr>
            <w:r w:rsidRPr="00D948C1">
              <w:rPr>
                <w:color w:val="FFFFFF" w:themeColor="background1"/>
                <w:szCs w:val="24"/>
              </w:rPr>
              <w:t>£000</w:t>
            </w:r>
          </w:p>
        </w:tc>
        <w:tc>
          <w:tcPr>
            <w:tcW w:w="1417" w:type="dxa"/>
            <w:shd w:val="clear" w:color="auto" w:fill="BD2716"/>
            <w:vAlign w:val="center"/>
          </w:tcPr>
          <w:p w14:paraId="30D46C86" w14:textId="77777777" w:rsidR="005E658A" w:rsidRPr="00D948C1" w:rsidRDefault="005E658A" w:rsidP="005E658A">
            <w:pPr>
              <w:jc w:val="right"/>
              <w:rPr>
                <w:color w:val="FFFFFF" w:themeColor="background1"/>
                <w:szCs w:val="24"/>
              </w:rPr>
            </w:pPr>
            <w:r w:rsidRPr="00D948C1">
              <w:rPr>
                <w:color w:val="FFFFFF" w:themeColor="background1"/>
                <w:szCs w:val="24"/>
              </w:rPr>
              <w:t>31 March 202</w:t>
            </w:r>
            <w:r>
              <w:rPr>
                <w:color w:val="FFFFFF" w:themeColor="background1"/>
                <w:szCs w:val="24"/>
              </w:rPr>
              <w:t>5</w:t>
            </w:r>
          </w:p>
          <w:p w14:paraId="40C861D1" w14:textId="60540FEB" w:rsidR="005E658A" w:rsidRPr="00D948C1" w:rsidRDefault="005E658A" w:rsidP="005E658A">
            <w:pPr>
              <w:jc w:val="right"/>
              <w:rPr>
                <w:color w:val="FFFFFF" w:themeColor="background1"/>
                <w:szCs w:val="24"/>
              </w:rPr>
            </w:pPr>
            <w:r w:rsidRPr="00D948C1">
              <w:rPr>
                <w:color w:val="FFFFFF" w:themeColor="background1"/>
                <w:szCs w:val="24"/>
              </w:rPr>
              <w:t>£000</w:t>
            </w:r>
          </w:p>
        </w:tc>
      </w:tr>
      <w:tr w:rsidR="005E658A" w:rsidRPr="00D948C1" w14:paraId="34D21FCD" w14:textId="77777777" w:rsidTr="00DD63D7">
        <w:trPr>
          <w:trHeight w:val="289"/>
        </w:trPr>
        <w:tc>
          <w:tcPr>
            <w:tcW w:w="4111" w:type="dxa"/>
          </w:tcPr>
          <w:p w14:paraId="78FD5494" w14:textId="77777777" w:rsidR="005E658A" w:rsidRPr="00D948C1" w:rsidRDefault="005E658A" w:rsidP="005E658A">
            <w:pPr>
              <w:jc w:val="both"/>
              <w:rPr>
                <w:b/>
                <w:bCs/>
                <w:szCs w:val="24"/>
              </w:rPr>
            </w:pPr>
            <w:r w:rsidRPr="00D948C1">
              <w:rPr>
                <w:b/>
                <w:bCs/>
                <w:szCs w:val="24"/>
              </w:rPr>
              <w:t xml:space="preserve">Opening balance </w:t>
            </w:r>
            <w:proofErr w:type="gramStart"/>
            <w:r w:rsidRPr="00D948C1">
              <w:rPr>
                <w:b/>
                <w:bCs/>
                <w:szCs w:val="24"/>
              </w:rPr>
              <w:t>at</w:t>
            </w:r>
            <w:proofErr w:type="gramEnd"/>
            <w:r w:rsidRPr="00D948C1">
              <w:rPr>
                <w:b/>
                <w:bCs/>
                <w:szCs w:val="24"/>
              </w:rPr>
              <w:t xml:space="preserve"> 1 April</w:t>
            </w:r>
          </w:p>
        </w:tc>
        <w:tc>
          <w:tcPr>
            <w:tcW w:w="1275" w:type="dxa"/>
            <w:vAlign w:val="center"/>
          </w:tcPr>
          <w:p w14:paraId="29A2AC93" w14:textId="5726F8B3" w:rsidR="005E658A" w:rsidRPr="00670646" w:rsidRDefault="005E658A" w:rsidP="005E658A">
            <w:pPr>
              <w:tabs>
                <w:tab w:val="decimal" w:pos="888"/>
              </w:tabs>
              <w:jc w:val="right"/>
              <w:rPr>
                <w:b/>
                <w:bCs/>
                <w:szCs w:val="24"/>
              </w:rPr>
            </w:pPr>
            <w:r w:rsidRPr="00670646">
              <w:rPr>
                <w:b/>
                <w:bCs/>
                <w:szCs w:val="24"/>
              </w:rPr>
              <w:t>85,394</w:t>
            </w:r>
          </w:p>
        </w:tc>
        <w:tc>
          <w:tcPr>
            <w:tcW w:w="1418" w:type="dxa"/>
            <w:vAlign w:val="center"/>
          </w:tcPr>
          <w:p w14:paraId="60C35226" w14:textId="18E55164" w:rsidR="005E658A" w:rsidRPr="00670646" w:rsidRDefault="005E658A" w:rsidP="005E658A">
            <w:pPr>
              <w:tabs>
                <w:tab w:val="decimal" w:pos="888"/>
              </w:tabs>
              <w:jc w:val="right"/>
              <w:rPr>
                <w:b/>
                <w:bCs/>
                <w:szCs w:val="24"/>
              </w:rPr>
            </w:pPr>
            <w:r w:rsidRPr="00670646">
              <w:rPr>
                <w:b/>
                <w:bCs/>
                <w:szCs w:val="24"/>
              </w:rPr>
              <w:t>84,113</w:t>
            </w:r>
          </w:p>
        </w:tc>
        <w:tc>
          <w:tcPr>
            <w:tcW w:w="1276" w:type="dxa"/>
            <w:vAlign w:val="center"/>
          </w:tcPr>
          <w:p w14:paraId="40337856" w14:textId="68430E60" w:rsidR="005E658A" w:rsidRPr="00670646" w:rsidRDefault="00AD411C" w:rsidP="005E658A">
            <w:pPr>
              <w:tabs>
                <w:tab w:val="decimal" w:pos="888"/>
              </w:tabs>
              <w:jc w:val="right"/>
              <w:rPr>
                <w:b/>
                <w:bCs/>
                <w:szCs w:val="24"/>
              </w:rPr>
            </w:pPr>
            <w:r>
              <w:rPr>
                <w:b/>
                <w:bCs/>
                <w:szCs w:val="24"/>
              </w:rPr>
              <w:t>-</w:t>
            </w:r>
          </w:p>
        </w:tc>
        <w:tc>
          <w:tcPr>
            <w:tcW w:w="1417" w:type="dxa"/>
            <w:vAlign w:val="center"/>
          </w:tcPr>
          <w:p w14:paraId="119C50BD" w14:textId="79428634" w:rsidR="005E658A" w:rsidRPr="00670646" w:rsidRDefault="005E658A" w:rsidP="005E658A">
            <w:pPr>
              <w:tabs>
                <w:tab w:val="decimal" w:pos="888"/>
              </w:tabs>
              <w:jc w:val="right"/>
              <w:rPr>
                <w:b/>
                <w:bCs/>
                <w:szCs w:val="24"/>
              </w:rPr>
            </w:pPr>
            <w:r w:rsidRPr="00670646">
              <w:rPr>
                <w:b/>
                <w:bCs/>
                <w:szCs w:val="24"/>
              </w:rPr>
              <w:t>-</w:t>
            </w:r>
          </w:p>
        </w:tc>
      </w:tr>
      <w:tr w:rsidR="005E658A" w:rsidRPr="00D948C1" w14:paraId="769015FE" w14:textId="77777777" w:rsidTr="00DD63D7">
        <w:tc>
          <w:tcPr>
            <w:tcW w:w="4111" w:type="dxa"/>
          </w:tcPr>
          <w:p w14:paraId="7C1ADDB3" w14:textId="77777777" w:rsidR="005E658A" w:rsidRPr="00D948C1" w:rsidRDefault="005E658A" w:rsidP="005E658A">
            <w:pPr>
              <w:jc w:val="both"/>
              <w:rPr>
                <w:szCs w:val="24"/>
              </w:rPr>
            </w:pPr>
            <w:r w:rsidRPr="00D948C1">
              <w:rPr>
                <w:szCs w:val="24"/>
              </w:rPr>
              <w:t>Interest on scheme assets</w:t>
            </w:r>
          </w:p>
        </w:tc>
        <w:tc>
          <w:tcPr>
            <w:tcW w:w="1275" w:type="dxa"/>
            <w:vAlign w:val="center"/>
          </w:tcPr>
          <w:p w14:paraId="2DB82140" w14:textId="19A63D8B" w:rsidR="005E658A" w:rsidRPr="00670646" w:rsidRDefault="00AD002B" w:rsidP="005E658A">
            <w:pPr>
              <w:tabs>
                <w:tab w:val="decimal" w:pos="888"/>
              </w:tabs>
              <w:jc w:val="right"/>
              <w:rPr>
                <w:szCs w:val="24"/>
              </w:rPr>
            </w:pPr>
            <w:r>
              <w:rPr>
                <w:szCs w:val="24"/>
              </w:rPr>
              <w:t>4,897</w:t>
            </w:r>
          </w:p>
        </w:tc>
        <w:tc>
          <w:tcPr>
            <w:tcW w:w="1418" w:type="dxa"/>
            <w:vAlign w:val="center"/>
          </w:tcPr>
          <w:p w14:paraId="0BE06C98" w14:textId="5034CA24" w:rsidR="005E658A" w:rsidRPr="00670646" w:rsidRDefault="005E658A" w:rsidP="005E658A">
            <w:pPr>
              <w:tabs>
                <w:tab w:val="decimal" w:pos="888"/>
              </w:tabs>
              <w:jc w:val="right"/>
              <w:rPr>
                <w:szCs w:val="24"/>
              </w:rPr>
            </w:pPr>
            <w:r w:rsidRPr="00670646">
              <w:rPr>
                <w:szCs w:val="24"/>
              </w:rPr>
              <w:t>4,086</w:t>
            </w:r>
          </w:p>
        </w:tc>
        <w:tc>
          <w:tcPr>
            <w:tcW w:w="1276" w:type="dxa"/>
            <w:vAlign w:val="center"/>
          </w:tcPr>
          <w:p w14:paraId="3BB2BC9D" w14:textId="6B5D3F8A" w:rsidR="005E658A" w:rsidRPr="00670646" w:rsidRDefault="004933A6" w:rsidP="005E658A">
            <w:pPr>
              <w:tabs>
                <w:tab w:val="decimal" w:pos="888"/>
              </w:tabs>
              <w:jc w:val="right"/>
              <w:rPr>
                <w:szCs w:val="24"/>
              </w:rPr>
            </w:pPr>
            <w:r>
              <w:rPr>
                <w:szCs w:val="24"/>
              </w:rPr>
              <w:t>-</w:t>
            </w:r>
          </w:p>
        </w:tc>
        <w:tc>
          <w:tcPr>
            <w:tcW w:w="1417" w:type="dxa"/>
            <w:vAlign w:val="center"/>
          </w:tcPr>
          <w:p w14:paraId="52FAB21E" w14:textId="0C3F4878" w:rsidR="005E658A" w:rsidRPr="00670646" w:rsidRDefault="005E658A" w:rsidP="005E658A">
            <w:pPr>
              <w:tabs>
                <w:tab w:val="decimal" w:pos="888"/>
              </w:tabs>
              <w:jc w:val="right"/>
              <w:rPr>
                <w:szCs w:val="24"/>
              </w:rPr>
            </w:pPr>
            <w:r w:rsidRPr="00670646">
              <w:rPr>
                <w:szCs w:val="24"/>
              </w:rPr>
              <w:t>-</w:t>
            </w:r>
          </w:p>
        </w:tc>
      </w:tr>
      <w:tr w:rsidR="005E658A" w:rsidRPr="00D948C1" w14:paraId="60C39BC4" w14:textId="77777777" w:rsidTr="00DD63D7">
        <w:tc>
          <w:tcPr>
            <w:tcW w:w="4111" w:type="dxa"/>
          </w:tcPr>
          <w:p w14:paraId="10A89D19" w14:textId="77777777" w:rsidR="005E658A" w:rsidRPr="00D948C1" w:rsidRDefault="005E658A" w:rsidP="005E658A">
            <w:pPr>
              <w:jc w:val="both"/>
              <w:rPr>
                <w:szCs w:val="24"/>
              </w:rPr>
            </w:pPr>
            <w:r w:rsidRPr="00D948C1">
              <w:rPr>
                <w:szCs w:val="24"/>
              </w:rPr>
              <w:t>Remeasurements (assets)</w:t>
            </w:r>
          </w:p>
        </w:tc>
        <w:tc>
          <w:tcPr>
            <w:tcW w:w="1275" w:type="dxa"/>
            <w:vAlign w:val="center"/>
          </w:tcPr>
          <w:p w14:paraId="2F9F8A3F" w14:textId="09E350AE" w:rsidR="005E658A" w:rsidRPr="00670646" w:rsidRDefault="006247E8" w:rsidP="005E658A">
            <w:pPr>
              <w:tabs>
                <w:tab w:val="decimal" w:pos="888"/>
              </w:tabs>
              <w:jc w:val="right"/>
              <w:rPr>
                <w:szCs w:val="24"/>
              </w:rPr>
            </w:pPr>
            <w:r>
              <w:rPr>
                <w:szCs w:val="24"/>
              </w:rPr>
              <w:t>(1</w:t>
            </w:r>
            <w:r w:rsidR="0008742E">
              <w:rPr>
                <w:szCs w:val="24"/>
              </w:rPr>
              <w:t>,763)</w:t>
            </w:r>
          </w:p>
        </w:tc>
        <w:tc>
          <w:tcPr>
            <w:tcW w:w="1418" w:type="dxa"/>
            <w:vAlign w:val="center"/>
          </w:tcPr>
          <w:p w14:paraId="16875547" w14:textId="141A3BC7" w:rsidR="005E658A" w:rsidRPr="00670646" w:rsidRDefault="005E658A" w:rsidP="005E658A">
            <w:pPr>
              <w:tabs>
                <w:tab w:val="decimal" w:pos="888"/>
              </w:tabs>
              <w:jc w:val="right"/>
              <w:rPr>
                <w:szCs w:val="24"/>
              </w:rPr>
            </w:pPr>
            <w:r w:rsidRPr="00670646">
              <w:rPr>
                <w:szCs w:val="24"/>
              </w:rPr>
              <w:t>(1,353)</w:t>
            </w:r>
          </w:p>
        </w:tc>
        <w:tc>
          <w:tcPr>
            <w:tcW w:w="1276" w:type="dxa"/>
            <w:vAlign w:val="center"/>
          </w:tcPr>
          <w:p w14:paraId="60DF35B8" w14:textId="735B7289" w:rsidR="005E658A" w:rsidRPr="00670646" w:rsidRDefault="004933A6" w:rsidP="005E658A">
            <w:pPr>
              <w:tabs>
                <w:tab w:val="decimal" w:pos="888"/>
              </w:tabs>
              <w:jc w:val="right"/>
              <w:rPr>
                <w:szCs w:val="24"/>
              </w:rPr>
            </w:pPr>
            <w:r>
              <w:rPr>
                <w:szCs w:val="24"/>
              </w:rPr>
              <w:t>-</w:t>
            </w:r>
          </w:p>
        </w:tc>
        <w:tc>
          <w:tcPr>
            <w:tcW w:w="1417" w:type="dxa"/>
            <w:vAlign w:val="center"/>
          </w:tcPr>
          <w:p w14:paraId="6E1CC522" w14:textId="13B2E51D" w:rsidR="005E658A" w:rsidRPr="00670646" w:rsidRDefault="005E658A" w:rsidP="005E658A">
            <w:pPr>
              <w:tabs>
                <w:tab w:val="decimal" w:pos="888"/>
              </w:tabs>
              <w:jc w:val="right"/>
              <w:rPr>
                <w:szCs w:val="24"/>
              </w:rPr>
            </w:pPr>
            <w:r w:rsidRPr="00670646">
              <w:rPr>
                <w:szCs w:val="24"/>
              </w:rPr>
              <w:t>-</w:t>
            </w:r>
          </w:p>
        </w:tc>
      </w:tr>
      <w:tr w:rsidR="005E658A" w:rsidRPr="00D948C1" w14:paraId="28F41D9A" w14:textId="77777777" w:rsidTr="00DD63D7">
        <w:tc>
          <w:tcPr>
            <w:tcW w:w="4111" w:type="dxa"/>
          </w:tcPr>
          <w:p w14:paraId="4B3B9621" w14:textId="77777777" w:rsidR="005E658A" w:rsidRPr="00D948C1" w:rsidRDefault="005E658A" w:rsidP="005E658A">
            <w:pPr>
              <w:jc w:val="both"/>
              <w:rPr>
                <w:szCs w:val="24"/>
              </w:rPr>
            </w:pPr>
            <w:r w:rsidRPr="00D948C1">
              <w:rPr>
                <w:szCs w:val="24"/>
              </w:rPr>
              <w:t>Administrative expenses</w:t>
            </w:r>
          </w:p>
        </w:tc>
        <w:tc>
          <w:tcPr>
            <w:tcW w:w="1275" w:type="dxa"/>
            <w:vAlign w:val="center"/>
          </w:tcPr>
          <w:p w14:paraId="47FB475B" w14:textId="336A1143" w:rsidR="005E658A" w:rsidRPr="00670646" w:rsidRDefault="00AD002B" w:rsidP="005E658A">
            <w:pPr>
              <w:tabs>
                <w:tab w:val="decimal" w:pos="888"/>
              </w:tabs>
              <w:jc w:val="right"/>
              <w:rPr>
                <w:szCs w:val="24"/>
              </w:rPr>
            </w:pPr>
            <w:r>
              <w:rPr>
                <w:szCs w:val="24"/>
              </w:rPr>
              <w:t>(50)</w:t>
            </w:r>
          </w:p>
        </w:tc>
        <w:tc>
          <w:tcPr>
            <w:tcW w:w="1418" w:type="dxa"/>
            <w:vAlign w:val="center"/>
          </w:tcPr>
          <w:p w14:paraId="0DED3FF5" w14:textId="5C14DEB4" w:rsidR="005E658A" w:rsidRPr="00670646" w:rsidRDefault="005E658A" w:rsidP="005E658A">
            <w:pPr>
              <w:tabs>
                <w:tab w:val="decimal" w:pos="888"/>
              </w:tabs>
              <w:jc w:val="right"/>
              <w:rPr>
                <w:szCs w:val="24"/>
              </w:rPr>
            </w:pPr>
            <w:r w:rsidRPr="00670646">
              <w:rPr>
                <w:szCs w:val="24"/>
              </w:rPr>
              <w:t>(49)</w:t>
            </w:r>
          </w:p>
        </w:tc>
        <w:tc>
          <w:tcPr>
            <w:tcW w:w="1276" w:type="dxa"/>
            <w:vAlign w:val="center"/>
          </w:tcPr>
          <w:p w14:paraId="61BB61EF" w14:textId="1645F712" w:rsidR="005E658A" w:rsidRPr="00670646" w:rsidRDefault="004933A6" w:rsidP="005E658A">
            <w:pPr>
              <w:tabs>
                <w:tab w:val="decimal" w:pos="888"/>
              </w:tabs>
              <w:jc w:val="right"/>
              <w:rPr>
                <w:szCs w:val="24"/>
              </w:rPr>
            </w:pPr>
            <w:r>
              <w:rPr>
                <w:szCs w:val="24"/>
              </w:rPr>
              <w:t>-</w:t>
            </w:r>
          </w:p>
        </w:tc>
        <w:tc>
          <w:tcPr>
            <w:tcW w:w="1417" w:type="dxa"/>
            <w:vAlign w:val="center"/>
          </w:tcPr>
          <w:p w14:paraId="6CA8F60C" w14:textId="1134680B" w:rsidR="005E658A" w:rsidRPr="00670646" w:rsidRDefault="005E658A" w:rsidP="005E658A">
            <w:pPr>
              <w:tabs>
                <w:tab w:val="decimal" w:pos="888"/>
              </w:tabs>
              <w:jc w:val="right"/>
              <w:rPr>
                <w:szCs w:val="24"/>
              </w:rPr>
            </w:pPr>
            <w:r w:rsidRPr="00670646">
              <w:rPr>
                <w:szCs w:val="24"/>
              </w:rPr>
              <w:t>-</w:t>
            </w:r>
          </w:p>
        </w:tc>
      </w:tr>
      <w:tr w:rsidR="005E658A" w:rsidRPr="00D948C1" w14:paraId="4ED6DB79" w14:textId="77777777" w:rsidTr="00DD63D7">
        <w:tc>
          <w:tcPr>
            <w:tcW w:w="4111" w:type="dxa"/>
          </w:tcPr>
          <w:p w14:paraId="38205E82" w14:textId="77777777" w:rsidR="005E658A" w:rsidRPr="00D948C1" w:rsidRDefault="005E658A" w:rsidP="005E658A">
            <w:pPr>
              <w:jc w:val="both"/>
              <w:rPr>
                <w:szCs w:val="24"/>
              </w:rPr>
            </w:pPr>
            <w:r w:rsidRPr="00D948C1">
              <w:rPr>
                <w:szCs w:val="24"/>
              </w:rPr>
              <w:t>Employer contributions</w:t>
            </w:r>
          </w:p>
        </w:tc>
        <w:tc>
          <w:tcPr>
            <w:tcW w:w="1275" w:type="dxa"/>
            <w:vAlign w:val="center"/>
          </w:tcPr>
          <w:p w14:paraId="4CD67898" w14:textId="44921E53" w:rsidR="005E658A" w:rsidRPr="00670646" w:rsidRDefault="00AD002B" w:rsidP="005E658A">
            <w:pPr>
              <w:tabs>
                <w:tab w:val="decimal" w:pos="888"/>
              </w:tabs>
              <w:jc w:val="right"/>
              <w:rPr>
                <w:szCs w:val="24"/>
              </w:rPr>
            </w:pPr>
            <w:r>
              <w:rPr>
                <w:szCs w:val="24"/>
              </w:rPr>
              <w:t>424</w:t>
            </w:r>
          </w:p>
        </w:tc>
        <w:tc>
          <w:tcPr>
            <w:tcW w:w="1418" w:type="dxa"/>
            <w:vAlign w:val="center"/>
          </w:tcPr>
          <w:p w14:paraId="5ADD311D" w14:textId="5A3F9EB9" w:rsidR="005E658A" w:rsidRPr="00670646" w:rsidRDefault="005E658A" w:rsidP="005E658A">
            <w:pPr>
              <w:tabs>
                <w:tab w:val="decimal" w:pos="888"/>
              </w:tabs>
              <w:jc w:val="right"/>
              <w:rPr>
                <w:szCs w:val="24"/>
              </w:rPr>
            </w:pPr>
            <w:r w:rsidRPr="00670646">
              <w:rPr>
                <w:szCs w:val="24"/>
              </w:rPr>
              <w:t>396</w:t>
            </w:r>
          </w:p>
        </w:tc>
        <w:tc>
          <w:tcPr>
            <w:tcW w:w="1276" w:type="dxa"/>
            <w:vAlign w:val="center"/>
          </w:tcPr>
          <w:p w14:paraId="72B213D4" w14:textId="498846F9" w:rsidR="005E658A" w:rsidRPr="00670646" w:rsidRDefault="004933A6" w:rsidP="005E658A">
            <w:pPr>
              <w:tabs>
                <w:tab w:val="decimal" w:pos="888"/>
              </w:tabs>
              <w:jc w:val="right"/>
              <w:rPr>
                <w:szCs w:val="24"/>
              </w:rPr>
            </w:pPr>
            <w:r>
              <w:rPr>
                <w:szCs w:val="24"/>
              </w:rPr>
              <w:t>32,020</w:t>
            </w:r>
          </w:p>
        </w:tc>
        <w:tc>
          <w:tcPr>
            <w:tcW w:w="1417" w:type="dxa"/>
            <w:vAlign w:val="center"/>
          </w:tcPr>
          <w:p w14:paraId="34AF943E" w14:textId="73AB5138" w:rsidR="005E658A" w:rsidRPr="00670646" w:rsidRDefault="005E658A" w:rsidP="005E658A">
            <w:pPr>
              <w:tabs>
                <w:tab w:val="decimal" w:pos="888"/>
              </w:tabs>
              <w:jc w:val="right"/>
              <w:rPr>
                <w:szCs w:val="24"/>
              </w:rPr>
            </w:pPr>
            <w:r w:rsidRPr="00670646">
              <w:rPr>
                <w:szCs w:val="24"/>
              </w:rPr>
              <w:t>30,930</w:t>
            </w:r>
          </w:p>
        </w:tc>
      </w:tr>
      <w:tr w:rsidR="005E658A" w:rsidRPr="00D948C1" w14:paraId="1DFE0EB5" w14:textId="77777777" w:rsidTr="00DD63D7">
        <w:tc>
          <w:tcPr>
            <w:tcW w:w="4111" w:type="dxa"/>
          </w:tcPr>
          <w:p w14:paraId="23AE9FB4" w14:textId="77777777" w:rsidR="005E658A" w:rsidRPr="00D948C1" w:rsidRDefault="005E658A" w:rsidP="005E658A">
            <w:pPr>
              <w:jc w:val="both"/>
              <w:rPr>
                <w:szCs w:val="24"/>
              </w:rPr>
            </w:pPr>
            <w:r w:rsidRPr="00D948C1">
              <w:rPr>
                <w:szCs w:val="24"/>
              </w:rPr>
              <w:t>Contributions by scheme participants</w:t>
            </w:r>
          </w:p>
        </w:tc>
        <w:tc>
          <w:tcPr>
            <w:tcW w:w="1275" w:type="dxa"/>
            <w:vAlign w:val="center"/>
          </w:tcPr>
          <w:p w14:paraId="7D3181B2" w14:textId="5B4FD381" w:rsidR="005E658A" w:rsidRPr="00670646" w:rsidRDefault="004933A6" w:rsidP="005E658A">
            <w:pPr>
              <w:tabs>
                <w:tab w:val="decimal" w:pos="888"/>
              </w:tabs>
              <w:jc w:val="right"/>
              <w:rPr>
                <w:szCs w:val="24"/>
              </w:rPr>
            </w:pPr>
            <w:r>
              <w:rPr>
                <w:szCs w:val="24"/>
              </w:rPr>
              <w:t>611</w:t>
            </w:r>
          </w:p>
        </w:tc>
        <w:tc>
          <w:tcPr>
            <w:tcW w:w="1418" w:type="dxa"/>
            <w:vAlign w:val="center"/>
          </w:tcPr>
          <w:p w14:paraId="6F498A8A" w14:textId="5942A2B6" w:rsidR="005E658A" w:rsidRPr="00670646" w:rsidRDefault="005E658A" w:rsidP="005E658A">
            <w:pPr>
              <w:tabs>
                <w:tab w:val="decimal" w:pos="888"/>
              </w:tabs>
              <w:jc w:val="right"/>
              <w:rPr>
                <w:szCs w:val="24"/>
              </w:rPr>
            </w:pPr>
            <w:r w:rsidRPr="00670646">
              <w:rPr>
                <w:szCs w:val="24"/>
              </w:rPr>
              <w:t>588</w:t>
            </w:r>
          </w:p>
        </w:tc>
        <w:tc>
          <w:tcPr>
            <w:tcW w:w="1276" w:type="dxa"/>
            <w:vAlign w:val="center"/>
          </w:tcPr>
          <w:p w14:paraId="7354BA27" w14:textId="40801F7A" w:rsidR="005E658A" w:rsidRPr="00670646" w:rsidRDefault="00960D4D" w:rsidP="005E658A">
            <w:pPr>
              <w:tabs>
                <w:tab w:val="decimal" w:pos="888"/>
              </w:tabs>
              <w:jc w:val="right"/>
              <w:rPr>
                <w:szCs w:val="24"/>
              </w:rPr>
            </w:pPr>
            <w:r>
              <w:rPr>
                <w:szCs w:val="24"/>
              </w:rPr>
              <w:t>4,000</w:t>
            </w:r>
          </w:p>
        </w:tc>
        <w:tc>
          <w:tcPr>
            <w:tcW w:w="1417" w:type="dxa"/>
            <w:vAlign w:val="center"/>
          </w:tcPr>
          <w:p w14:paraId="14766B46" w14:textId="075A1522" w:rsidR="005E658A" w:rsidRPr="00670646" w:rsidRDefault="005E658A" w:rsidP="005E658A">
            <w:pPr>
              <w:tabs>
                <w:tab w:val="decimal" w:pos="888"/>
              </w:tabs>
              <w:jc w:val="right"/>
              <w:rPr>
                <w:szCs w:val="24"/>
              </w:rPr>
            </w:pPr>
            <w:r w:rsidRPr="00670646">
              <w:rPr>
                <w:szCs w:val="24"/>
              </w:rPr>
              <w:t>3,970</w:t>
            </w:r>
          </w:p>
        </w:tc>
      </w:tr>
      <w:tr w:rsidR="005E658A" w:rsidRPr="00D948C1" w14:paraId="78CB136D" w14:textId="77777777" w:rsidTr="00DD63D7">
        <w:tc>
          <w:tcPr>
            <w:tcW w:w="4111" w:type="dxa"/>
          </w:tcPr>
          <w:p w14:paraId="36870B06" w14:textId="77777777" w:rsidR="005E658A" w:rsidRPr="00D948C1" w:rsidRDefault="005E658A" w:rsidP="005E658A">
            <w:pPr>
              <w:jc w:val="both"/>
              <w:rPr>
                <w:szCs w:val="24"/>
              </w:rPr>
            </w:pPr>
            <w:r w:rsidRPr="00D948C1">
              <w:rPr>
                <w:szCs w:val="24"/>
              </w:rPr>
              <w:t>Benefits paid</w:t>
            </w:r>
          </w:p>
        </w:tc>
        <w:tc>
          <w:tcPr>
            <w:tcW w:w="1275" w:type="dxa"/>
            <w:vAlign w:val="center"/>
          </w:tcPr>
          <w:p w14:paraId="75BEB3C7" w14:textId="11CB48E1" w:rsidR="005E658A" w:rsidRPr="00670646" w:rsidRDefault="004933A6" w:rsidP="005E658A">
            <w:pPr>
              <w:tabs>
                <w:tab w:val="decimal" w:pos="888"/>
              </w:tabs>
              <w:jc w:val="right"/>
              <w:rPr>
                <w:szCs w:val="24"/>
              </w:rPr>
            </w:pPr>
            <w:r>
              <w:rPr>
                <w:szCs w:val="24"/>
              </w:rPr>
              <w:t>(3,046)</w:t>
            </w:r>
          </w:p>
        </w:tc>
        <w:tc>
          <w:tcPr>
            <w:tcW w:w="1418" w:type="dxa"/>
            <w:vAlign w:val="center"/>
          </w:tcPr>
          <w:p w14:paraId="3003C7E3" w14:textId="04C1EC8E" w:rsidR="005E658A" w:rsidRPr="00670646" w:rsidRDefault="005E658A" w:rsidP="005E658A">
            <w:pPr>
              <w:tabs>
                <w:tab w:val="decimal" w:pos="888"/>
              </w:tabs>
              <w:jc w:val="right"/>
              <w:rPr>
                <w:szCs w:val="24"/>
              </w:rPr>
            </w:pPr>
            <w:r w:rsidRPr="00670646">
              <w:rPr>
                <w:szCs w:val="24"/>
              </w:rPr>
              <w:t>(2,386)</w:t>
            </w:r>
          </w:p>
        </w:tc>
        <w:tc>
          <w:tcPr>
            <w:tcW w:w="1276" w:type="dxa"/>
            <w:vAlign w:val="center"/>
          </w:tcPr>
          <w:p w14:paraId="1C182D34" w14:textId="2642DE62" w:rsidR="005E658A" w:rsidRPr="00670646" w:rsidRDefault="00960D4D" w:rsidP="005E658A">
            <w:pPr>
              <w:tabs>
                <w:tab w:val="decimal" w:pos="888"/>
              </w:tabs>
              <w:jc w:val="right"/>
              <w:rPr>
                <w:szCs w:val="24"/>
              </w:rPr>
            </w:pPr>
            <w:r>
              <w:rPr>
                <w:szCs w:val="24"/>
              </w:rPr>
              <w:t>(36,020)</w:t>
            </w:r>
          </w:p>
        </w:tc>
        <w:tc>
          <w:tcPr>
            <w:tcW w:w="1417" w:type="dxa"/>
            <w:vAlign w:val="center"/>
          </w:tcPr>
          <w:p w14:paraId="668AE048" w14:textId="1E95200F" w:rsidR="005E658A" w:rsidRPr="00670646" w:rsidRDefault="005E658A" w:rsidP="005E658A">
            <w:pPr>
              <w:tabs>
                <w:tab w:val="decimal" w:pos="888"/>
              </w:tabs>
              <w:jc w:val="right"/>
              <w:rPr>
                <w:szCs w:val="24"/>
              </w:rPr>
            </w:pPr>
            <w:r w:rsidRPr="00670646">
              <w:rPr>
                <w:szCs w:val="24"/>
              </w:rPr>
              <w:t>(34,900)</w:t>
            </w:r>
          </w:p>
        </w:tc>
      </w:tr>
      <w:tr w:rsidR="005E658A" w:rsidRPr="00D948C1" w14:paraId="3D133BF7" w14:textId="77777777" w:rsidTr="00DD63D7">
        <w:tc>
          <w:tcPr>
            <w:tcW w:w="4111" w:type="dxa"/>
          </w:tcPr>
          <w:p w14:paraId="21B544AB" w14:textId="77777777" w:rsidR="005E658A" w:rsidRPr="00D948C1" w:rsidRDefault="005E658A" w:rsidP="005E658A">
            <w:pPr>
              <w:jc w:val="both"/>
              <w:rPr>
                <w:b/>
                <w:bCs/>
                <w:szCs w:val="24"/>
              </w:rPr>
            </w:pPr>
            <w:r w:rsidRPr="00D948C1">
              <w:rPr>
                <w:b/>
                <w:bCs/>
                <w:szCs w:val="24"/>
              </w:rPr>
              <w:t xml:space="preserve">Closing balance </w:t>
            </w:r>
            <w:proofErr w:type="gramStart"/>
            <w:r w:rsidRPr="00D948C1">
              <w:rPr>
                <w:b/>
                <w:bCs/>
                <w:szCs w:val="24"/>
              </w:rPr>
              <w:t>at</w:t>
            </w:r>
            <w:proofErr w:type="gramEnd"/>
            <w:r w:rsidRPr="00D948C1">
              <w:rPr>
                <w:b/>
                <w:bCs/>
                <w:szCs w:val="24"/>
              </w:rPr>
              <w:t xml:space="preserve"> 31 March</w:t>
            </w:r>
          </w:p>
        </w:tc>
        <w:tc>
          <w:tcPr>
            <w:tcW w:w="1275" w:type="dxa"/>
            <w:vAlign w:val="center"/>
          </w:tcPr>
          <w:p w14:paraId="42182891" w14:textId="3C67CE25" w:rsidR="005E658A" w:rsidRPr="00670646" w:rsidRDefault="0008742E" w:rsidP="005E658A">
            <w:pPr>
              <w:tabs>
                <w:tab w:val="decimal" w:pos="888"/>
              </w:tabs>
              <w:jc w:val="right"/>
              <w:rPr>
                <w:b/>
                <w:bCs/>
                <w:szCs w:val="24"/>
              </w:rPr>
            </w:pPr>
            <w:r>
              <w:rPr>
                <w:b/>
                <w:bCs/>
                <w:szCs w:val="24"/>
              </w:rPr>
              <w:t>86,467</w:t>
            </w:r>
          </w:p>
        </w:tc>
        <w:tc>
          <w:tcPr>
            <w:tcW w:w="1418" w:type="dxa"/>
            <w:vAlign w:val="center"/>
          </w:tcPr>
          <w:p w14:paraId="33D9115A" w14:textId="26B2D811" w:rsidR="005E658A" w:rsidRPr="00670646" w:rsidRDefault="005E658A" w:rsidP="005E658A">
            <w:pPr>
              <w:tabs>
                <w:tab w:val="decimal" w:pos="888"/>
              </w:tabs>
              <w:jc w:val="right"/>
              <w:rPr>
                <w:b/>
                <w:bCs/>
                <w:szCs w:val="24"/>
              </w:rPr>
            </w:pPr>
            <w:r w:rsidRPr="00670646">
              <w:rPr>
                <w:b/>
                <w:bCs/>
                <w:szCs w:val="24"/>
              </w:rPr>
              <w:t>85,394</w:t>
            </w:r>
          </w:p>
        </w:tc>
        <w:tc>
          <w:tcPr>
            <w:tcW w:w="1276" w:type="dxa"/>
            <w:vAlign w:val="center"/>
          </w:tcPr>
          <w:p w14:paraId="297B78E5" w14:textId="6E5A294B" w:rsidR="005E658A" w:rsidRPr="00670646" w:rsidRDefault="00960D4D" w:rsidP="005E658A">
            <w:pPr>
              <w:tabs>
                <w:tab w:val="decimal" w:pos="888"/>
              </w:tabs>
              <w:jc w:val="right"/>
              <w:rPr>
                <w:b/>
                <w:bCs/>
                <w:szCs w:val="24"/>
              </w:rPr>
            </w:pPr>
            <w:r>
              <w:rPr>
                <w:b/>
                <w:bCs/>
                <w:szCs w:val="24"/>
              </w:rPr>
              <w:t>-</w:t>
            </w:r>
          </w:p>
        </w:tc>
        <w:tc>
          <w:tcPr>
            <w:tcW w:w="1417" w:type="dxa"/>
            <w:vAlign w:val="center"/>
          </w:tcPr>
          <w:p w14:paraId="00D9C2CF" w14:textId="47E142B1" w:rsidR="005E658A" w:rsidRPr="00670646" w:rsidRDefault="005E658A" w:rsidP="005E658A">
            <w:pPr>
              <w:tabs>
                <w:tab w:val="decimal" w:pos="888"/>
              </w:tabs>
              <w:jc w:val="right"/>
              <w:rPr>
                <w:b/>
                <w:bCs/>
                <w:szCs w:val="24"/>
              </w:rPr>
            </w:pPr>
            <w:r w:rsidRPr="00670646">
              <w:rPr>
                <w:b/>
                <w:bCs/>
                <w:szCs w:val="24"/>
              </w:rPr>
              <w:t>-</w:t>
            </w:r>
          </w:p>
        </w:tc>
      </w:tr>
    </w:tbl>
    <w:p w14:paraId="25F0587C" w14:textId="77777777" w:rsidR="0084441F" w:rsidRPr="00D948C1" w:rsidRDefault="0084441F" w:rsidP="00AC5949">
      <w:pPr>
        <w:ind w:left="709"/>
        <w:rPr>
          <w:szCs w:val="24"/>
        </w:rPr>
      </w:pPr>
    </w:p>
    <w:p w14:paraId="3881E3F7" w14:textId="2FE49F5B" w:rsidR="00D90216" w:rsidRPr="00670646" w:rsidRDefault="00D90216" w:rsidP="00AC5949">
      <w:pPr>
        <w:ind w:left="709"/>
      </w:pPr>
      <w:r w:rsidRPr="00C75A59">
        <w:t xml:space="preserve">The expected return on scheme assets is determined by considering the expected returns available on the assets underlying the current investment policy. Expected yields on fixed interest investments are based on gross redemption yields at the Balance Sheet date. </w:t>
      </w:r>
      <w:r w:rsidR="00607136" w:rsidRPr="00C75A59">
        <w:t>E</w:t>
      </w:r>
      <w:r w:rsidRPr="00C75A59">
        <w:t>xpected returns on equity investments reflect long</w:t>
      </w:r>
      <w:r w:rsidR="00A16368" w:rsidRPr="00C75A59">
        <w:t>-</w:t>
      </w:r>
      <w:r w:rsidRPr="00C75A59">
        <w:t>term rates of return experienced in the respective markets.</w:t>
      </w:r>
      <w:r w:rsidR="00C72A7E" w:rsidRPr="00C75A59">
        <w:t xml:space="preserve"> </w:t>
      </w:r>
      <w:r w:rsidRPr="00C75A59">
        <w:t xml:space="preserve">The actual return on scheme assets in the year was </w:t>
      </w:r>
      <w:r w:rsidR="00C91669" w:rsidRPr="00C75A59">
        <w:t>a gain</w:t>
      </w:r>
      <w:r w:rsidR="006D7616" w:rsidRPr="00C75A59">
        <w:t xml:space="preserve"> of </w:t>
      </w:r>
      <w:r w:rsidR="00961EB1" w:rsidRPr="00C75A59">
        <w:t>£</w:t>
      </w:r>
      <w:r w:rsidR="00152858" w:rsidRPr="00C75A59">
        <w:t>3.201</w:t>
      </w:r>
      <w:r w:rsidR="00C0111A">
        <w:t xml:space="preserve"> </w:t>
      </w:r>
      <w:r w:rsidR="00961EB1" w:rsidRPr="00C75A59">
        <w:t>m</w:t>
      </w:r>
      <w:r w:rsidR="00C0111A">
        <w:t>illion</w:t>
      </w:r>
      <w:r w:rsidR="00961EB1" w:rsidRPr="00C75A59">
        <w:t xml:space="preserve"> </w:t>
      </w:r>
      <w:r w:rsidR="002A3016" w:rsidRPr="00C75A59">
        <w:t>(</w:t>
      </w:r>
      <w:r w:rsidR="001A42DD">
        <w:t>2024-25</w:t>
      </w:r>
      <w:r w:rsidR="00FF0080" w:rsidRPr="00C75A59">
        <w:t>:</w:t>
      </w:r>
      <w:r w:rsidRPr="00C75A59">
        <w:t xml:space="preserve"> gain of </w:t>
      </w:r>
      <w:r w:rsidR="00AA6508" w:rsidRPr="00C75A59">
        <w:t>£</w:t>
      </w:r>
      <w:r w:rsidR="003E0CCE" w:rsidRPr="00C75A59">
        <w:t>2.677</w:t>
      </w:r>
      <w:r w:rsidR="00C0111A">
        <w:t xml:space="preserve"> </w:t>
      </w:r>
      <w:r w:rsidR="00E66DE8" w:rsidRPr="00C75A59">
        <w:t>m</w:t>
      </w:r>
      <w:r w:rsidR="00C0111A">
        <w:t>illion</w:t>
      </w:r>
      <w:r w:rsidRPr="00C75A59">
        <w:t>).</w:t>
      </w:r>
    </w:p>
    <w:p w14:paraId="6A134296" w14:textId="6AB0968E" w:rsidR="00FF0080" w:rsidRPr="00C75A59" w:rsidRDefault="00FF0080" w:rsidP="00AC5949">
      <w:pPr>
        <w:ind w:left="709"/>
      </w:pPr>
    </w:p>
    <w:p w14:paraId="46EB27C2" w14:textId="77777777" w:rsidR="00EB4B3B" w:rsidRPr="00C75A59" w:rsidRDefault="00EB4B3B" w:rsidP="00EB4B3B">
      <w:pPr>
        <w:ind w:left="709"/>
        <w:rPr>
          <w:b/>
          <w:bCs/>
          <w:szCs w:val="24"/>
        </w:rPr>
      </w:pPr>
      <w:r w:rsidRPr="00C75A59">
        <w:rPr>
          <w:b/>
          <w:bCs/>
          <w:szCs w:val="24"/>
        </w:rPr>
        <w:t>Pension Asset Ceiling</w:t>
      </w:r>
    </w:p>
    <w:p w14:paraId="466119CA" w14:textId="77777777" w:rsidR="00EB4B3B" w:rsidRPr="00C75A59" w:rsidRDefault="00EB4B3B" w:rsidP="00EB4B3B">
      <w:pPr>
        <w:ind w:left="709"/>
        <w:rPr>
          <w:szCs w:val="24"/>
        </w:rPr>
      </w:pPr>
    </w:p>
    <w:p w14:paraId="16272BD5" w14:textId="77777777" w:rsidR="00EB4B3B" w:rsidRPr="00C75A59" w:rsidRDefault="00EB4B3B" w:rsidP="00EB4B3B">
      <w:pPr>
        <w:ind w:left="709"/>
        <w:rPr>
          <w:szCs w:val="24"/>
        </w:rPr>
      </w:pPr>
      <w:r w:rsidRPr="00C75A59">
        <w:rPr>
          <w:szCs w:val="24"/>
        </w:rPr>
        <w:t>An asset ceiling test limits the amount of the net pension asset that can be recognised to the lower of the amount of the net pension asset or the present value of any economic benefits available in the form of refunds or reductions in future contributions to the plan.</w:t>
      </w:r>
    </w:p>
    <w:p w14:paraId="77C94EDC" w14:textId="77777777" w:rsidR="00EB4B3B" w:rsidRPr="00C75A59" w:rsidRDefault="00EB4B3B" w:rsidP="00EB4B3B">
      <w:pPr>
        <w:ind w:left="709"/>
        <w:rPr>
          <w:szCs w:val="24"/>
        </w:rPr>
      </w:pPr>
    </w:p>
    <w:p w14:paraId="00E34EE1" w14:textId="30EA19A1" w:rsidR="00EB4B3B" w:rsidRPr="00D948C1" w:rsidRDefault="00EB4B3B" w:rsidP="00EB4B3B">
      <w:pPr>
        <w:ind w:left="709"/>
        <w:rPr>
          <w:szCs w:val="24"/>
        </w:rPr>
      </w:pPr>
      <w:r w:rsidRPr="00C75A59">
        <w:rPr>
          <w:szCs w:val="24"/>
        </w:rPr>
        <w:t>The Authority’s LGPS asset ceiling has been calculated using the present value of accounting service cost in perpetuity less the total of present value of primary contributions in perpetuity and present value of secondary contributions over the recovery period.</w:t>
      </w:r>
    </w:p>
    <w:p w14:paraId="2B55B215" w14:textId="77777777" w:rsidR="00EB4B3B" w:rsidRPr="00D948C1" w:rsidRDefault="00EB4B3B" w:rsidP="00EB4B3B">
      <w:pPr>
        <w:ind w:left="709"/>
        <w:rPr>
          <w:szCs w:val="24"/>
        </w:rPr>
      </w:pPr>
    </w:p>
    <w:tbl>
      <w:tblPr>
        <w:tblStyle w:val="TableGrid"/>
        <w:tblW w:w="0" w:type="auto"/>
        <w:tblInd w:w="709" w:type="dxa"/>
        <w:tblLook w:val="04A0" w:firstRow="1" w:lastRow="0" w:firstColumn="1" w:lastColumn="0" w:noHBand="0" w:noVBand="1"/>
      </w:tblPr>
      <w:tblGrid>
        <w:gridCol w:w="5382"/>
        <w:gridCol w:w="1701"/>
        <w:gridCol w:w="1701"/>
      </w:tblGrid>
      <w:tr w:rsidR="00EB4B3B" w:rsidRPr="00D948C1" w14:paraId="50C2BB3E" w14:textId="77777777" w:rsidTr="00611673">
        <w:trPr>
          <w:tblHeader/>
        </w:trPr>
        <w:tc>
          <w:tcPr>
            <w:tcW w:w="5382" w:type="dxa"/>
            <w:shd w:val="clear" w:color="auto" w:fill="BD2716"/>
          </w:tcPr>
          <w:p w14:paraId="119D86C8" w14:textId="07EC79FE" w:rsidR="00EB4B3B" w:rsidRPr="00D948C1" w:rsidRDefault="00EB4B3B" w:rsidP="00F7299E">
            <w:pPr>
              <w:rPr>
                <w:color w:val="FFFFFF" w:themeColor="background1"/>
                <w:szCs w:val="24"/>
              </w:rPr>
            </w:pPr>
          </w:p>
        </w:tc>
        <w:tc>
          <w:tcPr>
            <w:tcW w:w="1701" w:type="dxa"/>
            <w:shd w:val="clear" w:color="auto" w:fill="BD2716"/>
            <w:vAlign w:val="center"/>
          </w:tcPr>
          <w:p w14:paraId="1AE58B6A" w14:textId="07B0FBCA" w:rsidR="00EB4B3B" w:rsidRPr="00D948C1" w:rsidRDefault="001A42DD" w:rsidP="00611673">
            <w:pPr>
              <w:jc w:val="right"/>
              <w:rPr>
                <w:color w:val="FFFFFF" w:themeColor="background1"/>
                <w:szCs w:val="24"/>
              </w:rPr>
            </w:pPr>
            <w:r>
              <w:rPr>
                <w:color w:val="FFFFFF" w:themeColor="background1"/>
                <w:szCs w:val="24"/>
              </w:rPr>
              <w:t>2025-26</w:t>
            </w:r>
          </w:p>
          <w:p w14:paraId="634859A5" w14:textId="2968F8BA" w:rsidR="00053629" w:rsidRPr="00D948C1" w:rsidRDefault="00053629" w:rsidP="00611673">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20272A59" w14:textId="62B07F0D" w:rsidR="000A0445" w:rsidRPr="00D948C1" w:rsidRDefault="001A42DD" w:rsidP="000A0445">
            <w:pPr>
              <w:jc w:val="right"/>
              <w:rPr>
                <w:color w:val="FFFFFF" w:themeColor="background1"/>
                <w:szCs w:val="24"/>
              </w:rPr>
            </w:pPr>
            <w:r>
              <w:rPr>
                <w:color w:val="FFFFFF" w:themeColor="background1"/>
                <w:szCs w:val="24"/>
              </w:rPr>
              <w:t>2024-25</w:t>
            </w:r>
          </w:p>
          <w:p w14:paraId="69A3ECDD" w14:textId="19905E9E" w:rsidR="00053629" w:rsidRPr="00D948C1" w:rsidRDefault="000A0445" w:rsidP="000A0445">
            <w:pPr>
              <w:jc w:val="right"/>
              <w:rPr>
                <w:color w:val="FFFFFF" w:themeColor="background1"/>
                <w:szCs w:val="24"/>
              </w:rPr>
            </w:pPr>
            <w:r w:rsidRPr="00D948C1">
              <w:rPr>
                <w:color w:val="FFFFFF" w:themeColor="background1"/>
                <w:szCs w:val="24"/>
              </w:rPr>
              <w:t>£000</w:t>
            </w:r>
          </w:p>
        </w:tc>
      </w:tr>
      <w:tr w:rsidR="000A0445" w:rsidRPr="00D948C1" w14:paraId="6D3FFEA4" w14:textId="77777777" w:rsidTr="00DD63D7">
        <w:tc>
          <w:tcPr>
            <w:tcW w:w="5382" w:type="dxa"/>
          </w:tcPr>
          <w:p w14:paraId="0999EA9E" w14:textId="7294F58B" w:rsidR="000A0445" w:rsidRPr="00D948C1" w:rsidRDefault="000A0445" w:rsidP="000A0445">
            <w:pPr>
              <w:rPr>
                <w:szCs w:val="24"/>
              </w:rPr>
            </w:pPr>
            <w:r w:rsidRPr="00D948C1">
              <w:rPr>
                <w:szCs w:val="24"/>
              </w:rPr>
              <w:t>Gross defined benefit asset</w:t>
            </w:r>
            <w:r w:rsidR="00E24BF8">
              <w:rPr>
                <w:szCs w:val="24"/>
              </w:rPr>
              <w:t xml:space="preserve"> or </w:t>
            </w:r>
            <w:r w:rsidRPr="00D948C1">
              <w:rPr>
                <w:szCs w:val="24"/>
              </w:rPr>
              <w:t>(liability)</w:t>
            </w:r>
          </w:p>
        </w:tc>
        <w:tc>
          <w:tcPr>
            <w:tcW w:w="1701" w:type="dxa"/>
            <w:vAlign w:val="center"/>
          </w:tcPr>
          <w:p w14:paraId="70CA5815" w14:textId="408EAD69" w:rsidR="000A0445" w:rsidRPr="00294859" w:rsidRDefault="008E2CDA" w:rsidP="000A0445">
            <w:pPr>
              <w:jc w:val="right"/>
              <w:rPr>
                <w:szCs w:val="24"/>
              </w:rPr>
            </w:pPr>
            <w:r>
              <w:rPr>
                <w:szCs w:val="24"/>
              </w:rPr>
              <w:t>29,</w:t>
            </w:r>
            <w:r w:rsidR="00ED310B">
              <w:rPr>
                <w:szCs w:val="24"/>
              </w:rPr>
              <w:t>9</w:t>
            </w:r>
            <w:r>
              <w:rPr>
                <w:szCs w:val="24"/>
              </w:rPr>
              <w:t>07</w:t>
            </w:r>
          </w:p>
        </w:tc>
        <w:tc>
          <w:tcPr>
            <w:tcW w:w="1701" w:type="dxa"/>
            <w:vAlign w:val="center"/>
          </w:tcPr>
          <w:p w14:paraId="1DA20FAC" w14:textId="2B909162" w:rsidR="000A0445" w:rsidRPr="00670646" w:rsidRDefault="000A0445" w:rsidP="000A0445">
            <w:pPr>
              <w:jc w:val="right"/>
              <w:rPr>
                <w:szCs w:val="24"/>
              </w:rPr>
            </w:pPr>
            <w:r w:rsidRPr="00294859">
              <w:rPr>
                <w:szCs w:val="24"/>
              </w:rPr>
              <w:t>31,977</w:t>
            </w:r>
          </w:p>
        </w:tc>
      </w:tr>
      <w:tr w:rsidR="000A0445" w:rsidRPr="00D948C1" w14:paraId="2C6F1C66" w14:textId="77777777" w:rsidTr="00DD63D7">
        <w:tc>
          <w:tcPr>
            <w:tcW w:w="5382" w:type="dxa"/>
          </w:tcPr>
          <w:p w14:paraId="4B18CC85" w14:textId="77777777" w:rsidR="000A0445" w:rsidRPr="00D948C1" w:rsidRDefault="000A0445" w:rsidP="000A0445">
            <w:pPr>
              <w:rPr>
                <w:szCs w:val="24"/>
              </w:rPr>
            </w:pPr>
            <w:r w:rsidRPr="00D948C1">
              <w:rPr>
                <w:szCs w:val="24"/>
              </w:rPr>
              <w:t>Authority’s asset ceiling</w:t>
            </w:r>
          </w:p>
        </w:tc>
        <w:tc>
          <w:tcPr>
            <w:tcW w:w="1701" w:type="dxa"/>
            <w:vAlign w:val="center"/>
          </w:tcPr>
          <w:p w14:paraId="116AD65F" w14:textId="56892320" w:rsidR="000A0445" w:rsidRPr="00294859" w:rsidRDefault="00943696" w:rsidP="000A0445">
            <w:pPr>
              <w:jc w:val="right"/>
              <w:rPr>
                <w:szCs w:val="24"/>
              </w:rPr>
            </w:pPr>
            <w:r>
              <w:rPr>
                <w:szCs w:val="24"/>
              </w:rPr>
              <w:t>-</w:t>
            </w:r>
          </w:p>
        </w:tc>
        <w:tc>
          <w:tcPr>
            <w:tcW w:w="1701" w:type="dxa"/>
            <w:vAlign w:val="center"/>
          </w:tcPr>
          <w:p w14:paraId="4AAEBC00" w14:textId="28D840AA" w:rsidR="000A0445" w:rsidRPr="00670646" w:rsidRDefault="000A0445" w:rsidP="000A0445">
            <w:pPr>
              <w:jc w:val="right"/>
              <w:rPr>
                <w:szCs w:val="24"/>
              </w:rPr>
            </w:pPr>
            <w:r w:rsidRPr="00294859">
              <w:rPr>
                <w:szCs w:val="24"/>
              </w:rPr>
              <w:t>-</w:t>
            </w:r>
          </w:p>
        </w:tc>
      </w:tr>
      <w:tr w:rsidR="000A0445" w:rsidRPr="00D948C1" w14:paraId="2A81B3E2" w14:textId="77777777" w:rsidTr="00DD63D7">
        <w:tc>
          <w:tcPr>
            <w:tcW w:w="5382" w:type="dxa"/>
          </w:tcPr>
          <w:p w14:paraId="3DA14B13" w14:textId="77777777" w:rsidR="000A0445" w:rsidRPr="00D948C1" w:rsidRDefault="000A0445" w:rsidP="000A0445">
            <w:pPr>
              <w:rPr>
                <w:szCs w:val="24"/>
              </w:rPr>
            </w:pPr>
            <w:r w:rsidRPr="00D948C1">
              <w:rPr>
                <w:szCs w:val="24"/>
              </w:rPr>
              <w:t>Adjustment for asset ceiling</w:t>
            </w:r>
          </w:p>
        </w:tc>
        <w:tc>
          <w:tcPr>
            <w:tcW w:w="1701" w:type="dxa"/>
            <w:vAlign w:val="center"/>
          </w:tcPr>
          <w:p w14:paraId="6FC9DF75" w14:textId="3E88FD12" w:rsidR="000A0445" w:rsidRPr="00B409BE" w:rsidRDefault="007107D9" w:rsidP="000A0445">
            <w:pPr>
              <w:jc w:val="right"/>
              <w:rPr>
                <w:szCs w:val="24"/>
              </w:rPr>
            </w:pPr>
            <w:r w:rsidRPr="00B409BE">
              <w:rPr>
                <w:szCs w:val="24"/>
              </w:rPr>
              <w:t>(</w:t>
            </w:r>
            <w:r w:rsidR="00470E5F" w:rsidRPr="00B409BE">
              <w:rPr>
                <w:szCs w:val="24"/>
              </w:rPr>
              <w:t>29,962</w:t>
            </w:r>
            <w:r w:rsidRPr="00B409BE">
              <w:rPr>
                <w:szCs w:val="24"/>
              </w:rPr>
              <w:t>)</w:t>
            </w:r>
          </w:p>
        </w:tc>
        <w:tc>
          <w:tcPr>
            <w:tcW w:w="1701" w:type="dxa"/>
            <w:vAlign w:val="center"/>
          </w:tcPr>
          <w:p w14:paraId="2E8E7741" w14:textId="1F1EE0C5" w:rsidR="000A0445" w:rsidRPr="00B409BE" w:rsidRDefault="000A0445" w:rsidP="000A0445">
            <w:pPr>
              <w:jc w:val="right"/>
              <w:rPr>
                <w:szCs w:val="24"/>
              </w:rPr>
            </w:pPr>
            <w:r w:rsidRPr="00B409BE">
              <w:rPr>
                <w:szCs w:val="24"/>
              </w:rPr>
              <w:t>(32,061)</w:t>
            </w:r>
          </w:p>
        </w:tc>
      </w:tr>
      <w:tr w:rsidR="000A0445" w:rsidRPr="00D948C1" w14:paraId="68268CD9" w14:textId="77777777" w:rsidTr="00DD63D7">
        <w:tc>
          <w:tcPr>
            <w:tcW w:w="5382" w:type="dxa"/>
          </w:tcPr>
          <w:p w14:paraId="4CDEB294" w14:textId="362C6C4C" w:rsidR="000A0445" w:rsidRPr="00D948C1" w:rsidRDefault="000A0445" w:rsidP="000A0445">
            <w:pPr>
              <w:rPr>
                <w:szCs w:val="24"/>
              </w:rPr>
            </w:pPr>
            <w:r w:rsidRPr="00D948C1">
              <w:rPr>
                <w:szCs w:val="24"/>
              </w:rPr>
              <w:t xml:space="preserve">Net defined benefit </w:t>
            </w:r>
            <w:proofErr w:type="gramStart"/>
            <w:r w:rsidRPr="00D948C1">
              <w:rPr>
                <w:szCs w:val="24"/>
              </w:rPr>
              <w:t>asset(</w:t>
            </w:r>
            <w:proofErr w:type="gramEnd"/>
            <w:r w:rsidR="00E24BF8">
              <w:rPr>
                <w:szCs w:val="24"/>
              </w:rPr>
              <w:t xml:space="preserve">or </w:t>
            </w:r>
            <w:r w:rsidRPr="00D948C1">
              <w:rPr>
                <w:szCs w:val="24"/>
              </w:rPr>
              <w:t>liability)</w:t>
            </w:r>
          </w:p>
        </w:tc>
        <w:tc>
          <w:tcPr>
            <w:tcW w:w="1701" w:type="dxa"/>
            <w:vAlign w:val="center"/>
          </w:tcPr>
          <w:p w14:paraId="1675AA90" w14:textId="30EB1BA4" w:rsidR="000A0445" w:rsidRPr="00294859" w:rsidRDefault="00572440" w:rsidP="000A0445">
            <w:pPr>
              <w:jc w:val="right"/>
              <w:rPr>
                <w:szCs w:val="24"/>
              </w:rPr>
            </w:pPr>
            <w:r>
              <w:rPr>
                <w:szCs w:val="24"/>
              </w:rPr>
              <w:t>(55)</w:t>
            </w:r>
          </w:p>
        </w:tc>
        <w:tc>
          <w:tcPr>
            <w:tcW w:w="1701" w:type="dxa"/>
            <w:vAlign w:val="center"/>
          </w:tcPr>
          <w:p w14:paraId="3B1D2523" w14:textId="18876C06" w:rsidR="000A0445" w:rsidRPr="00670646" w:rsidRDefault="000A0445" w:rsidP="000A0445">
            <w:pPr>
              <w:jc w:val="right"/>
              <w:rPr>
                <w:szCs w:val="24"/>
              </w:rPr>
            </w:pPr>
            <w:r w:rsidRPr="00294859">
              <w:rPr>
                <w:szCs w:val="24"/>
              </w:rPr>
              <w:t>(</w:t>
            </w:r>
            <w:r w:rsidRPr="00DE3FCE">
              <w:rPr>
                <w:szCs w:val="24"/>
              </w:rPr>
              <w:t>84)</w:t>
            </w:r>
          </w:p>
        </w:tc>
      </w:tr>
    </w:tbl>
    <w:p w14:paraId="6DE8132A" w14:textId="7CDF4FB2" w:rsidR="007F5EEE" w:rsidRPr="00D948C1" w:rsidRDefault="007F5EEE">
      <w:pPr>
        <w:rPr>
          <w:b/>
          <w:szCs w:val="24"/>
        </w:rPr>
      </w:pPr>
    </w:p>
    <w:p w14:paraId="7FEE6CC0" w14:textId="72B6E7D0" w:rsidR="00D90216" w:rsidRPr="00D948C1" w:rsidRDefault="00D90216" w:rsidP="00AC5949">
      <w:pPr>
        <w:ind w:left="709"/>
        <w:rPr>
          <w:b/>
          <w:szCs w:val="24"/>
        </w:rPr>
      </w:pPr>
      <w:r w:rsidRPr="00D948C1">
        <w:rPr>
          <w:b/>
          <w:szCs w:val="24"/>
        </w:rPr>
        <w:t>Scheme history</w:t>
      </w:r>
    </w:p>
    <w:p w14:paraId="78CEF00B" w14:textId="77777777" w:rsidR="00D90216" w:rsidRPr="00D948C1" w:rsidRDefault="00D90216" w:rsidP="00D90216">
      <w:pPr>
        <w:ind w:left="709"/>
        <w:jc w:val="both"/>
        <w:rPr>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6C17DC" w:rsidRPr="00D948C1" w14:paraId="33F95A02" w14:textId="77777777" w:rsidTr="00611673">
        <w:trPr>
          <w:trHeight w:val="80"/>
          <w:tblHeader/>
        </w:trPr>
        <w:tc>
          <w:tcPr>
            <w:tcW w:w="3119" w:type="dxa"/>
            <w:shd w:val="clear" w:color="auto" w:fill="BD2716"/>
          </w:tcPr>
          <w:p w14:paraId="35DBBE39" w14:textId="77777777" w:rsidR="006C17DC" w:rsidRPr="00D948C1" w:rsidRDefault="006C17DC" w:rsidP="006C17DC">
            <w:pPr>
              <w:jc w:val="both"/>
              <w:rPr>
                <w:color w:val="FFFFFF" w:themeColor="background1"/>
                <w:szCs w:val="24"/>
              </w:rPr>
            </w:pPr>
          </w:p>
        </w:tc>
        <w:tc>
          <w:tcPr>
            <w:tcW w:w="1378" w:type="dxa"/>
            <w:shd w:val="clear" w:color="auto" w:fill="BD2716"/>
            <w:vAlign w:val="center"/>
          </w:tcPr>
          <w:p w14:paraId="7BACB080" w14:textId="5187E3FC" w:rsidR="006C17DC" w:rsidRPr="00D948C1" w:rsidRDefault="001A42DD" w:rsidP="006C17DC">
            <w:pPr>
              <w:jc w:val="right"/>
              <w:rPr>
                <w:color w:val="FFFFFF" w:themeColor="background1"/>
                <w:szCs w:val="24"/>
              </w:rPr>
            </w:pPr>
            <w:r>
              <w:rPr>
                <w:color w:val="FFFFFF" w:themeColor="background1"/>
                <w:szCs w:val="24"/>
              </w:rPr>
              <w:t>2025-26</w:t>
            </w:r>
          </w:p>
          <w:p w14:paraId="4A1D5DA8" w14:textId="72B40108" w:rsidR="006C17DC" w:rsidRPr="00D948C1" w:rsidRDefault="006C17DC" w:rsidP="006C17DC">
            <w:pPr>
              <w:jc w:val="right"/>
              <w:rPr>
                <w:color w:val="FFFFFF" w:themeColor="background1"/>
                <w:szCs w:val="24"/>
              </w:rPr>
            </w:pPr>
            <w:r w:rsidRPr="00D948C1">
              <w:rPr>
                <w:color w:val="FFFFFF" w:themeColor="background1"/>
                <w:szCs w:val="24"/>
              </w:rPr>
              <w:t>£000</w:t>
            </w:r>
          </w:p>
        </w:tc>
        <w:tc>
          <w:tcPr>
            <w:tcW w:w="1470" w:type="dxa"/>
            <w:shd w:val="clear" w:color="auto" w:fill="BD2716"/>
            <w:vAlign w:val="center"/>
          </w:tcPr>
          <w:p w14:paraId="0F79EEB6" w14:textId="2E51EB47" w:rsidR="006C17DC" w:rsidRPr="00D948C1" w:rsidRDefault="001A42DD" w:rsidP="006C17DC">
            <w:pPr>
              <w:jc w:val="right"/>
              <w:rPr>
                <w:color w:val="FFFFFF" w:themeColor="background1"/>
                <w:szCs w:val="24"/>
              </w:rPr>
            </w:pPr>
            <w:r>
              <w:rPr>
                <w:color w:val="FFFFFF" w:themeColor="background1"/>
                <w:szCs w:val="24"/>
              </w:rPr>
              <w:t>2024-25</w:t>
            </w:r>
          </w:p>
          <w:p w14:paraId="639EE4C6" w14:textId="53C7657A" w:rsidR="006C17DC" w:rsidRPr="00D948C1" w:rsidRDefault="006C17DC" w:rsidP="006C17DC">
            <w:pPr>
              <w:jc w:val="right"/>
              <w:rPr>
                <w:color w:val="FFFFFF" w:themeColor="background1"/>
                <w:szCs w:val="24"/>
              </w:rPr>
            </w:pPr>
            <w:r w:rsidRPr="00D948C1">
              <w:rPr>
                <w:color w:val="FFFFFF" w:themeColor="background1"/>
                <w:szCs w:val="24"/>
              </w:rPr>
              <w:t>£000</w:t>
            </w:r>
          </w:p>
        </w:tc>
        <w:tc>
          <w:tcPr>
            <w:tcW w:w="1296" w:type="dxa"/>
            <w:shd w:val="clear" w:color="auto" w:fill="BD2716"/>
            <w:vAlign w:val="center"/>
          </w:tcPr>
          <w:p w14:paraId="6E148BFA" w14:textId="18D6A966" w:rsidR="006C17DC" w:rsidRPr="00D948C1" w:rsidRDefault="006C17DC" w:rsidP="006C17DC">
            <w:pPr>
              <w:jc w:val="right"/>
              <w:rPr>
                <w:color w:val="FFFFFF" w:themeColor="background1"/>
                <w:szCs w:val="24"/>
              </w:rPr>
            </w:pPr>
            <w:r w:rsidRPr="00D948C1">
              <w:rPr>
                <w:color w:val="FFFFFF" w:themeColor="background1"/>
                <w:szCs w:val="24"/>
              </w:rPr>
              <w:t>2023</w:t>
            </w:r>
            <w:r w:rsidR="00F07D9F">
              <w:rPr>
                <w:color w:val="FFFFFF" w:themeColor="background1"/>
                <w:szCs w:val="24"/>
              </w:rPr>
              <w:t>-</w:t>
            </w:r>
            <w:r w:rsidRPr="00D948C1">
              <w:rPr>
                <w:color w:val="FFFFFF" w:themeColor="background1"/>
                <w:szCs w:val="24"/>
              </w:rPr>
              <w:t>24</w:t>
            </w:r>
          </w:p>
          <w:p w14:paraId="61BB6B9A" w14:textId="254ADE33" w:rsidR="006C17DC" w:rsidRPr="00D948C1" w:rsidRDefault="006C17DC" w:rsidP="006C17DC">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26577C3A" w14:textId="30B830E9" w:rsidR="006C17DC" w:rsidRPr="00D948C1" w:rsidRDefault="006C17DC" w:rsidP="006C17DC">
            <w:pPr>
              <w:jc w:val="right"/>
              <w:rPr>
                <w:color w:val="FFFFFF" w:themeColor="background1"/>
                <w:szCs w:val="24"/>
              </w:rPr>
            </w:pPr>
            <w:r w:rsidRPr="00D948C1">
              <w:rPr>
                <w:color w:val="FFFFFF" w:themeColor="background1"/>
                <w:szCs w:val="24"/>
              </w:rPr>
              <w:t>2022</w:t>
            </w:r>
            <w:r w:rsidR="00F07D9F">
              <w:rPr>
                <w:color w:val="FFFFFF" w:themeColor="background1"/>
                <w:szCs w:val="24"/>
              </w:rPr>
              <w:t>-</w:t>
            </w:r>
            <w:r w:rsidRPr="00D948C1">
              <w:rPr>
                <w:color w:val="FFFFFF" w:themeColor="background1"/>
                <w:szCs w:val="24"/>
              </w:rPr>
              <w:t>23</w:t>
            </w:r>
          </w:p>
          <w:p w14:paraId="3BA5EB87" w14:textId="05458322" w:rsidR="006C17DC" w:rsidRPr="00D948C1" w:rsidRDefault="006C17DC" w:rsidP="006C17DC">
            <w:pPr>
              <w:jc w:val="right"/>
              <w:rPr>
                <w:color w:val="FFFFFF" w:themeColor="background1"/>
                <w:szCs w:val="24"/>
              </w:rPr>
            </w:pPr>
            <w:r w:rsidRPr="00D948C1">
              <w:rPr>
                <w:color w:val="FFFFFF" w:themeColor="background1"/>
                <w:szCs w:val="24"/>
              </w:rPr>
              <w:t>£000</w:t>
            </w:r>
          </w:p>
        </w:tc>
        <w:tc>
          <w:tcPr>
            <w:tcW w:w="1276" w:type="dxa"/>
            <w:shd w:val="clear" w:color="auto" w:fill="BD2716"/>
            <w:vAlign w:val="center"/>
          </w:tcPr>
          <w:p w14:paraId="461BDBAE" w14:textId="1F34C3FF" w:rsidR="006C17DC" w:rsidRPr="00D948C1" w:rsidRDefault="006C17DC" w:rsidP="006C17DC">
            <w:pPr>
              <w:jc w:val="right"/>
              <w:rPr>
                <w:color w:val="FFFFFF" w:themeColor="background1"/>
                <w:szCs w:val="24"/>
              </w:rPr>
            </w:pPr>
            <w:r w:rsidRPr="00D948C1">
              <w:rPr>
                <w:color w:val="FFFFFF" w:themeColor="background1"/>
                <w:szCs w:val="24"/>
              </w:rPr>
              <w:t>2021</w:t>
            </w:r>
            <w:r w:rsidR="00F07D9F">
              <w:rPr>
                <w:color w:val="FFFFFF" w:themeColor="background1"/>
                <w:szCs w:val="24"/>
              </w:rPr>
              <w:t>-</w:t>
            </w:r>
            <w:r w:rsidRPr="00D948C1">
              <w:rPr>
                <w:color w:val="FFFFFF" w:themeColor="background1"/>
                <w:szCs w:val="24"/>
              </w:rPr>
              <w:t>22</w:t>
            </w:r>
          </w:p>
          <w:p w14:paraId="0811F53A" w14:textId="35C7809F" w:rsidR="006C17DC" w:rsidRPr="00D948C1" w:rsidRDefault="006C17DC" w:rsidP="006C17DC">
            <w:pPr>
              <w:jc w:val="right"/>
              <w:rPr>
                <w:color w:val="FFFFFF" w:themeColor="background1"/>
                <w:szCs w:val="24"/>
              </w:rPr>
            </w:pPr>
            <w:r w:rsidRPr="00D948C1">
              <w:rPr>
                <w:color w:val="FFFFFF" w:themeColor="background1"/>
                <w:szCs w:val="24"/>
              </w:rPr>
              <w:t>£000</w:t>
            </w:r>
          </w:p>
        </w:tc>
      </w:tr>
      <w:tr w:rsidR="00AC5949" w:rsidRPr="00D948C1" w14:paraId="457BBFD2" w14:textId="77777777" w:rsidTr="00982FEC">
        <w:tc>
          <w:tcPr>
            <w:tcW w:w="9815" w:type="dxa"/>
            <w:gridSpan w:val="6"/>
            <w:shd w:val="clear" w:color="auto" w:fill="D9D9D9" w:themeFill="background1" w:themeFillShade="D9"/>
          </w:tcPr>
          <w:p w14:paraId="284A4D14" w14:textId="7078F7F0" w:rsidR="00AC5949" w:rsidRPr="00D948C1" w:rsidRDefault="00AC5949" w:rsidP="000C442C">
            <w:pPr>
              <w:rPr>
                <w:b/>
                <w:bCs/>
                <w:szCs w:val="24"/>
              </w:rPr>
            </w:pPr>
            <w:r w:rsidRPr="00D948C1">
              <w:rPr>
                <w:b/>
                <w:bCs/>
                <w:szCs w:val="24"/>
              </w:rPr>
              <w:t>Present value of liabilities:</w:t>
            </w:r>
          </w:p>
        </w:tc>
      </w:tr>
      <w:tr w:rsidR="006C17DC" w:rsidRPr="00670646" w14:paraId="187DED63" w14:textId="77777777" w:rsidTr="00DD63D7">
        <w:tc>
          <w:tcPr>
            <w:tcW w:w="3119" w:type="dxa"/>
          </w:tcPr>
          <w:p w14:paraId="377AC709" w14:textId="77777777" w:rsidR="006C17DC" w:rsidRPr="00670646" w:rsidRDefault="006C17DC" w:rsidP="006C17DC">
            <w:pPr>
              <w:rPr>
                <w:szCs w:val="24"/>
              </w:rPr>
            </w:pPr>
            <w:r w:rsidRPr="00670646">
              <w:rPr>
                <w:szCs w:val="24"/>
              </w:rPr>
              <w:t>Local Government Pension Scheme (LGPS)</w:t>
            </w:r>
          </w:p>
        </w:tc>
        <w:tc>
          <w:tcPr>
            <w:tcW w:w="1378" w:type="dxa"/>
            <w:vAlign w:val="center"/>
          </w:tcPr>
          <w:p w14:paraId="7C3285BF" w14:textId="2E90C04A" w:rsidR="006C17DC" w:rsidRPr="00670646" w:rsidRDefault="005B766C" w:rsidP="006C17DC">
            <w:pPr>
              <w:jc w:val="right"/>
              <w:rPr>
                <w:szCs w:val="24"/>
              </w:rPr>
            </w:pPr>
            <w:r>
              <w:rPr>
                <w:szCs w:val="24"/>
              </w:rPr>
              <w:t>(56,560)</w:t>
            </w:r>
          </w:p>
        </w:tc>
        <w:tc>
          <w:tcPr>
            <w:tcW w:w="1470" w:type="dxa"/>
            <w:vAlign w:val="center"/>
          </w:tcPr>
          <w:p w14:paraId="3941FCA7" w14:textId="6C74A229" w:rsidR="006C17DC" w:rsidRPr="00670646" w:rsidRDefault="006C17DC" w:rsidP="006C17DC">
            <w:pPr>
              <w:jc w:val="right"/>
              <w:rPr>
                <w:szCs w:val="24"/>
              </w:rPr>
            </w:pPr>
            <w:r w:rsidRPr="00670646">
              <w:rPr>
                <w:szCs w:val="24"/>
              </w:rPr>
              <w:t>(53,417)</w:t>
            </w:r>
          </w:p>
        </w:tc>
        <w:tc>
          <w:tcPr>
            <w:tcW w:w="1296" w:type="dxa"/>
            <w:vAlign w:val="center"/>
          </w:tcPr>
          <w:p w14:paraId="33866DB5" w14:textId="6737D047" w:rsidR="006C17DC" w:rsidRPr="00670646" w:rsidRDefault="006C17DC" w:rsidP="006C17DC">
            <w:pPr>
              <w:jc w:val="right"/>
              <w:rPr>
                <w:szCs w:val="24"/>
              </w:rPr>
            </w:pPr>
            <w:r w:rsidRPr="00670646">
              <w:rPr>
                <w:szCs w:val="24"/>
              </w:rPr>
              <w:t>(60,315)</w:t>
            </w:r>
          </w:p>
        </w:tc>
        <w:tc>
          <w:tcPr>
            <w:tcW w:w="1276" w:type="dxa"/>
            <w:vAlign w:val="center"/>
          </w:tcPr>
          <w:p w14:paraId="472B86D4" w14:textId="633B3C5E" w:rsidR="006C17DC" w:rsidRPr="00670646" w:rsidRDefault="006C17DC" w:rsidP="006C17DC">
            <w:pPr>
              <w:jc w:val="right"/>
              <w:rPr>
                <w:szCs w:val="24"/>
              </w:rPr>
            </w:pPr>
            <w:r w:rsidRPr="00670646">
              <w:rPr>
                <w:szCs w:val="24"/>
              </w:rPr>
              <w:t>(58,483)</w:t>
            </w:r>
          </w:p>
        </w:tc>
        <w:tc>
          <w:tcPr>
            <w:tcW w:w="1276" w:type="dxa"/>
            <w:vAlign w:val="center"/>
          </w:tcPr>
          <w:p w14:paraId="6BE05731" w14:textId="6114D319" w:rsidR="006C17DC" w:rsidRPr="00670646" w:rsidRDefault="006C17DC" w:rsidP="006C17DC">
            <w:pPr>
              <w:jc w:val="right"/>
              <w:rPr>
                <w:szCs w:val="24"/>
              </w:rPr>
            </w:pPr>
            <w:r w:rsidRPr="00670646">
              <w:rPr>
                <w:szCs w:val="24"/>
              </w:rPr>
              <w:t>(84,201)</w:t>
            </w:r>
          </w:p>
        </w:tc>
      </w:tr>
      <w:tr w:rsidR="006C17DC" w:rsidRPr="00670646" w14:paraId="662AC241" w14:textId="77777777" w:rsidTr="00DD63D7">
        <w:tc>
          <w:tcPr>
            <w:tcW w:w="3119" w:type="dxa"/>
          </w:tcPr>
          <w:p w14:paraId="3208A8BC" w14:textId="77777777" w:rsidR="006C17DC" w:rsidRPr="00670646" w:rsidRDefault="006C17DC" w:rsidP="006C17DC">
            <w:pPr>
              <w:rPr>
                <w:szCs w:val="24"/>
              </w:rPr>
            </w:pPr>
            <w:r w:rsidRPr="00670646">
              <w:rPr>
                <w:szCs w:val="24"/>
              </w:rPr>
              <w:t>Firefighters Pension Scheme</w:t>
            </w:r>
          </w:p>
        </w:tc>
        <w:tc>
          <w:tcPr>
            <w:tcW w:w="1378" w:type="dxa"/>
            <w:vAlign w:val="center"/>
          </w:tcPr>
          <w:p w14:paraId="113E0FDD" w14:textId="08EE41C4" w:rsidR="006C17DC" w:rsidRPr="00670646" w:rsidRDefault="006B3DB2" w:rsidP="006C17DC">
            <w:pPr>
              <w:jc w:val="right"/>
              <w:rPr>
                <w:szCs w:val="24"/>
              </w:rPr>
            </w:pPr>
            <w:r>
              <w:rPr>
                <w:szCs w:val="24"/>
              </w:rPr>
              <w:t>(576,516)</w:t>
            </w:r>
          </w:p>
        </w:tc>
        <w:tc>
          <w:tcPr>
            <w:tcW w:w="1470" w:type="dxa"/>
            <w:vAlign w:val="center"/>
          </w:tcPr>
          <w:p w14:paraId="14F3436A" w14:textId="721DD665" w:rsidR="006C17DC" w:rsidRPr="00670646" w:rsidRDefault="006C17DC" w:rsidP="006C17DC">
            <w:pPr>
              <w:jc w:val="right"/>
              <w:rPr>
                <w:szCs w:val="24"/>
              </w:rPr>
            </w:pPr>
            <w:r w:rsidRPr="00670646">
              <w:rPr>
                <w:szCs w:val="24"/>
              </w:rPr>
              <w:t>(588,346)</w:t>
            </w:r>
          </w:p>
        </w:tc>
        <w:tc>
          <w:tcPr>
            <w:tcW w:w="1296" w:type="dxa"/>
            <w:vAlign w:val="center"/>
          </w:tcPr>
          <w:p w14:paraId="536E00D7" w14:textId="6CB8F91B" w:rsidR="006C17DC" w:rsidRPr="00670646" w:rsidRDefault="006C17DC" w:rsidP="006C17DC">
            <w:pPr>
              <w:jc w:val="right"/>
              <w:rPr>
                <w:szCs w:val="24"/>
              </w:rPr>
            </w:pPr>
            <w:r w:rsidRPr="00670646">
              <w:rPr>
                <w:szCs w:val="24"/>
              </w:rPr>
              <w:t>(651,826)</w:t>
            </w:r>
          </w:p>
        </w:tc>
        <w:tc>
          <w:tcPr>
            <w:tcW w:w="1276" w:type="dxa"/>
            <w:vAlign w:val="center"/>
          </w:tcPr>
          <w:p w14:paraId="3E230EF3" w14:textId="2C22A152" w:rsidR="006C17DC" w:rsidRPr="00670646" w:rsidRDefault="006C17DC" w:rsidP="006C17DC">
            <w:pPr>
              <w:jc w:val="right"/>
              <w:rPr>
                <w:szCs w:val="24"/>
              </w:rPr>
            </w:pPr>
            <w:r w:rsidRPr="00670646">
              <w:rPr>
                <w:szCs w:val="24"/>
              </w:rPr>
              <w:t>(651,536)</w:t>
            </w:r>
          </w:p>
        </w:tc>
        <w:tc>
          <w:tcPr>
            <w:tcW w:w="1276" w:type="dxa"/>
            <w:vAlign w:val="center"/>
          </w:tcPr>
          <w:p w14:paraId="620147C2" w14:textId="0407C35D" w:rsidR="006C17DC" w:rsidRPr="00670646" w:rsidRDefault="006C17DC" w:rsidP="006C17DC">
            <w:pPr>
              <w:jc w:val="right"/>
              <w:rPr>
                <w:szCs w:val="24"/>
              </w:rPr>
            </w:pPr>
            <w:r w:rsidRPr="00670646">
              <w:rPr>
                <w:szCs w:val="24"/>
              </w:rPr>
              <w:t>(875,936)</w:t>
            </w:r>
          </w:p>
        </w:tc>
      </w:tr>
      <w:tr w:rsidR="006C17DC" w:rsidRPr="00670646" w14:paraId="48BA3EB7" w14:textId="77777777" w:rsidTr="00DD63D7">
        <w:tc>
          <w:tcPr>
            <w:tcW w:w="3119" w:type="dxa"/>
          </w:tcPr>
          <w:p w14:paraId="116B1D38" w14:textId="77777777" w:rsidR="006C17DC" w:rsidRPr="00670646" w:rsidRDefault="006C17DC" w:rsidP="006C17DC">
            <w:pPr>
              <w:rPr>
                <w:szCs w:val="24"/>
              </w:rPr>
            </w:pPr>
            <w:r w:rsidRPr="00670646">
              <w:rPr>
                <w:szCs w:val="24"/>
              </w:rPr>
              <w:lastRenderedPageBreak/>
              <w:t>Fair value of assets in LGPS</w:t>
            </w:r>
          </w:p>
        </w:tc>
        <w:tc>
          <w:tcPr>
            <w:tcW w:w="1378" w:type="dxa"/>
            <w:vAlign w:val="center"/>
          </w:tcPr>
          <w:p w14:paraId="554CAC82" w14:textId="4B771547" w:rsidR="006C17DC" w:rsidRPr="00670646" w:rsidRDefault="00ED310B" w:rsidP="006C17DC">
            <w:pPr>
              <w:jc w:val="right"/>
              <w:rPr>
                <w:szCs w:val="24"/>
              </w:rPr>
            </w:pPr>
            <w:r>
              <w:rPr>
                <w:szCs w:val="24"/>
              </w:rPr>
              <w:t>86,467</w:t>
            </w:r>
          </w:p>
        </w:tc>
        <w:tc>
          <w:tcPr>
            <w:tcW w:w="1470" w:type="dxa"/>
            <w:vAlign w:val="center"/>
          </w:tcPr>
          <w:p w14:paraId="7982D5C8" w14:textId="4B9A7BC7" w:rsidR="006C17DC" w:rsidRPr="00670646" w:rsidRDefault="006C17DC" w:rsidP="006C17DC">
            <w:pPr>
              <w:jc w:val="right"/>
              <w:rPr>
                <w:szCs w:val="24"/>
              </w:rPr>
            </w:pPr>
            <w:r w:rsidRPr="00670646">
              <w:rPr>
                <w:szCs w:val="24"/>
              </w:rPr>
              <w:t>85,394</w:t>
            </w:r>
          </w:p>
        </w:tc>
        <w:tc>
          <w:tcPr>
            <w:tcW w:w="1296" w:type="dxa"/>
            <w:vAlign w:val="center"/>
          </w:tcPr>
          <w:p w14:paraId="2B5062B4" w14:textId="7C4B237F" w:rsidR="006C17DC" w:rsidRPr="00670646" w:rsidRDefault="006C17DC" w:rsidP="006C17DC">
            <w:pPr>
              <w:jc w:val="right"/>
              <w:rPr>
                <w:szCs w:val="24"/>
              </w:rPr>
            </w:pPr>
            <w:r w:rsidRPr="00670646">
              <w:rPr>
                <w:szCs w:val="24"/>
              </w:rPr>
              <w:t>84,113</w:t>
            </w:r>
          </w:p>
        </w:tc>
        <w:tc>
          <w:tcPr>
            <w:tcW w:w="1276" w:type="dxa"/>
            <w:vAlign w:val="center"/>
          </w:tcPr>
          <w:p w14:paraId="45E74F68" w14:textId="61F93E61" w:rsidR="006C17DC" w:rsidRPr="00670646" w:rsidRDefault="006C17DC" w:rsidP="006C17DC">
            <w:pPr>
              <w:jc w:val="right"/>
              <w:rPr>
                <w:szCs w:val="24"/>
              </w:rPr>
            </w:pPr>
            <w:r w:rsidRPr="00670646">
              <w:rPr>
                <w:szCs w:val="24"/>
              </w:rPr>
              <w:t>78,360</w:t>
            </w:r>
          </w:p>
        </w:tc>
        <w:tc>
          <w:tcPr>
            <w:tcW w:w="1276" w:type="dxa"/>
            <w:vAlign w:val="center"/>
          </w:tcPr>
          <w:p w14:paraId="55DE3593" w14:textId="3668D339" w:rsidR="006C17DC" w:rsidRPr="00670646" w:rsidRDefault="006C17DC" w:rsidP="006C17DC">
            <w:pPr>
              <w:jc w:val="right"/>
              <w:rPr>
                <w:szCs w:val="24"/>
              </w:rPr>
            </w:pPr>
            <w:r w:rsidRPr="00670646">
              <w:rPr>
                <w:szCs w:val="24"/>
              </w:rPr>
              <w:t>76,703</w:t>
            </w:r>
          </w:p>
        </w:tc>
      </w:tr>
    </w:tbl>
    <w:p w14:paraId="64F3650A" w14:textId="77777777" w:rsidR="001E71F1" w:rsidRPr="00670646" w:rsidRDefault="001E71F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AC5949" w:rsidRPr="00670646" w14:paraId="796A5A0C" w14:textId="77777777" w:rsidTr="00982FEC">
        <w:tc>
          <w:tcPr>
            <w:tcW w:w="9815" w:type="dxa"/>
            <w:gridSpan w:val="6"/>
            <w:shd w:val="clear" w:color="auto" w:fill="D9D9D9" w:themeFill="background1" w:themeFillShade="D9"/>
          </w:tcPr>
          <w:p w14:paraId="04BD9E30" w14:textId="6E23D496" w:rsidR="00AC5949" w:rsidRPr="00670646" w:rsidRDefault="00AC5949" w:rsidP="000C442C">
            <w:pPr>
              <w:rPr>
                <w:b/>
                <w:bCs/>
                <w:szCs w:val="24"/>
              </w:rPr>
            </w:pPr>
            <w:r w:rsidRPr="00670646">
              <w:rPr>
                <w:b/>
                <w:bCs/>
                <w:szCs w:val="24"/>
              </w:rPr>
              <w:t>Surplus</w:t>
            </w:r>
            <w:r w:rsidR="00AB43C8">
              <w:rPr>
                <w:b/>
                <w:bCs/>
                <w:szCs w:val="24"/>
              </w:rPr>
              <w:t xml:space="preserve"> or </w:t>
            </w:r>
            <w:r w:rsidRPr="00670646">
              <w:rPr>
                <w:b/>
                <w:bCs/>
                <w:szCs w:val="24"/>
              </w:rPr>
              <w:t>(Deficit) in the scheme:</w:t>
            </w:r>
          </w:p>
        </w:tc>
      </w:tr>
      <w:tr w:rsidR="006C17DC" w:rsidRPr="00670646" w14:paraId="1E660B70" w14:textId="77777777" w:rsidTr="00DD63D7">
        <w:tc>
          <w:tcPr>
            <w:tcW w:w="3119" w:type="dxa"/>
          </w:tcPr>
          <w:p w14:paraId="000D6A8F" w14:textId="77777777" w:rsidR="006C17DC" w:rsidRPr="00670646" w:rsidRDefault="006C17DC" w:rsidP="006C17DC">
            <w:pPr>
              <w:rPr>
                <w:szCs w:val="24"/>
              </w:rPr>
            </w:pPr>
            <w:r w:rsidRPr="00670646">
              <w:rPr>
                <w:szCs w:val="24"/>
              </w:rPr>
              <w:t>Local Government Pension Scheme (LGPS)</w:t>
            </w:r>
          </w:p>
        </w:tc>
        <w:tc>
          <w:tcPr>
            <w:tcW w:w="1378" w:type="dxa"/>
            <w:vAlign w:val="center"/>
          </w:tcPr>
          <w:p w14:paraId="1DBDAE84" w14:textId="0DE6BF66" w:rsidR="006C17DC" w:rsidRPr="00670646" w:rsidRDefault="00ED310B" w:rsidP="006C17DC">
            <w:pPr>
              <w:jc w:val="right"/>
              <w:rPr>
                <w:szCs w:val="24"/>
              </w:rPr>
            </w:pPr>
            <w:r>
              <w:rPr>
                <w:szCs w:val="24"/>
              </w:rPr>
              <w:t>29,907</w:t>
            </w:r>
          </w:p>
        </w:tc>
        <w:tc>
          <w:tcPr>
            <w:tcW w:w="1470" w:type="dxa"/>
            <w:vAlign w:val="center"/>
          </w:tcPr>
          <w:p w14:paraId="10DCCB22" w14:textId="62C97B3B" w:rsidR="006C17DC" w:rsidRPr="00670646" w:rsidRDefault="006C17DC" w:rsidP="006C17DC">
            <w:pPr>
              <w:jc w:val="right"/>
              <w:rPr>
                <w:szCs w:val="24"/>
              </w:rPr>
            </w:pPr>
            <w:r w:rsidRPr="00670646">
              <w:rPr>
                <w:szCs w:val="24"/>
              </w:rPr>
              <w:t>31,977</w:t>
            </w:r>
          </w:p>
        </w:tc>
        <w:tc>
          <w:tcPr>
            <w:tcW w:w="1296" w:type="dxa"/>
            <w:vAlign w:val="center"/>
          </w:tcPr>
          <w:p w14:paraId="01699BEA" w14:textId="43558007" w:rsidR="006C17DC" w:rsidRPr="00670646" w:rsidRDefault="006C17DC" w:rsidP="006C17DC">
            <w:pPr>
              <w:jc w:val="right"/>
              <w:rPr>
                <w:szCs w:val="24"/>
              </w:rPr>
            </w:pPr>
            <w:r w:rsidRPr="00670646">
              <w:rPr>
                <w:szCs w:val="24"/>
              </w:rPr>
              <w:t>23,798</w:t>
            </w:r>
          </w:p>
        </w:tc>
        <w:tc>
          <w:tcPr>
            <w:tcW w:w="1276" w:type="dxa"/>
            <w:vAlign w:val="center"/>
          </w:tcPr>
          <w:p w14:paraId="4B8F1B33" w14:textId="7C46D6C5" w:rsidR="006C17DC" w:rsidRPr="00670646" w:rsidRDefault="006C17DC" w:rsidP="006C17DC">
            <w:pPr>
              <w:jc w:val="right"/>
              <w:rPr>
                <w:szCs w:val="24"/>
              </w:rPr>
            </w:pPr>
            <w:r w:rsidRPr="00670646">
              <w:rPr>
                <w:szCs w:val="24"/>
              </w:rPr>
              <w:t>19,877</w:t>
            </w:r>
          </w:p>
        </w:tc>
        <w:tc>
          <w:tcPr>
            <w:tcW w:w="1276" w:type="dxa"/>
            <w:vAlign w:val="center"/>
          </w:tcPr>
          <w:p w14:paraId="4C136066" w14:textId="54389FD4" w:rsidR="006C17DC" w:rsidRPr="00670646" w:rsidRDefault="006C17DC" w:rsidP="006C17DC">
            <w:pPr>
              <w:jc w:val="right"/>
              <w:rPr>
                <w:szCs w:val="24"/>
              </w:rPr>
            </w:pPr>
            <w:r w:rsidRPr="00670646">
              <w:rPr>
                <w:szCs w:val="24"/>
              </w:rPr>
              <w:t>(7,498)</w:t>
            </w:r>
          </w:p>
        </w:tc>
      </w:tr>
      <w:tr w:rsidR="006C17DC" w:rsidRPr="00670646" w14:paraId="5FAE166C" w14:textId="77777777" w:rsidTr="00DD63D7">
        <w:tc>
          <w:tcPr>
            <w:tcW w:w="3119" w:type="dxa"/>
          </w:tcPr>
          <w:p w14:paraId="4BD18E1F" w14:textId="77777777" w:rsidR="006C17DC" w:rsidRPr="00670646" w:rsidRDefault="006C17DC" w:rsidP="006C17DC">
            <w:pPr>
              <w:rPr>
                <w:szCs w:val="24"/>
              </w:rPr>
            </w:pPr>
            <w:r w:rsidRPr="00670646">
              <w:rPr>
                <w:szCs w:val="24"/>
              </w:rPr>
              <w:t>Firefighters Pension Scheme</w:t>
            </w:r>
          </w:p>
        </w:tc>
        <w:tc>
          <w:tcPr>
            <w:tcW w:w="1378" w:type="dxa"/>
            <w:vAlign w:val="center"/>
          </w:tcPr>
          <w:p w14:paraId="41460B36" w14:textId="0A55984E" w:rsidR="006C17DC" w:rsidRPr="00670646" w:rsidRDefault="00F76234" w:rsidP="006C17DC">
            <w:pPr>
              <w:jc w:val="right"/>
              <w:rPr>
                <w:szCs w:val="24"/>
              </w:rPr>
            </w:pPr>
            <w:r w:rsidRPr="00AE381F">
              <w:rPr>
                <w:szCs w:val="24"/>
              </w:rPr>
              <w:t>(576,516)</w:t>
            </w:r>
          </w:p>
        </w:tc>
        <w:tc>
          <w:tcPr>
            <w:tcW w:w="1470" w:type="dxa"/>
            <w:vAlign w:val="center"/>
          </w:tcPr>
          <w:p w14:paraId="3728E930" w14:textId="297AF70D" w:rsidR="006C17DC" w:rsidRPr="00670646" w:rsidRDefault="006C17DC" w:rsidP="006C17DC">
            <w:pPr>
              <w:jc w:val="right"/>
              <w:rPr>
                <w:szCs w:val="24"/>
              </w:rPr>
            </w:pPr>
            <w:r w:rsidRPr="00670646">
              <w:rPr>
                <w:szCs w:val="24"/>
              </w:rPr>
              <w:t>(588,346)</w:t>
            </w:r>
          </w:p>
        </w:tc>
        <w:tc>
          <w:tcPr>
            <w:tcW w:w="1296" w:type="dxa"/>
            <w:vAlign w:val="center"/>
          </w:tcPr>
          <w:p w14:paraId="3786B6B9" w14:textId="41057B46" w:rsidR="006C17DC" w:rsidRPr="00670646" w:rsidRDefault="006C17DC" w:rsidP="006C17DC">
            <w:pPr>
              <w:jc w:val="right"/>
              <w:rPr>
                <w:szCs w:val="24"/>
              </w:rPr>
            </w:pPr>
            <w:r w:rsidRPr="00670646">
              <w:rPr>
                <w:szCs w:val="24"/>
              </w:rPr>
              <w:t>(651,826)</w:t>
            </w:r>
          </w:p>
        </w:tc>
        <w:tc>
          <w:tcPr>
            <w:tcW w:w="1276" w:type="dxa"/>
            <w:vAlign w:val="center"/>
          </w:tcPr>
          <w:p w14:paraId="461C9A58" w14:textId="4844CEFA" w:rsidR="006C17DC" w:rsidRPr="00670646" w:rsidRDefault="006C17DC" w:rsidP="006C17DC">
            <w:pPr>
              <w:jc w:val="right"/>
              <w:rPr>
                <w:szCs w:val="24"/>
              </w:rPr>
            </w:pPr>
            <w:r w:rsidRPr="00670646">
              <w:rPr>
                <w:szCs w:val="24"/>
              </w:rPr>
              <w:t>(651,536)</w:t>
            </w:r>
          </w:p>
        </w:tc>
        <w:tc>
          <w:tcPr>
            <w:tcW w:w="1276" w:type="dxa"/>
            <w:vAlign w:val="center"/>
          </w:tcPr>
          <w:p w14:paraId="5259F237" w14:textId="33880F1D" w:rsidR="006C17DC" w:rsidRPr="00670646" w:rsidRDefault="006C17DC" w:rsidP="006C17DC">
            <w:pPr>
              <w:jc w:val="right"/>
              <w:rPr>
                <w:szCs w:val="24"/>
              </w:rPr>
            </w:pPr>
            <w:r w:rsidRPr="00670646">
              <w:rPr>
                <w:szCs w:val="24"/>
              </w:rPr>
              <w:t>(875,936)</w:t>
            </w:r>
          </w:p>
        </w:tc>
      </w:tr>
    </w:tbl>
    <w:p w14:paraId="68782FB6" w14:textId="77777777" w:rsidR="001E71F1" w:rsidRPr="00670646" w:rsidRDefault="001E71F1"/>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378"/>
        <w:gridCol w:w="1470"/>
        <w:gridCol w:w="1296"/>
        <w:gridCol w:w="1276"/>
        <w:gridCol w:w="1276"/>
      </w:tblGrid>
      <w:tr w:rsidR="00EB4B3B" w:rsidRPr="00670646" w14:paraId="63CF7922" w14:textId="77777777" w:rsidTr="00982FEC">
        <w:tc>
          <w:tcPr>
            <w:tcW w:w="9815" w:type="dxa"/>
            <w:gridSpan w:val="6"/>
            <w:shd w:val="clear" w:color="auto" w:fill="D9D9D9" w:themeFill="background1" w:themeFillShade="D9"/>
          </w:tcPr>
          <w:p w14:paraId="0FA5B9A4" w14:textId="47CBCE61" w:rsidR="00EB4B3B" w:rsidRPr="00670646" w:rsidRDefault="00EB4B3B" w:rsidP="00EB4B3B">
            <w:pPr>
              <w:rPr>
                <w:b/>
                <w:bCs/>
                <w:szCs w:val="24"/>
              </w:rPr>
            </w:pPr>
            <w:r w:rsidRPr="00670646">
              <w:rPr>
                <w:b/>
                <w:bCs/>
                <w:szCs w:val="24"/>
              </w:rPr>
              <w:t>Pension Asset Ceiling</w:t>
            </w:r>
            <w:r w:rsidR="00475B2F" w:rsidRPr="00670646">
              <w:rPr>
                <w:b/>
                <w:bCs/>
                <w:szCs w:val="24"/>
              </w:rPr>
              <w:t xml:space="preserve"> Adjustment</w:t>
            </w:r>
            <w:r w:rsidRPr="00670646">
              <w:rPr>
                <w:b/>
                <w:bCs/>
                <w:szCs w:val="24"/>
              </w:rPr>
              <w:t>:</w:t>
            </w:r>
          </w:p>
        </w:tc>
      </w:tr>
      <w:tr w:rsidR="006C17DC" w:rsidRPr="00670646" w14:paraId="6794C4C1" w14:textId="77777777" w:rsidTr="00DD63D7">
        <w:tc>
          <w:tcPr>
            <w:tcW w:w="3119" w:type="dxa"/>
          </w:tcPr>
          <w:p w14:paraId="00BCC40D" w14:textId="0F68DDE2" w:rsidR="006C17DC" w:rsidRPr="00670646" w:rsidRDefault="006C17DC" w:rsidP="006C17DC">
            <w:pPr>
              <w:rPr>
                <w:szCs w:val="24"/>
              </w:rPr>
            </w:pPr>
            <w:r w:rsidRPr="00670646">
              <w:rPr>
                <w:szCs w:val="24"/>
              </w:rPr>
              <w:t>Local Government Pension Scheme (LGPS)</w:t>
            </w:r>
          </w:p>
        </w:tc>
        <w:tc>
          <w:tcPr>
            <w:tcW w:w="1378" w:type="dxa"/>
            <w:vAlign w:val="center"/>
          </w:tcPr>
          <w:p w14:paraId="64B9D660" w14:textId="25B249A7" w:rsidR="006C17DC" w:rsidRPr="00B409BE" w:rsidRDefault="00F76234" w:rsidP="006C17DC">
            <w:pPr>
              <w:jc w:val="right"/>
              <w:rPr>
                <w:szCs w:val="24"/>
              </w:rPr>
            </w:pPr>
            <w:r w:rsidRPr="00B409BE">
              <w:rPr>
                <w:szCs w:val="24"/>
              </w:rPr>
              <w:t>(</w:t>
            </w:r>
            <w:r w:rsidR="00470E5F" w:rsidRPr="00B409BE">
              <w:rPr>
                <w:szCs w:val="24"/>
              </w:rPr>
              <w:t>29</w:t>
            </w:r>
            <w:r w:rsidRPr="00B409BE">
              <w:rPr>
                <w:szCs w:val="24"/>
              </w:rPr>
              <w:t>,</w:t>
            </w:r>
            <w:r w:rsidR="00470E5F" w:rsidRPr="00B409BE">
              <w:rPr>
                <w:szCs w:val="24"/>
              </w:rPr>
              <w:t>962</w:t>
            </w:r>
            <w:r w:rsidRPr="00B409BE">
              <w:rPr>
                <w:szCs w:val="24"/>
              </w:rPr>
              <w:t>)</w:t>
            </w:r>
          </w:p>
        </w:tc>
        <w:tc>
          <w:tcPr>
            <w:tcW w:w="1470" w:type="dxa"/>
            <w:vAlign w:val="center"/>
          </w:tcPr>
          <w:p w14:paraId="48620ECC" w14:textId="4CADEC4F" w:rsidR="006C17DC" w:rsidRPr="00B409BE" w:rsidRDefault="006C17DC" w:rsidP="006C17DC">
            <w:pPr>
              <w:jc w:val="right"/>
              <w:rPr>
                <w:szCs w:val="24"/>
              </w:rPr>
            </w:pPr>
            <w:r w:rsidRPr="00B409BE">
              <w:rPr>
                <w:szCs w:val="24"/>
              </w:rPr>
              <w:t>(32,061)</w:t>
            </w:r>
          </w:p>
        </w:tc>
        <w:tc>
          <w:tcPr>
            <w:tcW w:w="1296" w:type="dxa"/>
            <w:vAlign w:val="center"/>
          </w:tcPr>
          <w:p w14:paraId="74DE78F4" w14:textId="4B576F13" w:rsidR="006C17DC" w:rsidRPr="00670646" w:rsidRDefault="006C17DC" w:rsidP="006C17DC">
            <w:pPr>
              <w:jc w:val="right"/>
              <w:rPr>
                <w:szCs w:val="24"/>
              </w:rPr>
            </w:pPr>
            <w:r w:rsidRPr="00670646">
              <w:rPr>
                <w:szCs w:val="24"/>
              </w:rPr>
              <w:t>(23,892)</w:t>
            </w:r>
          </w:p>
        </w:tc>
        <w:tc>
          <w:tcPr>
            <w:tcW w:w="1276" w:type="dxa"/>
            <w:vAlign w:val="center"/>
          </w:tcPr>
          <w:p w14:paraId="15D32879" w14:textId="49D97C15" w:rsidR="006C17DC" w:rsidRPr="00670646" w:rsidRDefault="006C17DC" w:rsidP="006C17DC">
            <w:pPr>
              <w:jc w:val="right"/>
              <w:rPr>
                <w:szCs w:val="24"/>
              </w:rPr>
            </w:pPr>
            <w:r w:rsidRPr="00670646">
              <w:rPr>
                <w:szCs w:val="24"/>
              </w:rPr>
              <w:t>(19,877)</w:t>
            </w:r>
          </w:p>
        </w:tc>
        <w:tc>
          <w:tcPr>
            <w:tcW w:w="1276" w:type="dxa"/>
            <w:vAlign w:val="center"/>
          </w:tcPr>
          <w:p w14:paraId="60C458EF" w14:textId="61E2B792" w:rsidR="006C17DC" w:rsidRPr="00670646" w:rsidRDefault="006C17DC" w:rsidP="006C17DC">
            <w:pPr>
              <w:jc w:val="right"/>
              <w:rPr>
                <w:szCs w:val="24"/>
              </w:rPr>
            </w:pPr>
            <w:r w:rsidRPr="00670646">
              <w:rPr>
                <w:szCs w:val="24"/>
              </w:rPr>
              <w:t>-</w:t>
            </w:r>
          </w:p>
        </w:tc>
      </w:tr>
      <w:tr w:rsidR="006C17DC" w:rsidRPr="00670646" w14:paraId="03D8BC30" w14:textId="77777777" w:rsidTr="00DD63D7">
        <w:tc>
          <w:tcPr>
            <w:tcW w:w="3119" w:type="dxa"/>
          </w:tcPr>
          <w:p w14:paraId="1F577960" w14:textId="4514E85D" w:rsidR="006C17DC" w:rsidRPr="00670646" w:rsidRDefault="006C17DC" w:rsidP="006C17DC">
            <w:pPr>
              <w:rPr>
                <w:szCs w:val="24"/>
              </w:rPr>
            </w:pPr>
            <w:r w:rsidRPr="00670646">
              <w:rPr>
                <w:szCs w:val="24"/>
              </w:rPr>
              <w:t>Firefighters Pension Scheme</w:t>
            </w:r>
          </w:p>
        </w:tc>
        <w:tc>
          <w:tcPr>
            <w:tcW w:w="1378" w:type="dxa"/>
            <w:vAlign w:val="center"/>
          </w:tcPr>
          <w:p w14:paraId="79D8196F" w14:textId="452157F9" w:rsidR="006C17DC" w:rsidRPr="00B409BE" w:rsidRDefault="00027E41" w:rsidP="006C17DC">
            <w:pPr>
              <w:jc w:val="right"/>
              <w:rPr>
                <w:szCs w:val="24"/>
              </w:rPr>
            </w:pPr>
            <w:r w:rsidRPr="00B409BE">
              <w:rPr>
                <w:szCs w:val="24"/>
              </w:rPr>
              <w:t>-</w:t>
            </w:r>
          </w:p>
        </w:tc>
        <w:tc>
          <w:tcPr>
            <w:tcW w:w="1470" w:type="dxa"/>
            <w:vAlign w:val="center"/>
          </w:tcPr>
          <w:p w14:paraId="7254B50D" w14:textId="681F5562" w:rsidR="006C17DC" w:rsidRPr="00B409BE" w:rsidRDefault="006C17DC" w:rsidP="006C17DC">
            <w:pPr>
              <w:jc w:val="right"/>
              <w:rPr>
                <w:szCs w:val="24"/>
              </w:rPr>
            </w:pPr>
            <w:r w:rsidRPr="00B409BE">
              <w:rPr>
                <w:szCs w:val="24"/>
              </w:rPr>
              <w:t>-</w:t>
            </w:r>
          </w:p>
        </w:tc>
        <w:tc>
          <w:tcPr>
            <w:tcW w:w="1296" w:type="dxa"/>
            <w:vAlign w:val="center"/>
          </w:tcPr>
          <w:p w14:paraId="36B2AC22" w14:textId="5D3E8421" w:rsidR="006C17DC" w:rsidRPr="00670646" w:rsidRDefault="006C17DC" w:rsidP="006C17DC">
            <w:pPr>
              <w:jc w:val="right"/>
              <w:rPr>
                <w:szCs w:val="24"/>
              </w:rPr>
            </w:pPr>
            <w:r w:rsidRPr="00670646">
              <w:rPr>
                <w:szCs w:val="24"/>
              </w:rPr>
              <w:t>-</w:t>
            </w:r>
          </w:p>
        </w:tc>
        <w:tc>
          <w:tcPr>
            <w:tcW w:w="1276" w:type="dxa"/>
            <w:vAlign w:val="center"/>
          </w:tcPr>
          <w:p w14:paraId="7F826A4A" w14:textId="6E4939F2" w:rsidR="006C17DC" w:rsidRPr="00670646" w:rsidRDefault="006C17DC" w:rsidP="006C17DC">
            <w:pPr>
              <w:jc w:val="right"/>
              <w:rPr>
                <w:szCs w:val="24"/>
              </w:rPr>
            </w:pPr>
            <w:r w:rsidRPr="00670646">
              <w:rPr>
                <w:szCs w:val="24"/>
              </w:rPr>
              <w:t>-</w:t>
            </w:r>
          </w:p>
        </w:tc>
        <w:tc>
          <w:tcPr>
            <w:tcW w:w="1276" w:type="dxa"/>
            <w:vAlign w:val="center"/>
          </w:tcPr>
          <w:p w14:paraId="4934A633" w14:textId="750CFA68" w:rsidR="006C17DC" w:rsidRPr="00670646" w:rsidRDefault="006C17DC" w:rsidP="006C17DC">
            <w:pPr>
              <w:jc w:val="right"/>
              <w:rPr>
                <w:szCs w:val="24"/>
              </w:rPr>
            </w:pPr>
            <w:r w:rsidRPr="00670646">
              <w:rPr>
                <w:szCs w:val="24"/>
              </w:rPr>
              <w:t>-</w:t>
            </w:r>
          </w:p>
        </w:tc>
      </w:tr>
      <w:tr w:rsidR="006C17DC" w:rsidRPr="00D948C1" w14:paraId="129CE37D" w14:textId="77777777" w:rsidTr="00DD63D7">
        <w:tc>
          <w:tcPr>
            <w:tcW w:w="3119" w:type="dxa"/>
          </w:tcPr>
          <w:p w14:paraId="349F2366" w14:textId="77777777" w:rsidR="006C17DC" w:rsidRPr="00670646" w:rsidRDefault="006C17DC" w:rsidP="006C17DC">
            <w:pPr>
              <w:rPr>
                <w:szCs w:val="24"/>
              </w:rPr>
            </w:pPr>
            <w:r w:rsidRPr="00670646">
              <w:rPr>
                <w:szCs w:val="24"/>
              </w:rPr>
              <w:t>Total</w:t>
            </w:r>
          </w:p>
        </w:tc>
        <w:tc>
          <w:tcPr>
            <w:tcW w:w="1378" w:type="dxa"/>
            <w:vAlign w:val="center"/>
          </w:tcPr>
          <w:p w14:paraId="581DC4B0" w14:textId="215B2E63" w:rsidR="006C17DC" w:rsidRPr="00B409BE" w:rsidRDefault="001D51DA" w:rsidP="006C17DC">
            <w:pPr>
              <w:jc w:val="right"/>
              <w:rPr>
                <w:szCs w:val="24"/>
              </w:rPr>
            </w:pPr>
            <w:r w:rsidRPr="00B409BE">
              <w:rPr>
                <w:szCs w:val="24"/>
              </w:rPr>
              <w:t>(57</w:t>
            </w:r>
            <w:r w:rsidR="005F7743" w:rsidRPr="00B409BE">
              <w:rPr>
                <w:szCs w:val="24"/>
              </w:rPr>
              <w:t>6</w:t>
            </w:r>
            <w:r w:rsidR="00702D41" w:rsidRPr="00B409BE">
              <w:rPr>
                <w:szCs w:val="24"/>
              </w:rPr>
              <w:t>,</w:t>
            </w:r>
            <w:r w:rsidR="005F7743" w:rsidRPr="00B409BE">
              <w:rPr>
                <w:szCs w:val="24"/>
              </w:rPr>
              <w:t>57</w:t>
            </w:r>
            <w:r w:rsidR="00702D41" w:rsidRPr="00B409BE">
              <w:rPr>
                <w:szCs w:val="24"/>
              </w:rPr>
              <w:t>1)</w:t>
            </w:r>
          </w:p>
        </w:tc>
        <w:tc>
          <w:tcPr>
            <w:tcW w:w="1470" w:type="dxa"/>
            <w:vAlign w:val="center"/>
          </w:tcPr>
          <w:p w14:paraId="090F7C77" w14:textId="34722080" w:rsidR="006C17DC" w:rsidRPr="00B409BE" w:rsidRDefault="006C17DC" w:rsidP="006C17DC">
            <w:pPr>
              <w:jc w:val="right"/>
              <w:rPr>
                <w:szCs w:val="24"/>
              </w:rPr>
            </w:pPr>
            <w:r w:rsidRPr="00B409BE">
              <w:rPr>
                <w:szCs w:val="24"/>
              </w:rPr>
              <w:t>(588,430)</w:t>
            </w:r>
          </w:p>
        </w:tc>
        <w:tc>
          <w:tcPr>
            <w:tcW w:w="1296" w:type="dxa"/>
            <w:vAlign w:val="center"/>
          </w:tcPr>
          <w:p w14:paraId="3226A39E" w14:textId="030BA71B" w:rsidR="006C17DC" w:rsidRPr="00670646" w:rsidRDefault="006C17DC" w:rsidP="006C17DC">
            <w:pPr>
              <w:jc w:val="right"/>
              <w:rPr>
                <w:szCs w:val="24"/>
              </w:rPr>
            </w:pPr>
            <w:r w:rsidRPr="00670646">
              <w:rPr>
                <w:szCs w:val="24"/>
              </w:rPr>
              <w:t>(651,920)</w:t>
            </w:r>
          </w:p>
        </w:tc>
        <w:tc>
          <w:tcPr>
            <w:tcW w:w="1276" w:type="dxa"/>
            <w:vAlign w:val="center"/>
          </w:tcPr>
          <w:p w14:paraId="0F5FBBB1" w14:textId="027FB524" w:rsidR="006C17DC" w:rsidRPr="00670646" w:rsidRDefault="006C17DC" w:rsidP="006C17DC">
            <w:pPr>
              <w:jc w:val="right"/>
              <w:rPr>
                <w:szCs w:val="24"/>
              </w:rPr>
            </w:pPr>
            <w:r w:rsidRPr="00670646">
              <w:rPr>
                <w:szCs w:val="24"/>
              </w:rPr>
              <w:t>(651,536)</w:t>
            </w:r>
          </w:p>
        </w:tc>
        <w:tc>
          <w:tcPr>
            <w:tcW w:w="1276" w:type="dxa"/>
            <w:vAlign w:val="center"/>
          </w:tcPr>
          <w:p w14:paraId="66B0403A" w14:textId="6836C4C3" w:rsidR="006C17DC" w:rsidRPr="00670646" w:rsidRDefault="006C17DC" w:rsidP="006C17DC">
            <w:pPr>
              <w:jc w:val="right"/>
              <w:rPr>
                <w:szCs w:val="24"/>
              </w:rPr>
            </w:pPr>
            <w:r w:rsidRPr="00670646">
              <w:rPr>
                <w:szCs w:val="24"/>
              </w:rPr>
              <w:t>(883,434)</w:t>
            </w:r>
          </w:p>
        </w:tc>
      </w:tr>
    </w:tbl>
    <w:p w14:paraId="27CFF3E6" w14:textId="77777777" w:rsidR="00D90216" w:rsidRPr="00D948C1" w:rsidRDefault="00D90216" w:rsidP="00D90216">
      <w:pPr>
        <w:jc w:val="both"/>
        <w:rPr>
          <w:sz w:val="22"/>
        </w:rPr>
      </w:pPr>
    </w:p>
    <w:p w14:paraId="6FCC8EF3" w14:textId="4B8A9BEC" w:rsidR="00D90216" w:rsidRPr="00A92037" w:rsidRDefault="00D90216" w:rsidP="00AC5949">
      <w:pPr>
        <w:ind w:left="709"/>
        <w:rPr>
          <w:szCs w:val="24"/>
        </w:rPr>
      </w:pPr>
      <w:r w:rsidRPr="00A92037">
        <w:rPr>
          <w:szCs w:val="24"/>
        </w:rPr>
        <w:t>The liabilities show the underlying commitments that the Authority has in the long</w:t>
      </w:r>
      <w:r w:rsidRPr="00A92037">
        <w:rPr>
          <w:szCs w:val="24"/>
        </w:rPr>
        <w:noBreakHyphen/>
        <w:t xml:space="preserve">term to pay </w:t>
      </w:r>
      <w:r w:rsidR="000C78DA" w:rsidRPr="00A92037">
        <w:rPr>
          <w:szCs w:val="24"/>
        </w:rPr>
        <w:t>post-employment</w:t>
      </w:r>
      <w:r w:rsidRPr="00A92037">
        <w:rPr>
          <w:szCs w:val="24"/>
        </w:rPr>
        <w:t xml:space="preserve"> benefits. The total liability of both schemes, £</w:t>
      </w:r>
      <w:r w:rsidR="00C0328F" w:rsidRPr="00A92037">
        <w:rPr>
          <w:szCs w:val="24"/>
        </w:rPr>
        <w:t>5</w:t>
      </w:r>
      <w:r w:rsidR="007A5922" w:rsidRPr="00A92037">
        <w:rPr>
          <w:szCs w:val="24"/>
        </w:rPr>
        <w:t>7</w:t>
      </w:r>
      <w:r w:rsidR="005F7743" w:rsidRPr="00A92037">
        <w:rPr>
          <w:szCs w:val="24"/>
        </w:rPr>
        <w:t>6</w:t>
      </w:r>
      <w:r w:rsidR="00C0328F" w:rsidRPr="00A92037">
        <w:rPr>
          <w:szCs w:val="24"/>
        </w:rPr>
        <w:t>.</w:t>
      </w:r>
      <w:r w:rsidR="005F7743" w:rsidRPr="00A92037">
        <w:rPr>
          <w:szCs w:val="24"/>
        </w:rPr>
        <w:t>571</w:t>
      </w:r>
      <w:r w:rsidR="00C0111A">
        <w:rPr>
          <w:szCs w:val="24"/>
        </w:rPr>
        <w:t xml:space="preserve"> </w:t>
      </w:r>
      <w:r w:rsidR="002624B8" w:rsidRPr="00A92037">
        <w:rPr>
          <w:szCs w:val="24"/>
        </w:rPr>
        <w:t>m</w:t>
      </w:r>
      <w:r w:rsidR="00C0111A">
        <w:rPr>
          <w:szCs w:val="24"/>
        </w:rPr>
        <w:t>illion</w:t>
      </w:r>
      <w:r w:rsidRPr="00A92037">
        <w:rPr>
          <w:szCs w:val="24"/>
        </w:rPr>
        <w:t>, has a substantial impact on the net worth of the Authority, as recorded in the Balance Sheet</w:t>
      </w:r>
      <w:r w:rsidR="00793B97" w:rsidRPr="00A92037">
        <w:rPr>
          <w:szCs w:val="24"/>
        </w:rPr>
        <w:t>.</w:t>
      </w:r>
      <w:r w:rsidRPr="00A92037">
        <w:rPr>
          <w:szCs w:val="24"/>
        </w:rPr>
        <w:t xml:space="preserve"> However, statutory arrangements for funding the liability mean that the financial position of the Authority remains healthy:</w:t>
      </w:r>
    </w:p>
    <w:p w14:paraId="1594FCA9" w14:textId="77777777" w:rsidR="00D90216" w:rsidRPr="00A92037" w:rsidRDefault="00D90216" w:rsidP="00AC5949">
      <w:pPr>
        <w:ind w:left="709"/>
        <w:rPr>
          <w:szCs w:val="24"/>
        </w:rPr>
      </w:pPr>
    </w:p>
    <w:p w14:paraId="1EEB03DC" w14:textId="31156760" w:rsidR="00B2607E" w:rsidRPr="00A92037" w:rsidRDefault="00B2607E" w:rsidP="006E3AF0">
      <w:pPr>
        <w:numPr>
          <w:ilvl w:val="0"/>
          <w:numId w:val="5"/>
        </w:numPr>
        <w:tabs>
          <w:tab w:val="clear" w:pos="360"/>
          <w:tab w:val="num" w:pos="1069"/>
        </w:tabs>
        <w:ind w:left="1069"/>
        <w:rPr>
          <w:szCs w:val="24"/>
        </w:rPr>
      </w:pPr>
      <w:r w:rsidRPr="00A92037">
        <w:rPr>
          <w:szCs w:val="24"/>
        </w:rPr>
        <w:t>Whilst there is a surplus on the LGPS scheme a</w:t>
      </w:r>
      <w:r w:rsidR="002A33DC" w:rsidRPr="00A92037">
        <w:rPr>
          <w:szCs w:val="24"/>
        </w:rPr>
        <w:t>ny</w:t>
      </w:r>
      <w:r w:rsidR="00D90216" w:rsidRPr="00A92037">
        <w:rPr>
          <w:szCs w:val="24"/>
        </w:rPr>
        <w:t xml:space="preserve"> </w:t>
      </w:r>
      <w:r w:rsidRPr="00A92037">
        <w:rPr>
          <w:szCs w:val="24"/>
        </w:rPr>
        <w:t xml:space="preserve">future </w:t>
      </w:r>
      <w:r w:rsidR="00B01A6F" w:rsidRPr="00A92037">
        <w:rPr>
          <w:szCs w:val="24"/>
        </w:rPr>
        <w:t>deficit</w:t>
      </w:r>
      <w:r w:rsidRPr="00A92037">
        <w:rPr>
          <w:szCs w:val="24"/>
        </w:rPr>
        <w:t>s</w:t>
      </w:r>
      <w:r w:rsidR="00D90216" w:rsidRPr="00A92037">
        <w:rPr>
          <w:szCs w:val="24"/>
        </w:rPr>
        <w:t xml:space="preserve"> </w:t>
      </w:r>
      <w:r w:rsidRPr="00A92037">
        <w:rPr>
          <w:szCs w:val="24"/>
        </w:rPr>
        <w:t xml:space="preserve">that may arise </w:t>
      </w:r>
      <w:r w:rsidR="00D90216" w:rsidRPr="00A92037">
        <w:rPr>
          <w:szCs w:val="24"/>
        </w:rPr>
        <w:t xml:space="preserve">will </w:t>
      </w:r>
      <w:r w:rsidRPr="00A92037">
        <w:rPr>
          <w:szCs w:val="24"/>
        </w:rPr>
        <w:t xml:space="preserve">sought to be </w:t>
      </w:r>
      <w:r w:rsidR="008853BC" w:rsidRPr="00A92037">
        <w:rPr>
          <w:szCs w:val="24"/>
        </w:rPr>
        <w:t>recovered</w:t>
      </w:r>
      <w:r w:rsidR="00D90216" w:rsidRPr="00A92037">
        <w:rPr>
          <w:szCs w:val="24"/>
        </w:rPr>
        <w:t xml:space="preserve"> by </w:t>
      </w:r>
      <w:r w:rsidR="008853BC" w:rsidRPr="00A92037">
        <w:rPr>
          <w:szCs w:val="24"/>
        </w:rPr>
        <w:t>annual</w:t>
      </w:r>
      <w:r w:rsidR="00D82154" w:rsidRPr="00A92037">
        <w:rPr>
          <w:szCs w:val="24"/>
        </w:rPr>
        <w:t xml:space="preserve"> </w:t>
      </w:r>
      <w:r w:rsidR="008853BC" w:rsidRPr="00A92037">
        <w:rPr>
          <w:szCs w:val="24"/>
        </w:rPr>
        <w:t>repayments from</w:t>
      </w:r>
      <w:r w:rsidR="00AB43C8">
        <w:rPr>
          <w:szCs w:val="24"/>
        </w:rPr>
        <w:t xml:space="preserve"> or </w:t>
      </w:r>
      <w:r w:rsidR="002A33DC" w:rsidRPr="00A92037">
        <w:rPr>
          <w:szCs w:val="24"/>
        </w:rPr>
        <w:t>to</w:t>
      </w:r>
      <w:r w:rsidR="008853BC" w:rsidRPr="00A92037">
        <w:rPr>
          <w:szCs w:val="24"/>
        </w:rPr>
        <w:t xml:space="preserve"> the fund</w:t>
      </w:r>
      <w:r w:rsidR="00D82154" w:rsidRPr="00A92037">
        <w:rPr>
          <w:szCs w:val="24"/>
        </w:rPr>
        <w:t>,</w:t>
      </w:r>
      <w:r w:rsidR="00D90216" w:rsidRPr="00A92037">
        <w:rPr>
          <w:szCs w:val="24"/>
        </w:rPr>
        <w:t xml:space="preserve"> </w:t>
      </w:r>
      <w:r w:rsidR="00D82154" w:rsidRPr="00A92037">
        <w:rPr>
          <w:szCs w:val="24"/>
        </w:rPr>
        <w:t xml:space="preserve">as assessed by the scheme actuary, throughout the agreed </w:t>
      </w:r>
      <w:r w:rsidR="008853BC" w:rsidRPr="00A92037">
        <w:rPr>
          <w:szCs w:val="24"/>
        </w:rPr>
        <w:t>surplus</w:t>
      </w:r>
      <w:r w:rsidR="00D82154" w:rsidRPr="00A92037">
        <w:rPr>
          <w:szCs w:val="24"/>
        </w:rPr>
        <w:t xml:space="preserve"> recovery period.</w:t>
      </w:r>
    </w:p>
    <w:p w14:paraId="13EAA407" w14:textId="77777777" w:rsidR="00D90216" w:rsidRPr="00A92037" w:rsidRDefault="00D90216" w:rsidP="00AC5949">
      <w:pPr>
        <w:numPr>
          <w:ilvl w:val="0"/>
          <w:numId w:val="5"/>
        </w:numPr>
        <w:tabs>
          <w:tab w:val="clear" w:pos="360"/>
          <w:tab w:val="num" w:pos="1069"/>
        </w:tabs>
        <w:ind w:left="1069"/>
        <w:rPr>
          <w:szCs w:val="24"/>
        </w:rPr>
      </w:pPr>
      <w:r w:rsidRPr="00A92037">
        <w:rPr>
          <w:szCs w:val="24"/>
        </w:rPr>
        <w:t>Finance is only required to be raised to cover fire fighter pensions when the pensions are actually paid.</w:t>
      </w:r>
    </w:p>
    <w:p w14:paraId="0A1F947D" w14:textId="77777777" w:rsidR="009B0112" w:rsidRDefault="009B0112" w:rsidP="009B0112">
      <w:pPr>
        <w:rPr>
          <w:szCs w:val="24"/>
        </w:rPr>
      </w:pPr>
    </w:p>
    <w:p w14:paraId="3500484C" w14:textId="291E4A92" w:rsidR="00D90216" w:rsidRPr="00D948C1" w:rsidRDefault="00D90216" w:rsidP="009B0112">
      <w:pPr>
        <w:ind w:left="709"/>
        <w:rPr>
          <w:szCs w:val="24"/>
        </w:rPr>
      </w:pPr>
      <w:r w:rsidRPr="00A92037">
        <w:rPr>
          <w:szCs w:val="24"/>
        </w:rPr>
        <w:t>Estimated contributions expected to be paid by the Authority into each scheme during the next financial year:</w:t>
      </w:r>
    </w:p>
    <w:p w14:paraId="7FDCEAD3" w14:textId="77777777" w:rsidR="00DD63D7" w:rsidRPr="00D948C1" w:rsidRDefault="00DD63D7" w:rsidP="00AC5949">
      <w:pPr>
        <w:ind w:left="709"/>
        <w:rPr>
          <w:szCs w:val="24"/>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410"/>
        <w:gridCol w:w="2126"/>
      </w:tblGrid>
      <w:tr w:rsidR="00D90216" w:rsidRPr="00D948C1" w14:paraId="4FE7DC7D" w14:textId="77777777" w:rsidTr="0919AEC3">
        <w:tc>
          <w:tcPr>
            <w:tcW w:w="2835" w:type="dxa"/>
            <w:shd w:val="clear" w:color="auto" w:fill="BD2716"/>
          </w:tcPr>
          <w:p w14:paraId="66E266A5" w14:textId="77777777" w:rsidR="00D90216" w:rsidRPr="00D948C1" w:rsidRDefault="00D90216" w:rsidP="00D72DD9">
            <w:pPr>
              <w:ind w:left="426" w:hanging="426"/>
              <w:rPr>
                <w:color w:val="FFFFFF" w:themeColor="background1"/>
                <w:szCs w:val="24"/>
              </w:rPr>
            </w:pPr>
          </w:p>
        </w:tc>
        <w:tc>
          <w:tcPr>
            <w:tcW w:w="2268" w:type="dxa"/>
            <w:shd w:val="clear" w:color="auto" w:fill="BD2716"/>
            <w:vAlign w:val="center"/>
          </w:tcPr>
          <w:p w14:paraId="3100097A" w14:textId="77777777" w:rsidR="00D90216" w:rsidRPr="00D948C1" w:rsidRDefault="00D90216" w:rsidP="00611673">
            <w:pPr>
              <w:jc w:val="right"/>
              <w:rPr>
                <w:color w:val="FFFFFF" w:themeColor="background1"/>
                <w:szCs w:val="24"/>
              </w:rPr>
            </w:pPr>
            <w:r w:rsidRPr="00D948C1">
              <w:rPr>
                <w:color w:val="FFFFFF" w:themeColor="background1"/>
                <w:szCs w:val="24"/>
              </w:rPr>
              <w:t>Local Government Pension Scheme</w:t>
            </w:r>
            <w:r w:rsidR="00210E84" w:rsidRPr="00D948C1">
              <w:rPr>
                <w:color w:val="FFFFFF" w:themeColor="background1"/>
                <w:szCs w:val="24"/>
              </w:rPr>
              <w:t>*</w:t>
            </w:r>
          </w:p>
          <w:p w14:paraId="1688BC62" w14:textId="7AA8483A" w:rsidR="00053629" w:rsidRPr="00D948C1" w:rsidRDefault="00053629" w:rsidP="00611673">
            <w:pPr>
              <w:jc w:val="right"/>
              <w:rPr>
                <w:color w:val="FFFFFF" w:themeColor="background1"/>
                <w:szCs w:val="24"/>
              </w:rPr>
            </w:pPr>
            <w:r w:rsidRPr="00D948C1">
              <w:rPr>
                <w:color w:val="FFFFFF" w:themeColor="background1"/>
                <w:szCs w:val="24"/>
              </w:rPr>
              <w:t>£000</w:t>
            </w:r>
          </w:p>
        </w:tc>
        <w:tc>
          <w:tcPr>
            <w:tcW w:w="2410" w:type="dxa"/>
            <w:shd w:val="clear" w:color="auto" w:fill="BD2716"/>
            <w:vAlign w:val="center"/>
          </w:tcPr>
          <w:p w14:paraId="6D9B4358" w14:textId="77777777" w:rsidR="00D90216" w:rsidRPr="00D948C1" w:rsidRDefault="00D90216" w:rsidP="00611673">
            <w:pPr>
              <w:jc w:val="right"/>
              <w:rPr>
                <w:color w:val="FFFFFF" w:themeColor="background1"/>
                <w:szCs w:val="24"/>
              </w:rPr>
            </w:pPr>
            <w:r w:rsidRPr="00D948C1">
              <w:rPr>
                <w:color w:val="FFFFFF" w:themeColor="background1"/>
                <w:szCs w:val="24"/>
              </w:rPr>
              <w:t>Firefighters’ Pension Scheme</w:t>
            </w:r>
            <w:r w:rsidR="00192E75" w:rsidRPr="00D948C1">
              <w:rPr>
                <w:color w:val="FFFFFF" w:themeColor="background1"/>
                <w:szCs w:val="24"/>
              </w:rPr>
              <w:t>**</w:t>
            </w:r>
          </w:p>
          <w:p w14:paraId="16AFB96C" w14:textId="23C0B98C" w:rsidR="00053629" w:rsidRPr="00D948C1" w:rsidRDefault="00053629" w:rsidP="00611673">
            <w:pPr>
              <w:jc w:val="right"/>
              <w:rPr>
                <w:color w:val="FFFFFF" w:themeColor="background1"/>
                <w:szCs w:val="24"/>
              </w:rPr>
            </w:pPr>
            <w:r w:rsidRPr="00D948C1">
              <w:rPr>
                <w:color w:val="FFFFFF" w:themeColor="background1"/>
                <w:szCs w:val="24"/>
              </w:rPr>
              <w:t>£000</w:t>
            </w:r>
          </w:p>
        </w:tc>
        <w:tc>
          <w:tcPr>
            <w:tcW w:w="2126" w:type="dxa"/>
            <w:shd w:val="clear" w:color="auto" w:fill="BD2716"/>
            <w:vAlign w:val="center"/>
          </w:tcPr>
          <w:p w14:paraId="5BE01002" w14:textId="77777777" w:rsidR="00D90216" w:rsidRPr="00D948C1" w:rsidRDefault="00D90216" w:rsidP="00611673">
            <w:pPr>
              <w:jc w:val="right"/>
              <w:rPr>
                <w:color w:val="FFFFFF" w:themeColor="background1"/>
                <w:szCs w:val="24"/>
              </w:rPr>
            </w:pPr>
            <w:r w:rsidRPr="00D948C1">
              <w:rPr>
                <w:color w:val="FFFFFF" w:themeColor="background1"/>
                <w:szCs w:val="24"/>
              </w:rPr>
              <w:t>Total</w:t>
            </w:r>
          </w:p>
          <w:p w14:paraId="6E691217" w14:textId="77E8834D" w:rsidR="00053629" w:rsidRPr="00D948C1" w:rsidRDefault="00053629" w:rsidP="00611673">
            <w:pPr>
              <w:jc w:val="right"/>
              <w:rPr>
                <w:color w:val="FFFFFF" w:themeColor="background1"/>
                <w:szCs w:val="24"/>
              </w:rPr>
            </w:pPr>
            <w:r w:rsidRPr="00D948C1">
              <w:rPr>
                <w:color w:val="FFFFFF" w:themeColor="background1"/>
                <w:szCs w:val="24"/>
              </w:rPr>
              <w:t>£000</w:t>
            </w:r>
          </w:p>
        </w:tc>
      </w:tr>
      <w:tr w:rsidR="00D90216" w:rsidRPr="00D948C1" w14:paraId="1F709C57" w14:textId="77777777" w:rsidTr="0919AEC3">
        <w:trPr>
          <w:trHeight w:val="115"/>
        </w:trPr>
        <w:tc>
          <w:tcPr>
            <w:tcW w:w="2835" w:type="dxa"/>
          </w:tcPr>
          <w:p w14:paraId="22AEE303" w14:textId="77777777" w:rsidR="00D90216" w:rsidRPr="00D948C1" w:rsidRDefault="00D90216" w:rsidP="00D72DD9">
            <w:pPr>
              <w:ind w:left="34"/>
              <w:rPr>
                <w:szCs w:val="24"/>
              </w:rPr>
            </w:pPr>
            <w:r w:rsidRPr="00D948C1">
              <w:rPr>
                <w:szCs w:val="24"/>
              </w:rPr>
              <w:t>Estimated contributions</w:t>
            </w:r>
          </w:p>
        </w:tc>
        <w:tc>
          <w:tcPr>
            <w:tcW w:w="2268" w:type="dxa"/>
            <w:vAlign w:val="center"/>
          </w:tcPr>
          <w:p w14:paraId="2A47AB34" w14:textId="41431EED" w:rsidR="00D90216" w:rsidRPr="0038434E" w:rsidRDefault="0029736E" w:rsidP="00DD63D7">
            <w:pPr>
              <w:jc w:val="right"/>
            </w:pPr>
            <w:r>
              <w:t>882</w:t>
            </w:r>
          </w:p>
        </w:tc>
        <w:tc>
          <w:tcPr>
            <w:tcW w:w="2410" w:type="dxa"/>
            <w:vAlign w:val="center"/>
          </w:tcPr>
          <w:p w14:paraId="1A7FBDD0" w14:textId="1E816DFD" w:rsidR="00D90216" w:rsidRPr="0038434E" w:rsidRDefault="004F7CFC" w:rsidP="68F98C57">
            <w:pPr>
              <w:jc w:val="right"/>
            </w:pPr>
            <w:r>
              <w:t>11,</w:t>
            </w:r>
            <w:r w:rsidR="00FD393B">
              <w:t>647</w:t>
            </w:r>
          </w:p>
        </w:tc>
        <w:tc>
          <w:tcPr>
            <w:tcW w:w="2126" w:type="dxa"/>
            <w:vAlign w:val="center"/>
          </w:tcPr>
          <w:p w14:paraId="31A198D3" w14:textId="05F835E5" w:rsidR="00D90216" w:rsidRPr="0038434E" w:rsidRDefault="004F7CFC" w:rsidP="68F98C57">
            <w:pPr>
              <w:spacing w:line="259" w:lineRule="auto"/>
              <w:jc w:val="right"/>
            </w:pPr>
            <w:r>
              <w:t>12,</w:t>
            </w:r>
            <w:r w:rsidR="001A1DBD">
              <w:t>529</w:t>
            </w:r>
          </w:p>
        </w:tc>
      </w:tr>
    </w:tbl>
    <w:p w14:paraId="7BA0E136" w14:textId="40E3F080" w:rsidR="00D90216" w:rsidRPr="00A92037" w:rsidRDefault="00210E84" w:rsidP="7E876DA5">
      <w:pPr>
        <w:pStyle w:val="ListParagraph"/>
        <w:tabs>
          <w:tab w:val="num" w:pos="1069"/>
        </w:tabs>
        <w:ind w:left="709"/>
        <w:jc w:val="both"/>
        <w:rPr>
          <w:sz w:val="22"/>
          <w:szCs w:val="22"/>
        </w:rPr>
      </w:pPr>
      <w:r w:rsidRPr="00A92037">
        <w:rPr>
          <w:szCs w:val="24"/>
        </w:rPr>
        <w:t>*LGPS contributions shown are gross of surplus recovery</w:t>
      </w:r>
      <w:r w:rsidR="00765DED" w:rsidRPr="00A92037">
        <w:rPr>
          <w:szCs w:val="24"/>
        </w:rPr>
        <w:t xml:space="preserve"> </w:t>
      </w:r>
      <w:r w:rsidRPr="00A92037">
        <w:rPr>
          <w:szCs w:val="24"/>
        </w:rPr>
        <w:t>referred above.</w:t>
      </w:r>
    </w:p>
    <w:p w14:paraId="65ECD784" w14:textId="7F246381" w:rsidR="00192E75" w:rsidRPr="00A92037" w:rsidRDefault="00192E75" w:rsidP="000C442C">
      <w:pPr>
        <w:pStyle w:val="ListParagraph"/>
        <w:rPr>
          <w:szCs w:val="24"/>
        </w:rPr>
      </w:pPr>
      <w:r w:rsidRPr="00A92037">
        <w:rPr>
          <w:szCs w:val="24"/>
        </w:rPr>
        <w:t xml:space="preserve">** </w:t>
      </w:r>
      <w:r w:rsidR="004E09C9" w:rsidRPr="00A92037">
        <w:rPr>
          <w:szCs w:val="24"/>
        </w:rPr>
        <w:t>Firefigh</w:t>
      </w:r>
      <w:r w:rsidR="00CF38F0" w:rsidRPr="00A92037">
        <w:rPr>
          <w:szCs w:val="24"/>
        </w:rPr>
        <w:t>t</w:t>
      </w:r>
      <w:r w:rsidR="004E09C9" w:rsidRPr="00A92037">
        <w:rPr>
          <w:szCs w:val="24"/>
        </w:rPr>
        <w:t xml:space="preserve">er contributions are </w:t>
      </w:r>
      <w:r w:rsidR="00D47439" w:rsidRPr="00A92037">
        <w:rPr>
          <w:szCs w:val="24"/>
        </w:rPr>
        <w:t>part funded from</w:t>
      </w:r>
      <w:r w:rsidR="004E09C9" w:rsidRPr="00A92037">
        <w:rPr>
          <w:szCs w:val="24"/>
        </w:rPr>
        <w:t xml:space="preserve"> government top up grant.</w:t>
      </w:r>
    </w:p>
    <w:p w14:paraId="3FCAAE8A" w14:textId="59299D08" w:rsidR="001E71F1" w:rsidRPr="00A92037" w:rsidRDefault="001E71F1">
      <w:pPr>
        <w:rPr>
          <w:b/>
          <w:szCs w:val="24"/>
        </w:rPr>
      </w:pPr>
    </w:p>
    <w:p w14:paraId="1A7E73B2" w14:textId="65CB355A" w:rsidR="00D90216" w:rsidRPr="00A92037" w:rsidRDefault="00D90216" w:rsidP="000C442C">
      <w:pPr>
        <w:ind w:left="709"/>
        <w:rPr>
          <w:b/>
          <w:szCs w:val="24"/>
        </w:rPr>
      </w:pPr>
      <w:r w:rsidRPr="00A92037">
        <w:rPr>
          <w:b/>
          <w:szCs w:val="24"/>
        </w:rPr>
        <w:t>Basis for Estimating Assets and Liabilities</w:t>
      </w:r>
    </w:p>
    <w:p w14:paraId="002924E5" w14:textId="77777777" w:rsidR="00D90216" w:rsidRPr="00A92037" w:rsidRDefault="00D90216" w:rsidP="000C442C">
      <w:pPr>
        <w:ind w:left="709"/>
        <w:rPr>
          <w:szCs w:val="24"/>
        </w:rPr>
      </w:pPr>
    </w:p>
    <w:p w14:paraId="457925A1" w14:textId="289BCF56" w:rsidR="00B56986" w:rsidRPr="00A92037" w:rsidRDefault="00D90216" w:rsidP="000C442C">
      <w:pPr>
        <w:ind w:left="709"/>
        <w:rPr>
          <w:szCs w:val="24"/>
        </w:rPr>
      </w:pPr>
      <w:r w:rsidRPr="00A92037">
        <w:rPr>
          <w:szCs w:val="24"/>
        </w:rPr>
        <w:t>Liabilities have been assessed on an actuarial basis using the projected unit credit method, an estimate of the pensions that will be payable in future years dependent on assumptions about mortality rates, salary levels etc.</w:t>
      </w:r>
    </w:p>
    <w:p w14:paraId="53A5736C" w14:textId="77777777" w:rsidR="00B56986" w:rsidRPr="00A92037" w:rsidRDefault="00B56986" w:rsidP="000C442C">
      <w:pPr>
        <w:ind w:left="709"/>
        <w:rPr>
          <w:szCs w:val="24"/>
        </w:rPr>
      </w:pPr>
    </w:p>
    <w:p w14:paraId="3226BD0F" w14:textId="1F6C44E0" w:rsidR="002E4CBA" w:rsidRPr="00A92037" w:rsidRDefault="00B56986" w:rsidP="00F12792">
      <w:pPr>
        <w:ind w:left="709"/>
      </w:pPr>
      <w:r w:rsidRPr="00A92037">
        <w:t xml:space="preserve">The Firefighters’ Scheme has been assessed by GAD (the Government Actuarial Department), an independent firm of actuaries. Estimates for the Firefighters pension scheme </w:t>
      </w:r>
      <w:proofErr w:type="gramStart"/>
      <w:r w:rsidRPr="00A92037">
        <w:t>are</w:t>
      </w:r>
      <w:proofErr w:type="gramEnd"/>
      <w:r w:rsidRPr="00A92037">
        <w:t xml:space="preserve"> based on a ‘roll forward approach’ which updates the last full valuation on 31 March </w:t>
      </w:r>
      <w:r w:rsidR="00C34B46" w:rsidRPr="00A92037">
        <w:t>202</w:t>
      </w:r>
      <w:r w:rsidR="00263179" w:rsidRPr="00A92037">
        <w:t>0</w:t>
      </w:r>
      <w:r w:rsidRPr="00A92037">
        <w:t>, taking account of any significant changes since this. T</w:t>
      </w:r>
      <w:r w:rsidR="00D90216" w:rsidRPr="00A92037">
        <w:t xml:space="preserve">he Local Government Fund liabilities have </w:t>
      </w:r>
      <w:r w:rsidR="00D90216" w:rsidRPr="00A92037">
        <w:lastRenderedPageBreak/>
        <w:t>been assessed by Mercer Resource Consulting L</w:t>
      </w:r>
      <w:r w:rsidR="002B520D" w:rsidRPr="00A92037">
        <w:t>imi</w:t>
      </w:r>
      <w:r w:rsidR="00D90216" w:rsidRPr="00A92037">
        <w:t>t</w:t>
      </w:r>
      <w:r w:rsidR="002B520D" w:rsidRPr="00A92037">
        <w:t>e</w:t>
      </w:r>
      <w:r w:rsidR="00D90216" w:rsidRPr="00A92037">
        <w:t xml:space="preserve">d, an independent firm of actuaries. </w:t>
      </w:r>
      <w:r w:rsidR="00830971" w:rsidRPr="00A92037">
        <w:t>T</w:t>
      </w:r>
      <w:r w:rsidR="00630EE2" w:rsidRPr="00A92037">
        <w:t xml:space="preserve">he last </w:t>
      </w:r>
      <w:r w:rsidR="009B6E08" w:rsidRPr="00A92037">
        <w:t xml:space="preserve">full valuation </w:t>
      </w:r>
      <w:r w:rsidR="00830971" w:rsidRPr="00A92037">
        <w:t xml:space="preserve">was </w:t>
      </w:r>
      <w:r w:rsidR="009B6E08" w:rsidRPr="00A92037">
        <w:t xml:space="preserve">as </w:t>
      </w:r>
      <w:proofErr w:type="gramStart"/>
      <w:r w:rsidR="009B6E08" w:rsidRPr="00A92037">
        <w:t>at</w:t>
      </w:r>
      <w:proofErr w:type="gramEnd"/>
      <w:r w:rsidR="009B6E08" w:rsidRPr="00A92037">
        <w:t xml:space="preserve"> 31 March </w:t>
      </w:r>
      <w:r w:rsidR="00DD380F" w:rsidRPr="00A92037">
        <w:t>20</w:t>
      </w:r>
      <w:r w:rsidR="00830971" w:rsidRPr="00A92037">
        <w:t>2</w:t>
      </w:r>
      <w:r w:rsidR="006048B9" w:rsidRPr="00A92037">
        <w:t>5</w:t>
      </w:r>
      <w:r w:rsidR="00630EE2" w:rsidRPr="00A92037">
        <w:t>.</w:t>
      </w:r>
    </w:p>
    <w:p w14:paraId="17E94855" w14:textId="77777777" w:rsidR="007F5EEE" w:rsidRPr="00A92037" w:rsidRDefault="007F5EEE" w:rsidP="007F5EEE">
      <w:pPr>
        <w:rPr>
          <w:szCs w:val="24"/>
        </w:rPr>
      </w:pPr>
    </w:p>
    <w:p w14:paraId="132FC284" w14:textId="7B200EEB" w:rsidR="00D90216" w:rsidRPr="00D948C1" w:rsidRDefault="00D90216" w:rsidP="007F5EEE">
      <w:pPr>
        <w:ind w:firstLine="709"/>
        <w:rPr>
          <w:szCs w:val="24"/>
        </w:rPr>
      </w:pPr>
      <w:r w:rsidRPr="00A92037">
        <w:rPr>
          <w:szCs w:val="24"/>
        </w:rPr>
        <w:t>The principal assumptions used by the actuary have been:</w:t>
      </w:r>
    </w:p>
    <w:p w14:paraId="2A46022B" w14:textId="77777777" w:rsidR="00D90216" w:rsidRPr="00D948C1" w:rsidRDefault="00D90216" w:rsidP="00D90216">
      <w:pPr>
        <w:ind w:left="709"/>
        <w:jc w:val="both"/>
        <w:rPr>
          <w:sz w:val="16"/>
          <w:szCs w:val="16"/>
        </w:rPr>
      </w:pPr>
    </w:p>
    <w:tbl>
      <w:tblPr>
        <w:tblW w:w="96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134"/>
        <w:gridCol w:w="1026"/>
        <w:gridCol w:w="1134"/>
        <w:gridCol w:w="993"/>
        <w:gridCol w:w="992"/>
        <w:gridCol w:w="1134"/>
      </w:tblGrid>
      <w:tr w:rsidR="00831B30" w:rsidRPr="00D948C1" w14:paraId="33096203" w14:textId="77777777" w:rsidTr="0919AEC3">
        <w:trPr>
          <w:tblHeader/>
        </w:trPr>
        <w:tc>
          <w:tcPr>
            <w:tcW w:w="3260" w:type="dxa"/>
            <w:shd w:val="clear" w:color="auto" w:fill="BD2716"/>
          </w:tcPr>
          <w:p w14:paraId="5ACDF8A5" w14:textId="7B7511D4" w:rsidR="00831B30" w:rsidRPr="00D948C1" w:rsidRDefault="00831B30" w:rsidP="00CD62E6">
            <w:pPr>
              <w:jc w:val="both"/>
              <w:rPr>
                <w:color w:val="FFFFFF" w:themeColor="background1"/>
              </w:rPr>
            </w:pPr>
          </w:p>
        </w:tc>
        <w:tc>
          <w:tcPr>
            <w:tcW w:w="2160" w:type="dxa"/>
            <w:gridSpan w:val="2"/>
            <w:shd w:val="clear" w:color="auto" w:fill="BD2716"/>
            <w:vAlign w:val="center"/>
          </w:tcPr>
          <w:p w14:paraId="2AC8C7A8" w14:textId="77777777" w:rsidR="00831B30" w:rsidRPr="00D948C1" w:rsidRDefault="00831B30" w:rsidP="00611673">
            <w:pPr>
              <w:jc w:val="center"/>
              <w:rPr>
                <w:color w:val="FFFFFF" w:themeColor="background1"/>
                <w:szCs w:val="24"/>
              </w:rPr>
            </w:pPr>
            <w:r w:rsidRPr="00D948C1">
              <w:rPr>
                <w:color w:val="FFFFFF" w:themeColor="background1"/>
                <w:szCs w:val="24"/>
              </w:rPr>
              <w:t>NWFC Local Government Pension Scheme</w:t>
            </w:r>
          </w:p>
        </w:tc>
        <w:tc>
          <w:tcPr>
            <w:tcW w:w="2127" w:type="dxa"/>
            <w:gridSpan w:val="2"/>
            <w:shd w:val="clear" w:color="auto" w:fill="BD2716"/>
            <w:vAlign w:val="center"/>
          </w:tcPr>
          <w:p w14:paraId="73A03937" w14:textId="77777777" w:rsidR="00831B30" w:rsidRPr="00D948C1" w:rsidRDefault="00831B30" w:rsidP="00611673">
            <w:pPr>
              <w:jc w:val="center"/>
              <w:rPr>
                <w:color w:val="FFFFFF" w:themeColor="background1"/>
                <w:szCs w:val="24"/>
              </w:rPr>
            </w:pPr>
            <w:r w:rsidRPr="00D948C1">
              <w:rPr>
                <w:color w:val="FFFFFF" w:themeColor="background1"/>
                <w:szCs w:val="24"/>
              </w:rPr>
              <w:t>LCFA Local Government Pension Scheme</w:t>
            </w:r>
          </w:p>
        </w:tc>
        <w:tc>
          <w:tcPr>
            <w:tcW w:w="2126" w:type="dxa"/>
            <w:gridSpan w:val="2"/>
            <w:shd w:val="clear" w:color="auto" w:fill="BD2716"/>
            <w:vAlign w:val="center"/>
          </w:tcPr>
          <w:p w14:paraId="64BFF43B" w14:textId="77777777" w:rsidR="00831B30" w:rsidRPr="00D948C1" w:rsidRDefault="00831B30" w:rsidP="00611673">
            <w:pPr>
              <w:jc w:val="center"/>
              <w:rPr>
                <w:color w:val="FFFFFF" w:themeColor="background1"/>
                <w:szCs w:val="24"/>
              </w:rPr>
            </w:pPr>
            <w:r w:rsidRPr="00D948C1">
              <w:rPr>
                <w:color w:val="FFFFFF" w:themeColor="background1"/>
                <w:szCs w:val="24"/>
              </w:rPr>
              <w:t>Uniformed Firefighters’ Pension Scheme</w:t>
            </w:r>
          </w:p>
        </w:tc>
      </w:tr>
      <w:tr w:rsidR="007A20D1" w:rsidRPr="00D948C1" w14:paraId="33E30F14" w14:textId="77777777" w:rsidTr="0919AEC3">
        <w:trPr>
          <w:tblHeader/>
        </w:trPr>
        <w:tc>
          <w:tcPr>
            <w:tcW w:w="3260" w:type="dxa"/>
            <w:shd w:val="clear" w:color="auto" w:fill="BD2716"/>
            <w:vAlign w:val="bottom"/>
          </w:tcPr>
          <w:p w14:paraId="0A01DA1F" w14:textId="6B548BA0" w:rsidR="007A20D1" w:rsidRPr="00D948C1" w:rsidRDefault="007A20D1" w:rsidP="007A20D1">
            <w:pPr>
              <w:rPr>
                <w:color w:val="FFFFFF" w:themeColor="background1"/>
                <w:szCs w:val="24"/>
              </w:rPr>
            </w:pPr>
          </w:p>
        </w:tc>
        <w:tc>
          <w:tcPr>
            <w:tcW w:w="1134" w:type="dxa"/>
            <w:shd w:val="clear" w:color="auto" w:fill="BD2716"/>
            <w:vAlign w:val="center"/>
          </w:tcPr>
          <w:p w14:paraId="04198040" w14:textId="26CE1FCC"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6</w:t>
            </w:r>
          </w:p>
        </w:tc>
        <w:tc>
          <w:tcPr>
            <w:tcW w:w="1026" w:type="dxa"/>
            <w:shd w:val="clear" w:color="auto" w:fill="BD2716"/>
            <w:vAlign w:val="center"/>
          </w:tcPr>
          <w:p w14:paraId="6159D870" w14:textId="2F95A8D7"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5</w:t>
            </w:r>
          </w:p>
        </w:tc>
        <w:tc>
          <w:tcPr>
            <w:tcW w:w="1134" w:type="dxa"/>
            <w:shd w:val="clear" w:color="auto" w:fill="BD2716"/>
            <w:vAlign w:val="center"/>
          </w:tcPr>
          <w:p w14:paraId="4ED11B93" w14:textId="5B912BEB"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6</w:t>
            </w:r>
          </w:p>
        </w:tc>
        <w:tc>
          <w:tcPr>
            <w:tcW w:w="993" w:type="dxa"/>
            <w:shd w:val="clear" w:color="auto" w:fill="BD2716"/>
            <w:vAlign w:val="center"/>
          </w:tcPr>
          <w:p w14:paraId="471BBCE7" w14:textId="460CCACE"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5</w:t>
            </w:r>
          </w:p>
        </w:tc>
        <w:tc>
          <w:tcPr>
            <w:tcW w:w="992" w:type="dxa"/>
            <w:shd w:val="clear" w:color="auto" w:fill="BD2716"/>
            <w:vAlign w:val="center"/>
          </w:tcPr>
          <w:p w14:paraId="0E2AD658" w14:textId="187CA3C6"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6</w:t>
            </w:r>
          </w:p>
        </w:tc>
        <w:tc>
          <w:tcPr>
            <w:tcW w:w="1134" w:type="dxa"/>
            <w:shd w:val="clear" w:color="auto" w:fill="BD2716"/>
            <w:vAlign w:val="center"/>
          </w:tcPr>
          <w:p w14:paraId="1C6D9B14" w14:textId="1DEACFAC" w:rsidR="007A20D1" w:rsidRPr="00D948C1" w:rsidRDefault="007A20D1" w:rsidP="007A20D1">
            <w:pPr>
              <w:jc w:val="right"/>
              <w:rPr>
                <w:color w:val="FFFFFF" w:themeColor="background1"/>
                <w:szCs w:val="24"/>
              </w:rPr>
            </w:pPr>
            <w:r w:rsidRPr="00D948C1">
              <w:rPr>
                <w:color w:val="FFFFFF" w:themeColor="background1"/>
                <w:szCs w:val="24"/>
              </w:rPr>
              <w:t>31 March 202</w:t>
            </w:r>
            <w:r>
              <w:rPr>
                <w:color w:val="FFFFFF" w:themeColor="background1"/>
                <w:szCs w:val="24"/>
              </w:rPr>
              <w:t>5</w:t>
            </w:r>
          </w:p>
        </w:tc>
      </w:tr>
      <w:tr w:rsidR="001E71F1" w:rsidRPr="00D948C1" w14:paraId="64C0F372" w14:textId="77777777" w:rsidTr="0919AEC3">
        <w:tc>
          <w:tcPr>
            <w:tcW w:w="9673" w:type="dxa"/>
            <w:gridSpan w:val="7"/>
            <w:shd w:val="clear" w:color="auto" w:fill="D9D9D9" w:themeFill="background1" w:themeFillShade="D9"/>
            <w:vAlign w:val="bottom"/>
          </w:tcPr>
          <w:p w14:paraId="5D782219" w14:textId="7010FDEE" w:rsidR="001E71F1" w:rsidRPr="00D948C1" w:rsidRDefault="001E71F1" w:rsidP="001E71F1">
            <w:pPr>
              <w:rPr>
                <w:b/>
                <w:bCs/>
                <w:szCs w:val="24"/>
              </w:rPr>
            </w:pPr>
            <w:r w:rsidRPr="00D948C1">
              <w:rPr>
                <w:b/>
                <w:bCs/>
                <w:szCs w:val="24"/>
              </w:rPr>
              <w:t>Mortality assumptions:</w:t>
            </w:r>
          </w:p>
        </w:tc>
      </w:tr>
      <w:tr w:rsidR="00526A3B" w:rsidRPr="00D948C1" w14:paraId="26ECF4EF" w14:textId="77777777" w:rsidTr="0919AEC3">
        <w:tc>
          <w:tcPr>
            <w:tcW w:w="9673" w:type="dxa"/>
            <w:gridSpan w:val="7"/>
          </w:tcPr>
          <w:p w14:paraId="26FF304E" w14:textId="7280375D" w:rsidR="00526A3B" w:rsidRPr="00D948C1" w:rsidRDefault="00526A3B" w:rsidP="00EF0ED9">
            <w:pPr>
              <w:rPr>
                <w:snapToGrid w:val="0"/>
                <w:color w:val="000000"/>
                <w:szCs w:val="24"/>
              </w:rPr>
            </w:pPr>
            <w:r w:rsidRPr="00D948C1">
              <w:rPr>
                <w:szCs w:val="24"/>
              </w:rPr>
              <w:t>Longevity at 65 for current pensioners:</w:t>
            </w:r>
          </w:p>
        </w:tc>
      </w:tr>
      <w:tr w:rsidR="007A20D1" w:rsidRPr="00D948C1" w14:paraId="67CE7FC8" w14:textId="77777777" w:rsidTr="0919AEC3">
        <w:tc>
          <w:tcPr>
            <w:tcW w:w="3260" w:type="dxa"/>
          </w:tcPr>
          <w:p w14:paraId="6B7D2B12" w14:textId="77777777" w:rsidR="007A20D1" w:rsidRPr="00D948C1" w:rsidRDefault="007A20D1" w:rsidP="007A20D1">
            <w:pPr>
              <w:ind w:left="601"/>
              <w:rPr>
                <w:szCs w:val="24"/>
              </w:rPr>
            </w:pPr>
            <w:r w:rsidRPr="00D948C1">
              <w:rPr>
                <w:szCs w:val="24"/>
              </w:rPr>
              <w:t>Men</w:t>
            </w:r>
          </w:p>
        </w:tc>
        <w:tc>
          <w:tcPr>
            <w:tcW w:w="1134" w:type="dxa"/>
            <w:vAlign w:val="center"/>
          </w:tcPr>
          <w:p w14:paraId="3BEA3EDC" w14:textId="2C94632E" w:rsidR="007A20D1" w:rsidRPr="00294859" w:rsidRDefault="00E948F0" w:rsidP="007A20D1">
            <w:pPr>
              <w:jc w:val="right"/>
              <w:rPr>
                <w:snapToGrid w:val="0"/>
                <w:color w:val="000000"/>
                <w:szCs w:val="24"/>
              </w:rPr>
            </w:pPr>
            <w:r>
              <w:rPr>
                <w:snapToGrid w:val="0"/>
                <w:color w:val="000000"/>
                <w:szCs w:val="24"/>
              </w:rPr>
              <w:t>18.9</w:t>
            </w:r>
          </w:p>
        </w:tc>
        <w:tc>
          <w:tcPr>
            <w:tcW w:w="1026" w:type="dxa"/>
            <w:vAlign w:val="center"/>
          </w:tcPr>
          <w:p w14:paraId="247A585D" w14:textId="326E9043" w:rsidR="007A20D1" w:rsidRPr="00DF39E9" w:rsidRDefault="007A20D1" w:rsidP="007A20D1">
            <w:pPr>
              <w:jc w:val="right"/>
              <w:rPr>
                <w:snapToGrid w:val="0"/>
                <w:color w:val="000000"/>
                <w:szCs w:val="24"/>
              </w:rPr>
            </w:pPr>
            <w:r w:rsidRPr="00294859">
              <w:rPr>
                <w:snapToGrid w:val="0"/>
                <w:color w:val="000000"/>
                <w:szCs w:val="24"/>
              </w:rPr>
              <w:t>19.7</w:t>
            </w:r>
          </w:p>
        </w:tc>
        <w:tc>
          <w:tcPr>
            <w:tcW w:w="1134" w:type="dxa"/>
            <w:vAlign w:val="center"/>
          </w:tcPr>
          <w:p w14:paraId="049CA47B" w14:textId="2131BD23" w:rsidR="007A20D1" w:rsidRPr="00DF39E9" w:rsidRDefault="00E0550A" w:rsidP="007A20D1">
            <w:pPr>
              <w:jc w:val="right"/>
              <w:rPr>
                <w:snapToGrid w:val="0"/>
                <w:color w:val="000000"/>
                <w:szCs w:val="24"/>
              </w:rPr>
            </w:pPr>
            <w:r>
              <w:rPr>
                <w:snapToGrid w:val="0"/>
                <w:color w:val="000000"/>
                <w:szCs w:val="24"/>
              </w:rPr>
              <w:t>21.0</w:t>
            </w:r>
          </w:p>
        </w:tc>
        <w:tc>
          <w:tcPr>
            <w:tcW w:w="993" w:type="dxa"/>
            <w:vAlign w:val="center"/>
          </w:tcPr>
          <w:p w14:paraId="085EBB1C" w14:textId="02B2FE73" w:rsidR="007A20D1" w:rsidRPr="00DF39E9" w:rsidRDefault="007A20D1" w:rsidP="007A20D1">
            <w:pPr>
              <w:jc w:val="right"/>
              <w:rPr>
                <w:snapToGrid w:val="0"/>
                <w:color w:val="000000"/>
                <w:szCs w:val="24"/>
              </w:rPr>
            </w:pPr>
            <w:r w:rsidRPr="00DF39E9">
              <w:rPr>
                <w:snapToGrid w:val="0"/>
                <w:color w:val="000000"/>
                <w:szCs w:val="24"/>
              </w:rPr>
              <w:t>21.1</w:t>
            </w:r>
          </w:p>
        </w:tc>
        <w:tc>
          <w:tcPr>
            <w:tcW w:w="992" w:type="dxa"/>
            <w:vAlign w:val="center"/>
          </w:tcPr>
          <w:p w14:paraId="353CCC08" w14:textId="7B34542A" w:rsidR="007A20D1" w:rsidRPr="00DF39E9" w:rsidRDefault="00667EE4" w:rsidP="007A20D1">
            <w:pPr>
              <w:jc w:val="right"/>
              <w:rPr>
                <w:snapToGrid w:val="0"/>
                <w:color w:val="000000"/>
                <w:szCs w:val="24"/>
              </w:rPr>
            </w:pPr>
            <w:r>
              <w:rPr>
                <w:snapToGrid w:val="0"/>
                <w:color w:val="000000"/>
                <w:szCs w:val="24"/>
              </w:rPr>
              <w:t>21.3</w:t>
            </w:r>
          </w:p>
        </w:tc>
        <w:tc>
          <w:tcPr>
            <w:tcW w:w="1134" w:type="dxa"/>
            <w:vAlign w:val="center"/>
          </w:tcPr>
          <w:p w14:paraId="786C24D9" w14:textId="27FD8EEF" w:rsidR="007A20D1" w:rsidRPr="00DF39E9" w:rsidRDefault="007A20D1" w:rsidP="007A20D1">
            <w:pPr>
              <w:jc w:val="right"/>
              <w:rPr>
                <w:snapToGrid w:val="0"/>
                <w:color w:val="000000"/>
                <w:szCs w:val="24"/>
              </w:rPr>
            </w:pPr>
            <w:r w:rsidRPr="00DF39E9">
              <w:rPr>
                <w:snapToGrid w:val="0"/>
                <w:color w:val="000000"/>
                <w:szCs w:val="24"/>
              </w:rPr>
              <w:t>21.3</w:t>
            </w:r>
          </w:p>
        </w:tc>
      </w:tr>
      <w:tr w:rsidR="007A20D1" w:rsidRPr="00D948C1" w14:paraId="67DAF8E0" w14:textId="77777777" w:rsidTr="0919AEC3">
        <w:tc>
          <w:tcPr>
            <w:tcW w:w="3260" w:type="dxa"/>
          </w:tcPr>
          <w:p w14:paraId="78090BAC" w14:textId="77777777" w:rsidR="007A20D1" w:rsidRPr="00D948C1" w:rsidRDefault="007A20D1" w:rsidP="007A20D1">
            <w:pPr>
              <w:ind w:left="601"/>
              <w:rPr>
                <w:szCs w:val="24"/>
              </w:rPr>
            </w:pPr>
            <w:r w:rsidRPr="00D948C1">
              <w:rPr>
                <w:szCs w:val="24"/>
              </w:rPr>
              <w:t>Women</w:t>
            </w:r>
          </w:p>
        </w:tc>
        <w:tc>
          <w:tcPr>
            <w:tcW w:w="1134" w:type="dxa"/>
            <w:vAlign w:val="center"/>
          </w:tcPr>
          <w:p w14:paraId="0E11B488" w14:textId="728220B2" w:rsidR="007A20D1" w:rsidRPr="00294859" w:rsidRDefault="00E948F0" w:rsidP="007A20D1">
            <w:pPr>
              <w:jc w:val="right"/>
              <w:rPr>
                <w:snapToGrid w:val="0"/>
                <w:color w:val="000000"/>
                <w:szCs w:val="24"/>
              </w:rPr>
            </w:pPr>
            <w:r>
              <w:rPr>
                <w:snapToGrid w:val="0"/>
                <w:color w:val="000000"/>
                <w:szCs w:val="24"/>
              </w:rPr>
              <w:t>24.7</w:t>
            </w:r>
          </w:p>
        </w:tc>
        <w:tc>
          <w:tcPr>
            <w:tcW w:w="1026" w:type="dxa"/>
            <w:vAlign w:val="center"/>
          </w:tcPr>
          <w:p w14:paraId="58478060" w14:textId="7F5631A8" w:rsidR="007A20D1" w:rsidRPr="00DF39E9" w:rsidRDefault="007A20D1" w:rsidP="007A20D1">
            <w:pPr>
              <w:jc w:val="right"/>
              <w:rPr>
                <w:snapToGrid w:val="0"/>
                <w:color w:val="000000"/>
                <w:szCs w:val="24"/>
              </w:rPr>
            </w:pPr>
            <w:r w:rsidRPr="00294859">
              <w:rPr>
                <w:snapToGrid w:val="0"/>
                <w:color w:val="000000"/>
                <w:szCs w:val="24"/>
              </w:rPr>
              <w:t>23.6</w:t>
            </w:r>
          </w:p>
        </w:tc>
        <w:tc>
          <w:tcPr>
            <w:tcW w:w="1134" w:type="dxa"/>
            <w:vAlign w:val="center"/>
          </w:tcPr>
          <w:p w14:paraId="4A14BAD7" w14:textId="1C99C38B" w:rsidR="007A20D1" w:rsidRPr="00DF39E9" w:rsidRDefault="0066528F" w:rsidP="007A20D1">
            <w:pPr>
              <w:jc w:val="right"/>
              <w:rPr>
                <w:snapToGrid w:val="0"/>
                <w:color w:val="000000"/>
                <w:szCs w:val="24"/>
              </w:rPr>
            </w:pPr>
            <w:r>
              <w:rPr>
                <w:snapToGrid w:val="0"/>
                <w:color w:val="000000"/>
                <w:szCs w:val="24"/>
              </w:rPr>
              <w:t>23.6</w:t>
            </w:r>
          </w:p>
        </w:tc>
        <w:tc>
          <w:tcPr>
            <w:tcW w:w="993" w:type="dxa"/>
            <w:vAlign w:val="center"/>
          </w:tcPr>
          <w:p w14:paraId="1850AD63" w14:textId="2C0CD576" w:rsidR="007A20D1" w:rsidRPr="00DF39E9" w:rsidRDefault="007A20D1" w:rsidP="007A20D1">
            <w:pPr>
              <w:jc w:val="right"/>
              <w:rPr>
                <w:snapToGrid w:val="0"/>
                <w:color w:val="000000"/>
                <w:szCs w:val="24"/>
              </w:rPr>
            </w:pPr>
            <w:r w:rsidRPr="00DF39E9">
              <w:rPr>
                <w:snapToGrid w:val="0"/>
                <w:color w:val="000000"/>
                <w:szCs w:val="24"/>
              </w:rPr>
              <w:t>23.6</w:t>
            </w:r>
          </w:p>
        </w:tc>
        <w:tc>
          <w:tcPr>
            <w:tcW w:w="992" w:type="dxa"/>
            <w:vAlign w:val="center"/>
          </w:tcPr>
          <w:p w14:paraId="6A187C4A" w14:textId="264421F3" w:rsidR="007A20D1" w:rsidRPr="00DF39E9" w:rsidRDefault="00667EE4" w:rsidP="007A20D1">
            <w:pPr>
              <w:jc w:val="right"/>
              <w:rPr>
                <w:snapToGrid w:val="0"/>
                <w:color w:val="000000"/>
                <w:szCs w:val="24"/>
              </w:rPr>
            </w:pPr>
            <w:r>
              <w:rPr>
                <w:snapToGrid w:val="0"/>
                <w:color w:val="000000"/>
                <w:szCs w:val="24"/>
              </w:rPr>
              <w:t>21.3</w:t>
            </w:r>
          </w:p>
        </w:tc>
        <w:tc>
          <w:tcPr>
            <w:tcW w:w="1134" w:type="dxa"/>
            <w:vAlign w:val="center"/>
          </w:tcPr>
          <w:p w14:paraId="48650E1B" w14:textId="39F2C55E" w:rsidR="007A20D1" w:rsidRPr="00DF39E9" w:rsidRDefault="007A20D1" w:rsidP="007A20D1">
            <w:pPr>
              <w:jc w:val="right"/>
              <w:rPr>
                <w:snapToGrid w:val="0"/>
                <w:color w:val="000000"/>
                <w:szCs w:val="24"/>
              </w:rPr>
            </w:pPr>
            <w:r w:rsidRPr="00DF39E9">
              <w:rPr>
                <w:snapToGrid w:val="0"/>
                <w:color w:val="000000"/>
                <w:szCs w:val="24"/>
              </w:rPr>
              <w:t>21.3</w:t>
            </w:r>
          </w:p>
        </w:tc>
      </w:tr>
    </w:tbl>
    <w:p w14:paraId="24FCB1F6" w14:textId="77777777" w:rsidR="001E71F1" w:rsidRPr="00D948C1" w:rsidRDefault="001E71F1"/>
    <w:tbl>
      <w:tblPr>
        <w:tblW w:w="96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134"/>
        <w:gridCol w:w="1026"/>
        <w:gridCol w:w="1134"/>
        <w:gridCol w:w="993"/>
        <w:gridCol w:w="992"/>
        <w:gridCol w:w="1134"/>
      </w:tblGrid>
      <w:tr w:rsidR="00526A3B" w:rsidRPr="00D948C1" w14:paraId="145FE162" w14:textId="77777777" w:rsidTr="6498351E">
        <w:tc>
          <w:tcPr>
            <w:tcW w:w="9673" w:type="dxa"/>
            <w:gridSpan w:val="7"/>
            <w:shd w:val="clear" w:color="auto" w:fill="D9D9D9" w:themeFill="background1" w:themeFillShade="D9"/>
          </w:tcPr>
          <w:p w14:paraId="024B0DDF" w14:textId="05A4923D" w:rsidR="00526A3B" w:rsidRPr="00D948C1" w:rsidRDefault="00526A3B" w:rsidP="00EF0ED9">
            <w:pPr>
              <w:rPr>
                <w:b/>
                <w:bCs/>
                <w:snapToGrid w:val="0"/>
                <w:color w:val="000000"/>
                <w:szCs w:val="24"/>
              </w:rPr>
            </w:pPr>
            <w:r w:rsidRPr="00D948C1">
              <w:rPr>
                <w:b/>
                <w:bCs/>
                <w:szCs w:val="24"/>
              </w:rPr>
              <w:t>Longevity at 65 for future pensioners:</w:t>
            </w:r>
          </w:p>
        </w:tc>
      </w:tr>
      <w:tr w:rsidR="007A20D1" w:rsidRPr="00D948C1" w14:paraId="5360AEC5" w14:textId="77777777" w:rsidTr="6498351E">
        <w:tc>
          <w:tcPr>
            <w:tcW w:w="3260" w:type="dxa"/>
          </w:tcPr>
          <w:p w14:paraId="3D561704" w14:textId="77777777" w:rsidR="007A20D1" w:rsidRPr="00D948C1" w:rsidRDefault="007A20D1" w:rsidP="007A20D1">
            <w:pPr>
              <w:ind w:left="601"/>
              <w:rPr>
                <w:szCs w:val="24"/>
              </w:rPr>
            </w:pPr>
            <w:r w:rsidRPr="00D948C1">
              <w:rPr>
                <w:szCs w:val="24"/>
              </w:rPr>
              <w:t>Men</w:t>
            </w:r>
          </w:p>
        </w:tc>
        <w:tc>
          <w:tcPr>
            <w:tcW w:w="1134" w:type="dxa"/>
            <w:vAlign w:val="center"/>
          </w:tcPr>
          <w:p w14:paraId="2ABDB797" w14:textId="7B8FD49D" w:rsidR="007A20D1" w:rsidRPr="00294859" w:rsidRDefault="00D267EF" w:rsidP="007A20D1">
            <w:pPr>
              <w:jc w:val="right"/>
              <w:rPr>
                <w:snapToGrid w:val="0"/>
                <w:color w:val="000000"/>
                <w:szCs w:val="24"/>
              </w:rPr>
            </w:pPr>
            <w:r>
              <w:rPr>
                <w:snapToGrid w:val="0"/>
                <w:color w:val="000000"/>
                <w:szCs w:val="24"/>
              </w:rPr>
              <w:t>22.1</w:t>
            </w:r>
          </w:p>
        </w:tc>
        <w:tc>
          <w:tcPr>
            <w:tcW w:w="1026" w:type="dxa"/>
            <w:vAlign w:val="center"/>
          </w:tcPr>
          <w:p w14:paraId="4B38EC1A" w14:textId="2C127F9E" w:rsidR="007A20D1" w:rsidRPr="00DF39E9" w:rsidRDefault="007A20D1" w:rsidP="007A20D1">
            <w:pPr>
              <w:jc w:val="right"/>
              <w:rPr>
                <w:snapToGrid w:val="0"/>
                <w:color w:val="000000"/>
                <w:szCs w:val="24"/>
              </w:rPr>
            </w:pPr>
            <w:r w:rsidRPr="00294859">
              <w:rPr>
                <w:snapToGrid w:val="0"/>
                <w:color w:val="000000"/>
                <w:szCs w:val="24"/>
              </w:rPr>
              <w:t>21.3</w:t>
            </w:r>
          </w:p>
        </w:tc>
        <w:tc>
          <w:tcPr>
            <w:tcW w:w="1134" w:type="dxa"/>
            <w:vAlign w:val="center"/>
          </w:tcPr>
          <w:p w14:paraId="61C68FE3" w14:textId="3122D321" w:rsidR="007A20D1" w:rsidRPr="00DF39E9" w:rsidRDefault="0066528F" w:rsidP="007A20D1">
            <w:pPr>
              <w:jc w:val="right"/>
              <w:rPr>
                <w:snapToGrid w:val="0"/>
                <w:color w:val="000000"/>
                <w:szCs w:val="24"/>
              </w:rPr>
            </w:pPr>
            <w:r>
              <w:rPr>
                <w:snapToGrid w:val="0"/>
                <w:color w:val="000000"/>
                <w:szCs w:val="24"/>
              </w:rPr>
              <w:t>22.1</w:t>
            </w:r>
          </w:p>
        </w:tc>
        <w:tc>
          <w:tcPr>
            <w:tcW w:w="993" w:type="dxa"/>
            <w:vAlign w:val="center"/>
          </w:tcPr>
          <w:p w14:paraId="198AEDA1" w14:textId="32670281" w:rsidR="007A20D1" w:rsidRPr="00DF39E9" w:rsidRDefault="007A20D1" w:rsidP="007A20D1">
            <w:pPr>
              <w:jc w:val="right"/>
              <w:rPr>
                <w:snapToGrid w:val="0"/>
                <w:color w:val="000000"/>
                <w:szCs w:val="24"/>
              </w:rPr>
            </w:pPr>
            <w:r w:rsidRPr="00DF39E9">
              <w:rPr>
                <w:snapToGrid w:val="0"/>
                <w:color w:val="000000"/>
                <w:szCs w:val="24"/>
              </w:rPr>
              <w:t>22.</w:t>
            </w:r>
            <w:r>
              <w:rPr>
                <w:snapToGrid w:val="0"/>
                <w:color w:val="000000"/>
                <w:szCs w:val="24"/>
              </w:rPr>
              <w:t>3</w:t>
            </w:r>
          </w:p>
        </w:tc>
        <w:tc>
          <w:tcPr>
            <w:tcW w:w="992" w:type="dxa"/>
            <w:vAlign w:val="center"/>
          </w:tcPr>
          <w:p w14:paraId="01CAFE20" w14:textId="4C88BB66" w:rsidR="007A20D1" w:rsidRPr="00DF39E9" w:rsidRDefault="008A253F" w:rsidP="007A20D1">
            <w:pPr>
              <w:jc w:val="right"/>
              <w:rPr>
                <w:snapToGrid w:val="0"/>
                <w:color w:val="000000"/>
                <w:szCs w:val="24"/>
              </w:rPr>
            </w:pPr>
            <w:r>
              <w:rPr>
                <w:snapToGrid w:val="0"/>
                <w:color w:val="000000"/>
                <w:szCs w:val="24"/>
              </w:rPr>
              <w:t>22.8</w:t>
            </w:r>
          </w:p>
        </w:tc>
        <w:tc>
          <w:tcPr>
            <w:tcW w:w="1134" w:type="dxa"/>
            <w:vAlign w:val="center"/>
          </w:tcPr>
          <w:p w14:paraId="6383D3C9" w14:textId="5D7A64E8" w:rsidR="007A20D1" w:rsidRPr="00DF39E9" w:rsidRDefault="007A20D1" w:rsidP="007A20D1">
            <w:pPr>
              <w:jc w:val="right"/>
              <w:rPr>
                <w:snapToGrid w:val="0"/>
                <w:color w:val="000000"/>
                <w:szCs w:val="24"/>
              </w:rPr>
            </w:pPr>
            <w:r w:rsidRPr="00DF39E9">
              <w:rPr>
                <w:snapToGrid w:val="0"/>
                <w:color w:val="000000"/>
                <w:szCs w:val="24"/>
              </w:rPr>
              <w:t>22.7</w:t>
            </w:r>
          </w:p>
        </w:tc>
      </w:tr>
      <w:tr w:rsidR="007A20D1" w:rsidRPr="00D948C1" w14:paraId="1D719DAF" w14:textId="77777777" w:rsidTr="6498351E">
        <w:tc>
          <w:tcPr>
            <w:tcW w:w="3260" w:type="dxa"/>
          </w:tcPr>
          <w:p w14:paraId="3F1DA9DC" w14:textId="77777777" w:rsidR="007A20D1" w:rsidRPr="00D948C1" w:rsidRDefault="007A20D1" w:rsidP="007A20D1">
            <w:pPr>
              <w:ind w:left="601"/>
              <w:rPr>
                <w:szCs w:val="24"/>
              </w:rPr>
            </w:pPr>
            <w:r w:rsidRPr="00D948C1">
              <w:rPr>
                <w:szCs w:val="24"/>
              </w:rPr>
              <w:t>Women</w:t>
            </w:r>
          </w:p>
        </w:tc>
        <w:tc>
          <w:tcPr>
            <w:tcW w:w="1134" w:type="dxa"/>
            <w:vAlign w:val="center"/>
          </w:tcPr>
          <w:p w14:paraId="700A4525" w14:textId="7E7237DA" w:rsidR="007A20D1" w:rsidRPr="00294859" w:rsidRDefault="00D267EF" w:rsidP="007A20D1">
            <w:pPr>
              <w:jc w:val="right"/>
              <w:rPr>
                <w:snapToGrid w:val="0"/>
                <w:color w:val="000000"/>
                <w:szCs w:val="24"/>
              </w:rPr>
            </w:pPr>
            <w:r>
              <w:rPr>
                <w:snapToGrid w:val="0"/>
                <w:color w:val="000000"/>
                <w:szCs w:val="24"/>
              </w:rPr>
              <w:t>25.7</w:t>
            </w:r>
          </w:p>
        </w:tc>
        <w:tc>
          <w:tcPr>
            <w:tcW w:w="1026" w:type="dxa"/>
            <w:vAlign w:val="center"/>
          </w:tcPr>
          <w:p w14:paraId="550B8FAE" w14:textId="669C789B" w:rsidR="007A20D1" w:rsidRPr="00DF39E9" w:rsidRDefault="007A20D1" w:rsidP="007A20D1">
            <w:pPr>
              <w:jc w:val="right"/>
              <w:rPr>
                <w:snapToGrid w:val="0"/>
                <w:color w:val="000000"/>
                <w:szCs w:val="24"/>
              </w:rPr>
            </w:pPr>
            <w:r w:rsidRPr="00294859">
              <w:rPr>
                <w:snapToGrid w:val="0"/>
                <w:color w:val="000000"/>
                <w:szCs w:val="24"/>
              </w:rPr>
              <w:t>25.2</w:t>
            </w:r>
          </w:p>
        </w:tc>
        <w:tc>
          <w:tcPr>
            <w:tcW w:w="1134" w:type="dxa"/>
            <w:vAlign w:val="center"/>
          </w:tcPr>
          <w:p w14:paraId="3793EE23" w14:textId="0CCA5811" w:rsidR="007A20D1" w:rsidRPr="00DF39E9" w:rsidRDefault="0066528F" w:rsidP="007A20D1">
            <w:pPr>
              <w:jc w:val="right"/>
              <w:rPr>
                <w:snapToGrid w:val="0"/>
                <w:color w:val="000000"/>
                <w:szCs w:val="24"/>
              </w:rPr>
            </w:pPr>
            <w:r>
              <w:rPr>
                <w:snapToGrid w:val="0"/>
                <w:color w:val="000000"/>
                <w:szCs w:val="24"/>
              </w:rPr>
              <w:t>25.1</w:t>
            </w:r>
          </w:p>
        </w:tc>
        <w:tc>
          <w:tcPr>
            <w:tcW w:w="993" w:type="dxa"/>
            <w:vAlign w:val="center"/>
          </w:tcPr>
          <w:p w14:paraId="41238C15" w14:textId="57A88E59" w:rsidR="007A20D1" w:rsidRPr="00DF39E9" w:rsidRDefault="007A20D1" w:rsidP="007A20D1">
            <w:pPr>
              <w:jc w:val="right"/>
              <w:rPr>
                <w:snapToGrid w:val="0"/>
                <w:color w:val="000000"/>
                <w:szCs w:val="24"/>
              </w:rPr>
            </w:pPr>
            <w:r w:rsidRPr="00DF39E9">
              <w:rPr>
                <w:snapToGrid w:val="0"/>
                <w:color w:val="000000"/>
                <w:szCs w:val="24"/>
              </w:rPr>
              <w:t>25.</w:t>
            </w:r>
            <w:r w:rsidRPr="0919AEC3">
              <w:rPr>
                <w:snapToGrid w:val="0"/>
                <w:color w:val="000000"/>
              </w:rPr>
              <w:t>4</w:t>
            </w:r>
          </w:p>
        </w:tc>
        <w:tc>
          <w:tcPr>
            <w:tcW w:w="992" w:type="dxa"/>
            <w:vAlign w:val="center"/>
          </w:tcPr>
          <w:p w14:paraId="0BC1D387" w14:textId="0B8E31C7" w:rsidR="007A20D1" w:rsidRPr="00DF39E9" w:rsidRDefault="008A253F" w:rsidP="007A20D1">
            <w:pPr>
              <w:jc w:val="right"/>
              <w:rPr>
                <w:snapToGrid w:val="0"/>
                <w:color w:val="000000"/>
                <w:szCs w:val="24"/>
              </w:rPr>
            </w:pPr>
            <w:r>
              <w:rPr>
                <w:snapToGrid w:val="0"/>
                <w:color w:val="000000"/>
                <w:szCs w:val="24"/>
              </w:rPr>
              <w:t>22.8</w:t>
            </w:r>
          </w:p>
        </w:tc>
        <w:tc>
          <w:tcPr>
            <w:tcW w:w="1134" w:type="dxa"/>
            <w:vAlign w:val="center"/>
          </w:tcPr>
          <w:p w14:paraId="25DCA9FA" w14:textId="6B5C4E4F" w:rsidR="007A20D1" w:rsidRPr="00DF39E9" w:rsidRDefault="007A20D1" w:rsidP="007A20D1">
            <w:pPr>
              <w:jc w:val="right"/>
              <w:rPr>
                <w:snapToGrid w:val="0"/>
                <w:color w:val="000000"/>
                <w:szCs w:val="24"/>
              </w:rPr>
            </w:pPr>
            <w:r w:rsidRPr="00DF39E9">
              <w:rPr>
                <w:snapToGrid w:val="0"/>
                <w:color w:val="000000"/>
                <w:szCs w:val="24"/>
              </w:rPr>
              <w:t>22.7</w:t>
            </w:r>
          </w:p>
        </w:tc>
      </w:tr>
      <w:tr w:rsidR="007A20D1" w:rsidRPr="00D948C1" w14:paraId="11E8A6B3" w14:textId="77777777" w:rsidTr="6498351E">
        <w:tc>
          <w:tcPr>
            <w:tcW w:w="3260" w:type="dxa"/>
          </w:tcPr>
          <w:p w14:paraId="2ABB0F74" w14:textId="77777777" w:rsidR="007A20D1" w:rsidRPr="00D948C1" w:rsidRDefault="007A20D1" w:rsidP="007A20D1">
            <w:pPr>
              <w:rPr>
                <w:szCs w:val="24"/>
              </w:rPr>
            </w:pPr>
            <w:r w:rsidRPr="00D948C1">
              <w:rPr>
                <w:szCs w:val="24"/>
              </w:rPr>
              <w:t>Rate of CPI inflation</w:t>
            </w:r>
          </w:p>
        </w:tc>
        <w:tc>
          <w:tcPr>
            <w:tcW w:w="1134" w:type="dxa"/>
            <w:vAlign w:val="center"/>
          </w:tcPr>
          <w:p w14:paraId="654C968D" w14:textId="6A1C53BA" w:rsidR="007A20D1" w:rsidRPr="00294859" w:rsidRDefault="00B529B6" w:rsidP="007A20D1">
            <w:pPr>
              <w:jc w:val="right"/>
              <w:rPr>
                <w:snapToGrid w:val="0"/>
                <w:color w:val="000000"/>
              </w:rPr>
            </w:pPr>
            <w:r>
              <w:rPr>
                <w:snapToGrid w:val="0"/>
                <w:color w:val="000000"/>
              </w:rPr>
              <w:t>3.00%</w:t>
            </w:r>
          </w:p>
        </w:tc>
        <w:tc>
          <w:tcPr>
            <w:tcW w:w="1026" w:type="dxa"/>
            <w:vAlign w:val="center"/>
          </w:tcPr>
          <w:p w14:paraId="46388F04" w14:textId="733B5592" w:rsidR="007A20D1" w:rsidRPr="00DF39E9" w:rsidRDefault="007A20D1" w:rsidP="007A20D1">
            <w:pPr>
              <w:jc w:val="right"/>
              <w:rPr>
                <w:snapToGrid w:val="0"/>
                <w:color w:val="000000"/>
                <w:szCs w:val="24"/>
              </w:rPr>
            </w:pPr>
            <w:r w:rsidRPr="6498351E">
              <w:rPr>
                <w:snapToGrid w:val="0"/>
                <w:color w:val="000000"/>
              </w:rPr>
              <w:t>2.70%</w:t>
            </w:r>
          </w:p>
        </w:tc>
        <w:tc>
          <w:tcPr>
            <w:tcW w:w="1134" w:type="dxa"/>
            <w:vAlign w:val="center"/>
          </w:tcPr>
          <w:p w14:paraId="02D36699" w14:textId="51918546" w:rsidR="007A20D1" w:rsidRPr="00DF39E9" w:rsidRDefault="00D03EFC" w:rsidP="007A20D1">
            <w:pPr>
              <w:jc w:val="right"/>
              <w:rPr>
                <w:snapToGrid w:val="0"/>
                <w:color w:val="000000"/>
                <w:szCs w:val="24"/>
              </w:rPr>
            </w:pPr>
            <w:r>
              <w:rPr>
                <w:snapToGrid w:val="0"/>
                <w:color w:val="000000"/>
                <w:szCs w:val="24"/>
              </w:rPr>
              <w:t>2.90%</w:t>
            </w:r>
          </w:p>
        </w:tc>
        <w:tc>
          <w:tcPr>
            <w:tcW w:w="993" w:type="dxa"/>
            <w:vAlign w:val="center"/>
          </w:tcPr>
          <w:p w14:paraId="03139C68" w14:textId="10A74C56" w:rsidR="007A20D1" w:rsidRPr="00DF39E9" w:rsidRDefault="007A20D1" w:rsidP="007A20D1">
            <w:pPr>
              <w:jc w:val="right"/>
              <w:rPr>
                <w:snapToGrid w:val="0"/>
                <w:color w:val="000000"/>
                <w:szCs w:val="24"/>
              </w:rPr>
            </w:pPr>
            <w:r w:rsidRPr="00DF39E9">
              <w:rPr>
                <w:snapToGrid w:val="0"/>
                <w:color w:val="000000"/>
                <w:szCs w:val="24"/>
              </w:rPr>
              <w:t>2.60%</w:t>
            </w:r>
          </w:p>
        </w:tc>
        <w:tc>
          <w:tcPr>
            <w:tcW w:w="992" w:type="dxa"/>
            <w:vAlign w:val="center"/>
          </w:tcPr>
          <w:p w14:paraId="2263E454" w14:textId="6C1E1249" w:rsidR="007A20D1" w:rsidRPr="00DF39E9" w:rsidRDefault="003E15F2" w:rsidP="007A20D1">
            <w:pPr>
              <w:jc w:val="right"/>
              <w:rPr>
                <w:snapToGrid w:val="0"/>
                <w:color w:val="000000"/>
                <w:szCs w:val="24"/>
              </w:rPr>
            </w:pPr>
            <w:r>
              <w:rPr>
                <w:snapToGrid w:val="0"/>
                <w:color w:val="000000"/>
                <w:szCs w:val="24"/>
              </w:rPr>
              <w:t>2.95%</w:t>
            </w:r>
          </w:p>
        </w:tc>
        <w:tc>
          <w:tcPr>
            <w:tcW w:w="1134" w:type="dxa"/>
            <w:vAlign w:val="center"/>
          </w:tcPr>
          <w:p w14:paraId="6D3B2ADF" w14:textId="43454B7B" w:rsidR="007A20D1" w:rsidRPr="00DF39E9" w:rsidRDefault="007A20D1" w:rsidP="007A20D1">
            <w:pPr>
              <w:jc w:val="right"/>
              <w:rPr>
                <w:snapToGrid w:val="0"/>
                <w:color w:val="000000"/>
                <w:szCs w:val="24"/>
              </w:rPr>
            </w:pPr>
            <w:r w:rsidRPr="00DF39E9">
              <w:rPr>
                <w:snapToGrid w:val="0"/>
                <w:color w:val="000000"/>
                <w:szCs w:val="24"/>
              </w:rPr>
              <w:t>2.70%</w:t>
            </w:r>
          </w:p>
        </w:tc>
      </w:tr>
      <w:tr w:rsidR="007A20D1" w:rsidRPr="00D948C1" w14:paraId="119731DB" w14:textId="77777777" w:rsidTr="6498351E">
        <w:tc>
          <w:tcPr>
            <w:tcW w:w="3260" w:type="dxa"/>
          </w:tcPr>
          <w:p w14:paraId="254FD3E8" w14:textId="77777777" w:rsidR="007A20D1" w:rsidRPr="00D948C1" w:rsidRDefault="007A20D1" w:rsidP="007A20D1">
            <w:pPr>
              <w:rPr>
                <w:szCs w:val="24"/>
              </w:rPr>
            </w:pPr>
            <w:r w:rsidRPr="00D948C1">
              <w:rPr>
                <w:szCs w:val="24"/>
              </w:rPr>
              <w:t>Rate of increase in salaries</w:t>
            </w:r>
          </w:p>
        </w:tc>
        <w:tc>
          <w:tcPr>
            <w:tcW w:w="1134" w:type="dxa"/>
            <w:vAlign w:val="center"/>
          </w:tcPr>
          <w:p w14:paraId="02812B93" w14:textId="44C1CA2A" w:rsidR="007A20D1" w:rsidRPr="00294859" w:rsidRDefault="00FA5176" w:rsidP="007A20D1">
            <w:pPr>
              <w:jc w:val="right"/>
              <w:rPr>
                <w:snapToGrid w:val="0"/>
                <w:color w:val="000000"/>
              </w:rPr>
            </w:pPr>
            <w:r>
              <w:rPr>
                <w:snapToGrid w:val="0"/>
                <w:color w:val="000000"/>
              </w:rPr>
              <w:t>3.70%</w:t>
            </w:r>
          </w:p>
        </w:tc>
        <w:tc>
          <w:tcPr>
            <w:tcW w:w="1026" w:type="dxa"/>
            <w:vAlign w:val="center"/>
          </w:tcPr>
          <w:p w14:paraId="30715409" w14:textId="578CCA1D" w:rsidR="007A20D1" w:rsidRPr="00DF39E9" w:rsidRDefault="007A20D1" w:rsidP="007A20D1">
            <w:pPr>
              <w:jc w:val="right"/>
              <w:rPr>
                <w:snapToGrid w:val="0"/>
                <w:color w:val="000000"/>
                <w:szCs w:val="24"/>
              </w:rPr>
            </w:pPr>
            <w:r w:rsidRPr="6498351E">
              <w:rPr>
                <w:snapToGrid w:val="0"/>
                <w:color w:val="000000"/>
              </w:rPr>
              <w:t>3.40%</w:t>
            </w:r>
          </w:p>
        </w:tc>
        <w:tc>
          <w:tcPr>
            <w:tcW w:w="1134" w:type="dxa"/>
            <w:vAlign w:val="center"/>
          </w:tcPr>
          <w:p w14:paraId="06B1A881" w14:textId="5B54E4EE" w:rsidR="007A20D1" w:rsidRPr="00DF39E9" w:rsidRDefault="00D03EFC" w:rsidP="007A20D1">
            <w:pPr>
              <w:jc w:val="right"/>
              <w:rPr>
                <w:snapToGrid w:val="0"/>
                <w:color w:val="000000"/>
                <w:szCs w:val="24"/>
              </w:rPr>
            </w:pPr>
            <w:r>
              <w:rPr>
                <w:snapToGrid w:val="0"/>
                <w:color w:val="000000"/>
                <w:szCs w:val="24"/>
              </w:rPr>
              <w:t>4.40%</w:t>
            </w:r>
          </w:p>
        </w:tc>
        <w:tc>
          <w:tcPr>
            <w:tcW w:w="993" w:type="dxa"/>
            <w:vAlign w:val="center"/>
          </w:tcPr>
          <w:p w14:paraId="689A0F10" w14:textId="0A344E43" w:rsidR="007A20D1" w:rsidRPr="00DF39E9" w:rsidRDefault="007A20D1" w:rsidP="007A20D1">
            <w:pPr>
              <w:jc w:val="right"/>
              <w:rPr>
                <w:snapToGrid w:val="0"/>
                <w:color w:val="000000"/>
                <w:szCs w:val="24"/>
              </w:rPr>
            </w:pPr>
            <w:r w:rsidRPr="00DF39E9">
              <w:rPr>
                <w:snapToGrid w:val="0"/>
                <w:color w:val="000000"/>
                <w:szCs w:val="24"/>
              </w:rPr>
              <w:t>4.10%</w:t>
            </w:r>
          </w:p>
        </w:tc>
        <w:tc>
          <w:tcPr>
            <w:tcW w:w="992" w:type="dxa"/>
            <w:vAlign w:val="center"/>
          </w:tcPr>
          <w:p w14:paraId="7940CD79" w14:textId="0B77A897" w:rsidR="007A20D1" w:rsidRPr="00DF39E9" w:rsidRDefault="004A72B3" w:rsidP="007A20D1">
            <w:pPr>
              <w:jc w:val="right"/>
              <w:rPr>
                <w:snapToGrid w:val="0"/>
                <w:color w:val="000000"/>
                <w:szCs w:val="24"/>
              </w:rPr>
            </w:pPr>
            <w:r>
              <w:rPr>
                <w:snapToGrid w:val="0"/>
                <w:color w:val="000000"/>
                <w:szCs w:val="24"/>
              </w:rPr>
              <w:t>3.70%</w:t>
            </w:r>
          </w:p>
        </w:tc>
        <w:tc>
          <w:tcPr>
            <w:tcW w:w="1134" w:type="dxa"/>
            <w:vAlign w:val="center"/>
          </w:tcPr>
          <w:p w14:paraId="4617940B" w14:textId="06A1EC20" w:rsidR="007A20D1" w:rsidRPr="00DF39E9" w:rsidRDefault="007A20D1" w:rsidP="007A20D1">
            <w:pPr>
              <w:jc w:val="right"/>
              <w:rPr>
                <w:snapToGrid w:val="0"/>
                <w:color w:val="000000"/>
                <w:szCs w:val="24"/>
              </w:rPr>
            </w:pPr>
            <w:r w:rsidRPr="00DF39E9">
              <w:rPr>
                <w:snapToGrid w:val="0"/>
                <w:color w:val="000000"/>
                <w:szCs w:val="24"/>
              </w:rPr>
              <w:t>3.45%</w:t>
            </w:r>
          </w:p>
        </w:tc>
      </w:tr>
      <w:tr w:rsidR="007A20D1" w:rsidRPr="00D948C1" w14:paraId="101DD171" w14:textId="77777777" w:rsidTr="6498351E">
        <w:tc>
          <w:tcPr>
            <w:tcW w:w="3260" w:type="dxa"/>
          </w:tcPr>
          <w:p w14:paraId="70605973" w14:textId="77777777" w:rsidR="007A20D1" w:rsidRPr="00D948C1" w:rsidRDefault="007A20D1" w:rsidP="007A20D1">
            <w:pPr>
              <w:rPr>
                <w:szCs w:val="24"/>
              </w:rPr>
            </w:pPr>
            <w:r w:rsidRPr="00D948C1">
              <w:rPr>
                <w:szCs w:val="24"/>
              </w:rPr>
              <w:t>Rate of increase in pensions</w:t>
            </w:r>
          </w:p>
        </w:tc>
        <w:tc>
          <w:tcPr>
            <w:tcW w:w="1134" w:type="dxa"/>
            <w:vAlign w:val="center"/>
          </w:tcPr>
          <w:p w14:paraId="3B548824" w14:textId="49972300" w:rsidR="007A20D1" w:rsidRPr="00294859" w:rsidRDefault="00FA5176" w:rsidP="007A20D1">
            <w:pPr>
              <w:jc w:val="right"/>
              <w:rPr>
                <w:snapToGrid w:val="0"/>
                <w:color w:val="000000"/>
              </w:rPr>
            </w:pPr>
            <w:r>
              <w:rPr>
                <w:snapToGrid w:val="0"/>
                <w:color w:val="000000"/>
              </w:rPr>
              <w:t>3.00%</w:t>
            </w:r>
          </w:p>
        </w:tc>
        <w:tc>
          <w:tcPr>
            <w:tcW w:w="1026" w:type="dxa"/>
            <w:vAlign w:val="center"/>
          </w:tcPr>
          <w:p w14:paraId="34F78E31" w14:textId="62DD53C3" w:rsidR="007A20D1" w:rsidRPr="00DF39E9" w:rsidRDefault="007A20D1" w:rsidP="007A20D1">
            <w:pPr>
              <w:jc w:val="right"/>
              <w:rPr>
                <w:snapToGrid w:val="0"/>
                <w:color w:val="000000"/>
                <w:szCs w:val="24"/>
              </w:rPr>
            </w:pPr>
            <w:r w:rsidRPr="6498351E">
              <w:rPr>
                <w:snapToGrid w:val="0"/>
                <w:color w:val="000000"/>
              </w:rPr>
              <w:t>2.70%</w:t>
            </w:r>
          </w:p>
        </w:tc>
        <w:tc>
          <w:tcPr>
            <w:tcW w:w="1134" w:type="dxa"/>
            <w:vAlign w:val="center"/>
          </w:tcPr>
          <w:p w14:paraId="1816C1B9" w14:textId="1664B2F6" w:rsidR="007A20D1" w:rsidRPr="00DF39E9" w:rsidRDefault="00D03EFC" w:rsidP="007A20D1">
            <w:pPr>
              <w:jc w:val="right"/>
              <w:rPr>
                <w:snapToGrid w:val="0"/>
                <w:color w:val="000000"/>
                <w:szCs w:val="24"/>
              </w:rPr>
            </w:pPr>
            <w:r>
              <w:rPr>
                <w:snapToGrid w:val="0"/>
                <w:color w:val="000000"/>
                <w:szCs w:val="24"/>
              </w:rPr>
              <w:t>3.00%</w:t>
            </w:r>
          </w:p>
        </w:tc>
        <w:tc>
          <w:tcPr>
            <w:tcW w:w="993" w:type="dxa"/>
            <w:vAlign w:val="center"/>
          </w:tcPr>
          <w:p w14:paraId="3C129A78" w14:textId="23D6999A" w:rsidR="007A20D1" w:rsidRPr="00DF39E9" w:rsidRDefault="007A20D1" w:rsidP="007A20D1">
            <w:pPr>
              <w:jc w:val="right"/>
              <w:rPr>
                <w:snapToGrid w:val="0"/>
                <w:color w:val="000000"/>
                <w:szCs w:val="24"/>
              </w:rPr>
            </w:pPr>
            <w:r w:rsidRPr="00DF39E9">
              <w:rPr>
                <w:snapToGrid w:val="0"/>
                <w:color w:val="000000"/>
                <w:szCs w:val="24"/>
              </w:rPr>
              <w:t>2.70%</w:t>
            </w:r>
          </w:p>
        </w:tc>
        <w:tc>
          <w:tcPr>
            <w:tcW w:w="992" w:type="dxa"/>
            <w:vAlign w:val="center"/>
          </w:tcPr>
          <w:p w14:paraId="30BCB347" w14:textId="01BD3285" w:rsidR="007A20D1" w:rsidRPr="00DF39E9" w:rsidRDefault="00F60ADD" w:rsidP="007A20D1">
            <w:pPr>
              <w:jc w:val="right"/>
              <w:rPr>
                <w:snapToGrid w:val="0"/>
                <w:color w:val="000000"/>
                <w:szCs w:val="24"/>
              </w:rPr>
            </w:pPr>
            <w:r>
              <w:rPr>
                <w:snapToGrid w:val="0"/>
                <w:color w:val="000000"/>
                <w:szCs w:val="24"/>
              </w:rPr>
              <w:t>2.95%</w:t>
            </w:r>
          </w:p>
        </w:tc>
        <w:tc>
          <w:tcPr>
            <w:tcW w:w="1134" w:type="dxa"/>
            <w:vAlign w:val="center"/>
          </w:tcPr>
          <w:p w14:paraId="523681C9" w14:textId="5EEEB73E" w:rsidR="007A20D1" w:rsidRPr="00DF39E9" w:rsidRDefault="007A20D1" w:rsidP="007A20D1">
            <w:pPr>
              <w:jc w:val="right"/>
              <w:rPr>
                <w:snapToGrid w:val="0"/>
                <w:color w:val="000000"/>
                <w:szCs w:val="24"/>
              </w:rPr>
            </w:pPr>
            <w:r w:rsidRPr="00DF39E9">
              <w:rPr>
                <w:snapToGrid w:val="0"/>
                <w:color w:val="000000"/>
                <w:szCs w:val="24"/>
              </w:rPr>
              <w:t>2.70%</w:t>
            </w:r>
          </w:p>
        </w:tc>
      </w:tr>
      <w:tr w:rsidR="007A20D1" w:rsidRPr="00D948C1" w14:paraId="23F3C53C" w14:textId="77777777" w:rsidTr="6498351E">
        <w:tc>
          <w:tcPr>
            <w:tcW w:w="3260" w:type="dxa"/>
          </w:tcPr>
          <w:p w14:paraId="62F89239" w14:textId="77777777" w:rsidR="007A20D1" w:rsidRPr="00D948C1" w:rsidRDefault="007A20D1" w:rsidP="007A20D1">
            <w:pPr>
              <w:rPr>
                <w:szCs w:val="24"/>
              </w:rPr>
            </w:pPr>
            <w:r w:rsidRPr="00D948C1">
              <w:rPr>
                <w:szCs w:val="24"/>
              </w:rPr>
              <w:t>Rate for discounting scheme liabilities</w:t>
            </w:r>
          </w:p>
        </w:tc>
        <w:tc>
          <w:tcPr>
            <w:tcW w:w="1134" w:type="dxa"/>
            <w:vAlign w:val="center"/>
          </w:tcPr>
          <w:p w14:paraId="750E7B0E" w14:textId="379ED805" w:rsidR="007A20D1" w:rsidRPr="00294859" w:rsidRDefault="00FA5176" w:rsidP="007A20D1">
            <w:pPr>
              <w:jc w:val="right"/>
              <w:rPr>
                <w:snapToGrid w:val="0"/>
                <w:color w:val="000000"/>
              </w:rPr>
            </w:pPr>
            <w:r>
              <w:rPr>
                <w:snapToGrid w:val="0"/>
                <w:color w:val="000000"/>
              </w:rPr>
              <w:t>6.30%</w:t>
            </w:r>
          </w:p>
        </w:tc>
        <w:tc>
          <w:tcPr>
            <w:tcW w:w="1026" w:type="dxa"/>
            <w:vAlign w:val="center"/>
          </w:tcPr>
          <w:p w14:paraId="4793CCEF" w14:textId="2B3CB8FB" w:rsidR="007A20D1" w:rsidRPr="00DF39E9" w:rsidRDefault="007A20D1" w:rsidP="007A20D1">
            <w:pPr>
              <w:jc w:val="right"/>
              <w:rPr>
                <w:snapToGrid w:val="0"/>
                <w:color w:val="000000"/>
                <w:szCs w:val="24"/>
              </w:rPr>
            </w:pPr>
            <w:r w:rsidRPr="6498351E">
              <w:rPr>
                <w:snapToGrid w:val="0"/>
                <w:color w:val="000000"/>
              </w:rPr>
              <w:t>5.85%</w:t>
            </w:r>
          </w:p>
        </w:tc>
        <w:tc>
          <w:tcPr>
            <w:tcW w:w="1134" w:type="dxa"/>
            <w:vAlign w:val="center"/>
          </w:tcPr>
          <w:p w14:paraId="0C29C89D" w14:textId="20DE46C2" w:rsidR="007A20D1" w:rsidRPr="00DF39E9" w:rsidRDefault="008F65D3" w:rsidP="007A20D1">
            <w:pPr>
              <w:jc w:val="right"/>
              <w:rPr>
                <w:snapToGrid w:val="0"/>
                <w:color w:val="000000"/>
                <w:szCs w:val="24"/>
              </w:rPr>
            </w:pPr>
            <w:r>
              <w:rPr>
                <w:snapToGrid w:val="0"/>
                <w:color w:val="000000"/>
                <w:szCs w:val="24"/>
              </w:rPr>
              <w:t>6.20%</w:t>
            </w:r>
          </w:p>
        </w:tc>
        <w:tc>
          <w:tcPr>
            <w:tcW w:w="993" w:type="dxa"/>
            <w:vAlign w:val="center"/>
          </w:tcPr>
          <w:p w14:paraId="3A01F611" w14:textId="02AE8F2A" w:rsidR="007A20D1" w:rsidRPr="00DF39E9" w:rsidRDefault="007A20D1" w:rsidP="007A20D1">
            <w:pPr>
              <w:jc w:val="right"/>
              <w:rPr>
                <w:snapToGrid w:val="0"/>
                <w:color w:val="000000"/>
                <w:szCs w:val="24"/>
              </w:rPr>
            </w:pPr>
            <w:r w:rsidRPr="00DF39E9">
              <w:rPr>
                <w:snapToGrid w:val="0"/>
                <w:color w:val="000000"/>
                <w:szCs w:val="24"/>
              </w:rPr>
              <w:t>5.80%</w:t>
            </w:r>
          </w:p>
        </w:tc>
        <w:tc>
          <w:tcPr>
            <w:tcW w:w="992" w:type="dxa"/>
            <w:vAlign w:val="center"/>
          </w:tcPr>
          <w:p w14:paraId="7849CB81" w14:textId="45FF7DC2" w:rsidR="007A20D1" w:rsidRPr="00DF39E9" w:rsidRDefault="008F536A" w:rsidP="007A20D1">
            <w:pPr>
              <w:jc w:val="right"/>
              <w:rPr>
                <w:snapToGrid w:val="0"/>
                <w:color w:val="000000"/>
                <w:szCs w:val="24"/>
              </w:rPr>
            </w:pPr>
            <w:r>
              <w:rPr>
                <w:snapToGrid w:val="0"/>
                <w:color w:val="000000"/>
                <w:szCs w:val="24"/>
              </w:rPr>
              <w:t>6.10%</w:t>
            </w:r>
          </w:p>
        </w:tc>
        <w:tc>
          <w:tcPr>
            <w:tcW w:w="1134" w:type="dxa"/>
            <w:vAlign w:val="center"/>
          </w:tcPr>
          <w:p w14:paraId="42111231" w14:textId="0EACBA6E" w:rsidR="007A20D1" w:rsidRPr="00DF39E9" w:rsidRDefault="007A20D1" w:rsidP="007A20D1">
            <w:pPr>
              <w:jc w:val="right"/>
              <w:rPr>
                <w:snapToGrid w:val="0"/>
                <w:color w:val="000000"/>
                <w:szCs w:val="24"/>
              </w:rPr>
            </w:pPr>
            <w:r w:rsidRPr="00DF39E9">
              <w:rPr>
                <w:snapToGrid w:val="0"/>
                <w:color w:val="000000"/>
                <w:szCs w:val="24"/>
              </w:rPr>
              <w:t>5.65%</w:t>
            </w:r>
          </w:p>
        </w:tc>
      </w:tr>
    </w:tbl>
    <w:p w14:paraId="49360F03" w14:textId="77777777" w:rsidR="00377532" w:rsidRDefault="00377532" w:rsidP="00377532">
      <w:pPr>
        <w:rPr>
          <w:szCs w:val="24"/>
        </w:rPr>
      </w:pPr>
    </w:p>
    <w:p w14:paraId="5577C117" w14:textId="742BA3C1" w:rsidR="00D90216" w:rsidRPr="00D948C1" w:rsidRDefault="00D90216" w:rsidP="00377532">
      <w:pPr>
        <w:ind w:left="720"/>
        <w:rPr>
          <w:szCs w:val="24"/>
        </w:rPr>
      </w:pPr>
      <w:r w:rsidRPr="0000336D">
        <w:rPr>
          <w:szCs w:val="24"/>
        </w:rPr>
        <w:t>The Firefighters’ Pension Scheme has no assets to cover its liabilities. The Local Government Pension Fund’s assets consist of the following categories, by proportion of the total assets held by the Fund:</w:t>
      </w:r>
    </w:p>
    <w:p w14:paraId="6E377482" w14:textId="77777777" w:rsidR="0050693C" w:rsidRPr="00D948C1" w:rsidRDefault="0050693C" w:rsidP="00D90216">
      <w:pPr>
        <w:ind w:left="709"/>
        <w:jc w:val="both"/>
        <w:rPr>
          <w:sz w:val="22"/>
        </w:rPr>
      </w:pP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247"/>
        <w:gridCol w:w="1276"/>
        <w:gridCol w:w="1134"/>
        <w:gridCol w:w="1275"/>
        <w:gridCol w:w="1135"/>
      </w:tblGrid>
      <w:tr w:rsidR="00AD0137" w:rsidRPr="00D948C1" w14:paraId="0182D760" w14:textId="77777777" w:rsidTr="6498351E">
        <w:trPr>
          <w:tblHeader/>
        </w:trPr>
        <w:tc>
          <w:tcPr>
            <w:tcW w:w="1872" w:type="dxa"/>
            <w:shd w:val="clear" w:color="auto" w:fill="BD2716"/>
          </w:tcPr>
          <w:p w14:paraId="607D814E" w14:textId="77777777" w:rsidR="00AD0137" w:rsidRPr="00D948C1" w:rsidRDefault="00AD0137" w:rsidP="0035593C">
            <w:pPr>
              <w:pStyle w:val="00-Normal-BB"/>
              <w:rPr>
                <w:rFonts w:eastAsia="Times New Roman"/>
                <w:color w:val="FFFFFF" w:themeColor="background1"/>
                <w:sz w:val="24"/>
                <w:szCs w:val="24"/>
              </w:rPr>
            </w:pPr>
          </w:p>
        </w:tc>
        <w:tc>
          <w:tcPr>
            <w:tcW w:w="1247" w:type="dxa"/>
            <w:shd w:val="clear" w:color="auto" w:fill="BD2716"/>
          </w:tcPr>
          <w:p w14:paraId="49D684B2" w14:textId="23477CC1" w:rsidR="00AD0137" w:rsidRPr="00D948C1" w:rsidRDefault="00AD0137" w:rsidP="00CD62E6">
            <w:pPr>
              <w:jc w:val="center"/>
              <w:rPr>
                <w:color w:val="FFFFFF" w:themeColor="background1"/>
                <w:szCs w:val="24"/>
              </w:rPr>
            </w:pPr>
          </w:p>
        </w:tc>
        <w:tc>
          <w:tcPr>
            <w:tcW w:w="2410" w:type="dxa"/>
            <w:gridSpan w:val="2"/>
            <w:shd w:val="clear" w:color="auto" w:fill="BD2716"/>
            <w:vAlign w:val="center"/>
          </w:tcPr>
          <w:p w14:paraId="45AD8811" w14:textId="2897700D" w:rsidR="00AD0137" w:rsidRPr="00D948C1" w:rsidRDefault="00AD0137" w:rsidP="00611673">
            <w:pPr>
              <w:jc w:val="center"/>
              <w:rPr>
                <w:color w:val="FFFFFF" w:themeColor="background1"/>
                <w:szCs w:val="24"/>
              </w:rPr>
            </w:pPr>
            <w:r w:rsidRPr="00D948C1">
              <w:rPr>
                <w:color w:val="FFFFFF" w:themeColor="background1"/>
                <w:szCs w:val="24"/>
              </w:rPr>
              <w:t xml:space="preserve">Assets </w:t>
            </w:r>
            <w:proofErr w:type="gramStart"/>
            <w:r w:rsidRPr="00D948C1">
              <w:rPr>
                <w:color w:val="FFFFFF" w:themeColor="background1"/>
                <w:szCs w:val="24"/>
              </w:rPr>
              <w:t>at</w:t>
            </w:r>
            <w:proofErr w:type="gramEnd"/>
            <w:r w:rsidRPr="00D948C1">
              <w:rPr>
                <w:color w:val="FFFFFF" w:themeColor="background1"/>
                <w:szCs w:val="24"/>
              </w:rPr>
              <w:t xml:space="preserve"> 31 March 20</w:t>
            </w:r>
            <w:r w:rsidR="00061A8D" w:rsidRPr="00D948C1">
              <w:rPr>
                <w:color w:val="FFFFFF" w:themeColor="background1"/>
                <w:szCs w:val="24"/>
              </w:rPr>
              <w:t>2</w:t>
            </w:r>
            <w:r w:rsidR="007A20D1">
              <w:rPr>
                <w:color w:val="FFFFFF" w:themeColor="background1"/>
                <w:szCs w:val="24"/>
              </w:rPr>
              <w:t>6</w:t>
            </w:r>
          </w:p>
        </w:tc>
        <w:tc>
          <w:tcPr>
            <w:tcW w:w="2410" w:type="dxa"/>
            <w:gridSpan w:val="2"/>
            <w:shd w:val="clear" w:color="auto" w:fill="BD2716"/>
            <w:vAlign w:val="center"/>
          </w:tcPr>
          <w:p w14:paraId="2D49C121" w14:textId="59BE4765" w:rsidR="00AD0137" w:rsidRPr="00D948C1" w:rsidRDefault="00AD0137" w:rsidP="00611673">
            <w:pPr>
              <w:jc w:val="center"/>
              <w:rPr>
                <w:color w:val="FFFFFF" w:themeColor="background1"/>
                <w:szCs w:val="24"/>
              </w:rPr>
            </w:pPr>
            <w:r w:rsidRPr="00D948C1">
              <w:rPr>
                <w:color w:val="FFFFFF" w:themeColor="background1"/>
                <w:szCs w:val="24"/>
              </w:rPr>
              <w:t xml:space="preserve">Assets </w:t>
            </w:r>
            <w:proofErr w:type="gramStart"/>
            <w:r w:rsidRPr="00D948C1">
              <w:rPr>
                <w:color w:val="FFFFFF" w:themeColor="background1"/>
                <w:szCs w:val="24"/>
              </w:rPr>
              <w:t>at</w:t>
            </w:r>
            <w:proofErr w:type="gramEnd"/>
            <w:r w:rsidRPr="00D948C1">
              <w:rPr>
                <w:color w:val="FFFFFF" w:themeColor="background1"/>
                <w:szCs w:val="24"/>
              </w:rPr>
              <w:t xml:space="preserve"> 31 March 20</w:t>
            </w:r>
            <w:r w:rsidR="00BC6AC5" w:rsidRPr="00D948C1">
              <w:rPr>
                <w:color w:val="FFFFFF" w:themeColor="background1"/>
                <w:szCs w:val="24"/>
              </w:rPr>
              <w:t>2</w:t>
            </w:r>
            <w:r w:rsidR="007A20D1">
              <w:rPr>
                <w:color w:val="FFFFFF" w:themeColor="background1"/>
                <w:szCs w:val="24"/>
              </w:rPr>
              <w:t>5</w:t>
            </w:r>
          </w:p>
        </w:tc>
      </w:tr>
      <w:tr w:rsidR="00721F24" w:rsidRPr="00D948C1" w14:paraId="1CD6A7CD" w14:textId="77777777" w:rsidTr="6498351E">
        <w:trPr>
          <w:tblHeader/>
        </w:trPr>
        <w:tc>
          <w:tcPr>
            <w:tcW w:w="1872" w:type="dxa"/>
            <w:shd w:val="clear" w:color="auto" w:fill="BD2716"/>
          </w:tcPr>
          <w:p w14:paraId="138D1CD3" w14:textId="77777777" w:rsidR="00721F24" w:rsidRPr="00D948C1" w:rsidRDefault="00721F24" w:rsidP="00721F24">
            <w:pPr>
              <w:jc w:val="both"/>
              <w:rPr>
                <w:color w:val="FFFFFF" w:themeColor="background1"/>
                <w:szCs w:val="24"/>
              </w:rPr>
            </w:pPr>
          </w:p>
        </w:tc>
        <w:tc>
          <w:tcPr>
            <w:tcW w:w="1247" w:type="dxa"/>
            <w:shd w:val="clear" w:color="auto" w:fill="BD2716"/>
          </w:tcPr>
          <w:p w14:paraId="27977ECE" w14:textId="1C0FC00D" w:rsidR="00721F24" w:rsidRPr="00D948C1" w:rsidRDefault="00611673" w:rsidP="00721F24">
            <w:pPr>
              <w:tabs>
                <w:tab w:val="decimal" w:pos="681"/>
              </w:tabs>
              <w:rPr>
                <w:color w:val="FFFFFF" w:themeColor="background1"/>
                <w:szCs w:val="24"/>
              </w:rPr>
            </w:pPr>
            <w:r w:rsidRPr="00D948C1">
              <w:rPr>
                <w:color w:val="FFFFFF" w:themeColor="background1"/>
                <w:szCs w:val="24"/>
              </w:rPr>
              <w:t>Quoted in active market</w:t>
            </w:r>
          </w:p>
        </w:tc>
        <w:tc>
          <w:tcPr>
            <w:tcW w:w="1276" w:type="dxa"/>
            <w:shd w:val="clear" w:color="auto" w:fill="BD2716"/>
            <w:vAlign w:val="center"/>
          </w:tcPr>
          <w:p w14:paraId="5995FDFC" w14:textId="77777777" w:rsidR="00721F24" w:rsidRPr="00D948C1" w:rsidRDefault="00721F24" w:rsidP="00611673">
            <w:pPr>
              <w:tabs>
                <w:tab w:val="decimal" w:pos="681"/>
              </w:tabs>
              <w:jc w:val="right"/>
              <w:rPr>
                <w:color w:val="FFFFFF" w:themeColor="background1"/>
                <w:szCs w:val="24"/>
              </w:rPr>
            </w:pPr>
            <w:r w:rsidRPr="00D948C1">
              <w:rPr>
                <w:color w:val="FFFFFF" w:themeColor="background1"/>
                <w:szCs w:val="24"/>
              </w:rPr>
              <w:t>Fair Value</w:t>
            </w:r>
          </w:p>
          <w:p w14:paraId="79E873FF" w14:textId="25F957FA" w:rsidR="007A439F" w:rsidRPr="00D948C1" w:rsidRDefault="007A439F" w:rsidP="00611673">
            <w:pPr>
              <w:tabs>
                <w:tab w:val="decimal" w:pos="681"/>
              </w:tabs>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5B6E6F2" w14:textId="77777777" w:rsidR="00721F24" w:rsidRPr="00D948C1" w:rsidRDefault="00721F24" w:rsidP="00611673">
            <w:pPr>
              <w:jc w:val="right"/>
              <w:rPr>
                <w:color w:val="FFFFFF" w:themeColor="background1"/>
                <w:szCs w:val="24"/>
              </w:rPr>
            </w:pPr>
            <w:r w:rsidRPr="00D948C1">
              <w:rPr>
                <w:color w:val="FFFFFF" w:themeColor="background1"/>
                <w:szCs w:val="24"/>
              </w:rPr>
              <w:t>%</w:t>
            </w:r>
          </w:p>
        </w:tc>
        <w:tc>
          <w:tcPr>
            <w:tcW w:w="1275" w:type="dxa"/>
            <w:shd w:val="clear" w:color="auto" w:fill="BD2716"/>
            <w:vAlign w:val="center"/>
          </w:tcPr>
          <w:p w14:paraId="42872CFD" w14:textId="77777777" w:rsidR="00721F24" w:rsidRPr="00D948C1" w:rsidRDefault="00721F24" w:rsidP="00611673">
            <w:pPr>
              <w:tabs>
                <w:tab w:val="decimal" w:pos="681"/>
              </w:tabs>
              <w:jc w:val="right"/>
              <w:rPr>
                <w:color w:val="FFFFFF" w:themeColor="background1"/>
                <w:szCs w:val="24"/>
              </w:rPr>
            </w:pPr>
            <w:r w:rsidRPr="00D948C1">
              <w:rPr>
                <w:color w:val="FFFFFF" w:themeColor="background1"/>
                <w:szCs w:val="24"/>
              </w:rPr>
              <w:t>Fair Value</w:t>
            </w:r>
          </w:p>
          <w:p w14:paraId="34C6CA53" w14:textId="358433EB" w:rsidR="007A439F" w:rsidRPr="00D948C1" w:rsidRDefault="007A439F" w:rsidP="00611673">
            <w:pPr>
              <w:tabs>
                <w:tab w:val="decimal" w:pos="681"/>
              </w:tabs>
              <w:jc w:val="right"/>
              <w:rPr>
                <w:color w:val="FFFFFF" w:themeColor="background1"/>
                <w:szCs w:val="24"/>
              </w:rPr>
            </w:pPr>
            <w:r w:rsidRPr="00D948C1">
              <w:rPr>
                <w:color w:val="FFFFFF" w:themeColor="background1"/>
                <w:szCs w:val="24"/>
              </w:rPr>
              <w:t>£000</w:t>
            </w:r>
          </w:p>
        </w:tc>
        <w:tc>
          <w:tcPr>
            <w:tcW w:w="1135" w:type="dxa"/>
            <w:shd w:val="clear" w:color="auto" w:fill="BD2716"/>
            <w:vAlign w:val="center"/>
          </w:tcPr>
          <w:p w14:paraId="494CA805" w14:textId="3DF223B1" w:rsidR="00721F24" w:rsidRPr="00D948C1" w:rsidRDefault="00721F24" w:rsidP="00611673">
            <w:pPr>
              <w:ind w:right="99"/>
              <w:jc w:val="right"/>
              <w:rPr>
                <w:color w:val="FFFFFF" w:themeColor="background1"/>
                <w:szCs w:val="24"/>
              </w:rPr>
            </w:pPr>
            <w:r w:rsidRPr="00D948C1">
              <w:rPr>
                <w:color w:val="FFFFFF" w:themeColor="background1"/>
                <w:szCs w:val="24"/>
              </w:rPr>
              <w:t>%</w:t>
            </w:r>
          </w:p>
        </w:tc>
      </w:tr>
      <w:tr w:rsidR="007A20D1" w:rsidRPr="00D948C1" w14:paraId="0813B342" w14:textId="77777777" w:rsidTr="6498351E">
        <w:trPr>
          <w:trHeight w:hRule="exact" w:val="300"/>
        </w:trPr>
        <w:tc>
          <w:tcPr>
            <w:tcW w:w="1872" w:type="dxa"/>
          </w:tcPr>
          <w:p w14:paraId="3942774D" w14:textId="77777777" w:rsidR="007A20D1" w:rsidRPr="00D948C1" w:rsidRDefault="007A20D1" w:rsidP="007A20D1">
            <w:pPr>
              <w:rPr>
                <w:szCs w:val="24"/>
              </w:rPr>
            </w:pPr>
            <w:r w:rsidRPr="00D948C1">
              <w:rPr>
                <w:szCs w:val="24"/>
              </w:rPr>
              <w:t>Equities</w:t>
            </w:r>
          </w:p>
        </w:tc>
        <w:tc>
          <w:tcPr>
            <w:tcW w:w="1247" w:type="dxa"/>
          </w:tcPr>
          <w:p w14:paraId="45E7930C" w14:textId="77777777" w:rsidR="007A20D1" w:rsidRPr="00D948C1" w:rsidRDefault="007A20D1" w:rsidP="007A20D1">
            <w:pPr>
              <w:jc w:val="center"/>
              <w:rPr>
                <w:snapToGrid w:val="0"/>
                <w:color w:val="000000"/>
                <w:szCs w:val="24"/>
              </w:rPr>
            </w:pPr>
            <w:r w:rsidRPr="00D948C1">
              <w:rPr>
                <w:snapToGrid w:val="0"/>
                <w:color w:val="000000"/>
                <w:szCs w:val="24"/>
              </w:rPr>
              <w:t>Y</w:t>
            </w:r>
          </w:p>
        </w:tc>
        <w:tc>
          <w:tcPr>
            <w:tcW w:w="1276" w:type="dxa"/>
            <w:vAlign w:val="center"/>
          </w:tcPr>
          <w:p w14:paraId="60011789" w14:textId="79D7CD19" w:rsidR="007A20D1" w:rsidRPr="00294859" w:rsidRDefault="00DD04C3" w:rsidP="007A20D1">
            <w:pPr>
              <w:jc w:val="right"/>
            </w:pPr>
            <w:r>
              <w:t>2,068</w:t>
            </w:r>
          </w:p>
        </w:tc>
        <w:tc>
          <w:tcPr>
            <w:tcW w:w="1134" w:type="dxa"/>
            <w:vAlign w:val="center"/>
          </w:tcPr>
          <w:p w14:paraId="24F0DD5B" w14:textId="5E119E6C" w:rsidR="007A20D1" w:rsidRPr="00294859" w:rsidRDefault="00470B9E" w:rsidP="007A20D1">
            <w:pPr>
              <w:tabs>
                <w:tab w:val="decimal" w:pos="600"/>
              </w:tabs>
              <w:ind w:right="34"/>
              <w:jc w:val="right"/>
              <w:rPr>
                <w:snapToGrid w:val="0"/>
                <w:color w:val="000000"/>
              </w:rPr>
            </w:pPr>
            <w:r>
              <w:rPr>
                <w:snapToGrid w:val="0"/>
                <w:color w:val="000000"/>
              </w:rPr>
              <w:t>2.3</w:t>
            </w:r>
          </w:p>
        </w:tc>
        <w:tc>
          <w:tcPr>
            <w:tcW w:w="1275" w:type="dxa"/>
            <w:vAlign w:val="center"/>
          </w:tcPr>
          <w:p w14:paraId="4768A5D4" w14:textId="7509478E" w:rsidR="007A20D1" w:rsidRPr="00DF39E9" w:rsidRDefault="007A20D1" w:rsidP="007A20D1">
            <w:pPr>
              <w:jc w:val="right"/>
              <w:rPr>
                <w:szCs w:val="24"/>
              </w:rPr>
            </w:pPr>
            <w:r>
              <w:t>1,929</w:t>
            </w:r>
          </w:p>
        </w:tc>
        <w:tc>
          <w:tcPr>
            <w:tcW w:w="1135" w:type="dxa"/>
            <w:vAlign w:val="center"/>
          </w:tcPr>
          <w:p w14:paraId="14AE9195" w14:textId="3FCF06D2" w:rsidR="007A20D1" w:rsidRPr="00DF39E9" w:rsidRDefault="007A20D1" w:rsidP="007A20D1">
            <w:pPr>
              <w:tabs>
                <w:tab w:val="decimal" w:pos="600"/>
              </w:tabs>
              <w:ind w:right="34"/>
              <w:jc w:val="right"/>
              <w:rPr>
                <w:snapToGrid w:val="0"/>
                <w:color w:val="000000"/>
                <w:szCs w:val="24"/>
              </w:rPr>
            </w:pPr>
            <w:r w:rsidRPr="6498351E">
              <w:rPr>
                <w:color w:val="000000" w:themeColor="text1"/>
              </w:rPr>
              <w:t>2.3</w:t>
            </w:r>
          </w:p>
        </w:tc>
      </w:tr>
      <w:tr w:rsidR="007A20D1" w:rsidRPr="00D948C1" w14:paraId="785081DF" w14:textId="77777777" w:rsidTr="6498351E">
        <w:trPr>
          <w:trHeight w:hRule="exact" w:val="300"/>
        </w:trPr>
        <w:tc>
          <w:tcPr>
            <w:tcW w:w="1872" w:type="dxa"/>
          </w:tcPr>
          <w:p w14:paraId="76D0B24E" w14:textId="77777777" w:rsidR="007A20D1" w:rsidRPr="00D948C1" w:rsidRDefault="007A20D1" w:rsidP="007A20D1">
            <w:pPr>
              <w:rPr>
                <w:szCs w:val="24"/>
              </w:rPr>
            </w:pPr>
            <w:r w:rsidRPr="00D948C1">
              <w:rPr>
                <w:szCs w:val="24"/>
              </w:rPr>
              <w:t>Bonds</w:t>
            </w:r>
          </w:p>
        </w:tc>
        <w:tc>
          <w:tcPr>
            <w:tcW w:w="1247" w:type="dxa"/>
          </w:tcPr>
          <w:p w14:paraId="3F55578B" w14:textId="77777777" w:rsidR="007A20D1" w:rsidRPr="00D948C1" w:rsidRDefault="007A20D1" w:rsidP="007A20D1">
            <w:pPr>
              <w:jc w:val="center"/>
              <w:rPr>
                <w:snapToGrid w:val="0"/>
                <w:color w:val="000000"/>
                <w:szCs w:val="24"/>
              </w:rPr>
            </w:pPr>
            <w:r w:rsidRPr="00D948C1">
              <w:rPr>
                <w:snapToGrid w:val="0"/>
                <w:color w:val="000000"/>
                <w:szCs w:val="24"/>
              </w:rPr>
              <w:t>Y</w:t>
            </w:r>
          </w:p>
        </w:tc>
        <w:tc>
          <w:tcPr>
            <w:tcW w:w="1276" w:type="dxa"/>
            <w:vAlign w:val="center"/>
          </w:tcPr>
          <w:p w14:paraId="480C370D" w14:textId="3D2DF8FC" w:rsidR="007A20D1" w:rsidRPr="00294859" w:rsidRDefault="00DD04C3" w:rsidP="007A20D1">
            <w:pPr>
              <w:jc w:val="right"/>
            </w:pPr>
            <w:r>
              <w:t>1,622</w:t>
            </w:r>
          </w:p>
        </w:tc>
        <w:tc>
          <w:tcPr>
            <w:tcW w:w="1134" w:type="dxa"/>
            <w:vAlign w:val="center"/>
          </w:tcPr>
          <w:p w14:paraId="17A8D979" w14:textId="7D2AC3EF" w:rsidR="007A20D1" w:rsidRPr="00294859" w:rsidRDefault="00470B9E" w:rsidP="007A20D1">
            <w:pPr>
              <w:tabs>
                <w:tab w:val="decimal" w:pos="600"/>
              </w:tabs>
              <w:ind w:right="34"/>
              <w:jc w:val="right"/>
              <w:rPr>
                <w:snapToGrid w:val="0"/>
                <w:color w:val="000000"/>
              </w:rPr>
            </w:pPr>
            <w:r>
              <w:rPr>
                <w:snapToGrid w:val="0"/>
                <w:color w:val="000000"/>
              </w:rPr>
              <w:t>1.8</w:t>
            </w:r>
          </w:p>
        </w:tc>
        <w:tc>
          <w:tcPr>
            <w:tcW w:w="1275" w:type="dxa"/>
            <w:vAlign w:val="center"/>
          </w:tcPr>
          <w:p w14:paraId="43ABB213" w14:textId="77AAC44E" w:rsidR="007A20D1" w:rsidRPr="00DF39E9" w:rsidRDefault="007A20D1" w:rsidP="007A20D1">
            <w:pPr>
              <w:jc w:val="right"/>
              <w:rPr>
                <w:szCs w:val="24"/>
              </w:rPr>
            </w:pPr>
            <w:r>
              <w:t>1,514</w:t>
            </w:r>
          </w:p>
        </w:tc>
        <w:tc>
          <w:tcPr>
            <w:tcW w:w="1135" w:type="dxa"/>
            <w:vAlign w:val="center"/>
          </w:tcPr>
          <w:p w14:paraId="2CDB68CE" w14:textId="6012BE89" w:rsidR="007A20D1" w:rsidRPr="00DF39E9" w:rsidRDefault="007A20D1" w:rsidP="007A20D1">
            <w:pPr>
              <w:tabs>
                <w:tab w:val="decimal" w:pos="600"/>
              </w:tabs>
              <w:ind w:right="34"/>
              <w:jc w:val="right"/>
              <w:rPr>
                <w:snapToGrid w:val="0"/>
                <w:color w:val="000000"/>
                <w:szCs w:val="24"/>
              </w:rPr>
            </w:pPr>
            <w:r w:rsidRPr="6498351E">
              <w:rPr>
                <w:color w:val="000000" w:themeColor="text1"/>
              </w:rPr>
              <w:t>1.8</w:t>
            </w:r>
          </w:p>
        </w:tc>
      </w:tr>
      <w:tr w:rsidR="007A20D1" w:rsidRPr="00D948C1" w14:paraId="1BF86F9E" w14:textId="77777777" w:rsidTr="6498351E">
        <w:trPr>
          <w:trHeight w:hRule="exact" w:val="300"/>
        </w:trPr>
        <w:tc>
          <w:tcPr>
            <w:tcW w:w="1872" w:type="dxa"/>
          </w:tcPr>
          <w:p w14:paraId="43933C73" w14:textId="77777777" w:rsidR="007A20D1" w:rsidRPr="00D948C1" w:rsidRDefault="007A20D1" w:rsidP="007A20D1">
            <w:pPr>
              <w:rPr>
                <w:szCs w:val="24"/>
              </w:rPr>
            </w:pPr>
            <w:r w:rsidRPr="00D948C1">
              <w:rPr>
                <w:szCs w:val="24"/>
              </w:rPr>
              <w:t>Property</w:t>
            </w:r>
          </w:p>
        </w:tc>
        <w:tc>
          <w:tcPr>
            <w:tcW w:w="1247" w:type="dxa"/>
          </w:tcPr>
          <w:p w14:paraId="0282EC1C" w14:textId="77777777" w:rsidR="007A20D1" w:rsidRPr="00D948C1" w:rsidRDefault="007A20D1" w:rsidP="007A20D1">
            <w:pPr>
              <w:jc w:val="center"/>
              <w:rPr>
                <w:snapToGrid w:val="0"/>
                <w:color w:val="000000"/>
                <w:szCs w:val="24"/>
              </w:rPr>
            </w:pPr>
            <w:r w:rsidRPr="00D948C1">
              <w:rPr>
                <w:snapToGrid w:val="0"/>
                <w:color w:val="000000"/>
                <w:szCs w:val="24"/>
              </w:rPr>
              <w:t>N</w:t>
            </w:r>
          </w:p>
        </w:tc>
        <w:tc>
          <w:tcPr>
            <w:tcW w:w="1276" w:type="dxa"/>
            <w:vAlign w:val="center"/>
          </w:tcPr>
          <w:p w14:paraId="73A8A9F6" w14:textId="6F6CF018" w:rsidR="007A20D1" w:rsidRPr="00294859" w:rsidRDefault="00DD04C3" w:rsidP="007A20D1">
            <w:pPr>
              <w:jc w:val="right"/>
            </w:pPr>
            <w:r>
              <w:t>1,465</w:t>
            </w:r>
          </w:p>
        </w:tc>
        <w:tc>
          <w:tcPr>
            <w:tcW w:w="1134" w:type="dxa"/>
            <w:vAlign w:val="center"/>
          </w:tcPr>
          <w:p w14:paraId="288D40A0" w14:textId="5FD882F9" w:rsidR="007A20D1" w:rsidRPr="00294859" w:rsidRDefault="00470B9E" w:rsidP="007A20D1">
            <w:pPr>
              <w:tabs>
                <w:tab w:val="decimal" w:pos="600"/>
              </w:tabs>
              <w:ind w:right="34"/>
              <w:jc w:val="right"/>
              <w:rPr>
                <w:snapToGrid w:val="0"/>
                <w:color w:val="000000"/>
              </w:rPr>
            </w:pPr>
            <w:r>
              <w:rPr>
                <w:snapToGrid w:val="0"/>
                <w:color w:val="000000"/>
              </w:rPr>
              <w:t>1.6</w:t>
            </w:r>
          </w:p>
        </w:tc>
        <w:tc>
          <w:tcPr>
            <w:tcW w:w="1275" w:type="dxa"/>
            <w:vAlign w:val="center"/>
          </w:tcPr>
          <w:p w14:paraId="4DF50713" w14:textId="76DD6155" w:rsidR="007A20D1" w:rsidRPr="00DF39E9" w:rsidRDefault="007A20D1" w:rsidP="007A20D1">
            <w:pPr>
              <w:jc w:val="right"/>
              <w:rPr>
                <w:szCs w:val="24"/>
              </w:rPr>
            </w:pPr>
            <w:r>
              <w:t>1,431</w:t>
            </w:r>
          </w:p>
        </w:tc>
        <w:tc>
          <w:tcPr>
            <w:tcW w:w="1135" w:type="dxa"/>
            <w:vAlign w:val="center"/>
          </w:tcPr>
          <w:p w14:paraId="4C1D52A5" w14:textId="69BA7FCE" w:rsidR="007A20D1" w:rsidRPr="00DF39E9" w:rsidRDefault="007A20D1" w:rsidP="007A20D1">
            <w:pPr>
              <w:tabs>
                <w:tab w:val="decimal" w:pos="600"/>
              </w:tabs>
              <w:ind w:right="34"/>
              <w:jc w:val="right"/>
              <w:rPr>
                <w:snapToGrid w:val="0"/>
                <w:color w:val="000000"/>
                <w:szCs w:val="24"/>
              </w:rPr>
            </w:pPr>
            <w:r w:rsidRPr="6498351E">
              <w:rPr>
                <w:color w:val="000000" w:themeColor="text1"/>
              </w:rPr>
              <w:t>1.7</w:t>
            </w:r>
          </w:p>
        </w:tc>
      </w:tr>
      <w:tr w:rsidR="007A20D1" w:rsidRPr="00D948C1" w14:paraId="7ED35A95" w14:textId="77777777" w:rsidTr="00AB43C8">
        <w:trPr>
          <w:trHeight w:hRule="exact" w:val="556"/>
        </w:trPr>
        <w:tc>
          <w:tcPr>
            <w:tcW w:w="1872" w:type="dxa"/>
          </w:tcPr>
          <w:p w14:paraId="24DEB48D" w14:textId="71FB7A5C" w:rsidR="007A20D1" w:rsidRPr="00D948C1" w:rsidRDefault="007A20D1" w:rsidP="007A20D1">
            <w:pPr>
              <w:rPr>
                <w:szCs w:val="24"/>
              </w:rPr>
            </w:pPr>
            <w:r w:rsidRPr="00D948C1">
              <w:rPr>
                <w:snapToGrid w:val="0"/>
                <w:color w:val="000000"/>
                <w:szCs w:val="24"/>
              </w:rPr>
              <w:t>Cash</w:t>
            </w:r>
            <w:r w:rsidR="00AB43C8">
              <w:rPr>
                <w:snapToGrid w:val="0"/>
                <w:color w:val="000000"/>
                <w:szCs w:val="24"/>
              </w:rPr>
              <w:t xml:space="preserve"> or l</w:t>
            </w:r>
            <w:r w:rsidRPr="00D948C1">
              <w:rPr>
                <w:snapToGrid w:val="0"/>
                <w:color w:val="000000"/>
                <w:szCs w:val="24"/>
              </w:rPr>
              <w:t>iquidity</w:t>
            </w:r>
          </w:p>
        </w:tc>
        <w:tc>
          <w:tcPr>
            <w:tcW w:w="1247" w:type="dxa"/>
            <w:vAlign w:val="center"/>
          </w:tcPr>
          <w:p w14:paraId="0EC148E3" w14:textId="5791FFF9" w:rsidR="007A20D1" w:rsidRPr="00D948C1" w:rsidRDefault="007A20D1" w:rsidP="00AB43C8">
            <w:pPr>
              <w:jc w:val="center"/>
              <w:rPr>
                <w:snapToGrid w:val="0"/>
                <w:color w:val="000000"/>
                <w:szCs w:val="24"/>
              </w:rPr>
            </w:pPr>
            <w:r w:rsidRPr="00D948C1">
              <w:rPr>
                <w:snapToGrid w:val="0"/>
                <w:color w:val="000000"/>
                <w:szCs w:val="24"/>
              </w:rPr>
              <w:t>N</w:t>
            </w:r>
          </w:p>
        </w:tc>
        <w:tc>
          <w:tcPr>
            <w:tcW w:w="1276" w:type="dxa"/>
            <w:vAlign w:val="center"/>
          </w:tcPr>
          <w:p w14:paraId="2815E0C4" w14:textId="441C87B3" w:rsidR="007A20D1" w:rsidRPr="00294859" w:rsidRDefault="00DD04C3" w:rsidP="007A20D1">
            <w:pPr>
              <w:jc w:val="right"/>
            </w:pPr>
            <w:r>
              <w:t>1,252</w:t>
            </w:r>
          </w:p>
        </w:tc>
        <w:tc>
          <w:tcPr>
            <w:tcW w:w="1134" w:type="dxa"/>
            <w:vAlign w:val="center"/>
          </w:tcPr>
          <w:p w14:paraId="6A5C90CC" w14:textId="24674FA8" w:rsidR="007A20D1" w:rsidRPr="00294859" w:rsidRDefault="00470B9E" w:rsidP="007A20D1">
            <w:pPr>
              <w:tabs>
                <w:tab w:val="decimal" w:pos="600"/>
              </w:tabs>
              <w:ind w:right="34"/>
              <w:jc w:val="right"/>
              <w:rPr>
                <w:snapToGrid w:val="0"/>
                <w:color w:val="000000"/>
              </w:rPr>
            </w:pPr>
            <w:r>
              <w:rPr>
                <w:snapToGrid w:val="0"/>
                <w:color w:val="000000"/>
              </w:rPr>
              <w:t>1.4</w:t>
            </w:r>
          </w:p>
        </w:tc>
        <w:tc>
          <w:tcPr>
            <w:tcW w:w="1275" w:type="dxa"/>
            <w:vAlign w:val="center"/>
          </w:tcPr>
          <w:p w14:paraId="7C2BDAE4" w14:textId="6CCE1EE7" w:rsidR="007A20D1" w:rsidRPr="00DF39E9" w:rsidRDefault="007A20D1" w:rsidP="007A20D1">
            <w:pPr>
              <w:jc w:val="right"/>
              <w:rPr>
                <w:szCs w:val="24"/>
              </w:rPr>
            </w:pPr>
            <w:r>
              <w:t>1,249</w:t>
            </w:r>
          </w:p>
        </w:tc>
        <w:tc>
          <w:tcPr>
            <w:tcW w:w="1135" w:type="dxa"/>
            <w:vAlign w:val="center"/>
          </w:tcPr>
          <w:p w14:paraId="3979558A" w14:textId="07F0150C" w:rsidR="007A20D1" w:rsidRPr="00DF39E9" w:rsidRDefault="007A20D1" w:rsidP="007A20D1">
            <w:pPr>
              <w:tabs>
                <w:tab w:val="decimal" w:pos="600"/>
              </w:tabs>
              <w:ind w:right="34"/>
              <w:jc w:val="right"/>
              <w:rPr>
                <w:snapToGrid w:val="0"/>
                <w:color w:val="000000"/>
                <w:szCs w:val="24"/>
              </w:rPr>
            </w:pPr>
            <w:r w:rsidRPr="6498351E">
              <w:rPr>
                <w:color w:val="000000" w:themeColor="text1"/>
              </w:rPr>
              <w:t>1.5</w:t>
            </w:r>
          </w:p>
        </w:tc>
      </w:tr>
      <w:tr w:rsidR="007A20D1" w:rsidRPr="00D948C1" w14:paraId="27D015D1" w14:textId="77777777" w:rsidTr="6498351E">
        <w:trPr>
          <w:trHeight w:hRule="exact" w:val="300"/>
        </w:trPr>
        <w:tc>
          <w:tcPr>
            <w:tcW w:w="1872" w:type="dxa"/>
          </w:tcPr>
          <w:p w14:paraId="0D4702F6" w14:textId="77777777" w:rsidR="007A20D1" w:rsidRPr="00D948C1" w:rsidRDefault="007A20D1" w:rsidP="007A20D1">
            <w:pPr>
              <w:rPr>
                <w:szCs w:val="24"/>
              </w:rPr>
            </w:pPr>
            <w:r w:rsidRPr="00D948C1">
              <w:rPr>
                <w:szCs w:val="24"/>
              </w:rPr>
              <w:t>Other</w:t>
            </w:r>
          </w:p>
        </w:tc>
        <w:tc>
          <w:tcPr>
            <w:tcW w:w="1247" w:type="dxa"/>
          </w:tcPr>
          <w:p w14:paraId="78496284" w14:textId="77777777" w:rsidR="007A20D1" w:rsidRPr="00D948C1" w:rsidRDefault="007A20D1" w:rsidP="007A20D1">
            <w:pPr>
              <w:jc w:val="center"/>
              <w:rPr>
                <w:snapToGrid w:val="0"/>
                <w:color w:val="000000"/>
                <w:szCs w:val="24"/>
              </w:rPr>
            </w:pPr>
            <w:r w:rsidRPr="00D948C1">
              <w:rPr>
                <w:snapToGrid w:val="0"/>
                <w:color w:val="000000"/>
                <w:szCs w:val="24"/>
              </w:rPr>
              <w:t>N</w:t>
            </w:r>
          </w:p>
        </w:tc>
        <w:tc>
          <w:tcPr>
            <w:tcW w:w="1276" w:type="dxa"/>
            <w:vAlign w:val="center"/>
          </w:tcPr>
          <w:p w14:paraId="32556946" w14:textId="20646FBC" w:rsidR="007A20D1" w:rsidRPr="00294859" w:rsidRDefault="00DD04C3" w:rsidP="007A20D1">
            <w:pPr>
              <w:jc w:val="right"/>
            </w:pPr>
            <w:r>
              <w:t>83,261</w:t>
            </w:r>
          </w:p>
        </w:tc>
        <w:tc>
          <w:tcPr>
            <w:tcW w:w="1134" w:type="dxa"/>
            <w:vAlign w:val="center"/>
          </w:tcPr>
          <w:p w14:paraId="11B47E12" w14:textId="32031A9E" w:rsidR="007A20D1" w:rsidRPr="00294859" w:rsidRDefault="00470B9E" w:rsidP="007A20D1">
            <w:pPr>
              <w:tabs>
                <w:tab w:val="decimal" w:pos="600"/>
              </w:tabs>
              <w:ind w:right="34"/>
              <w:jc w:val="right"/>
              <w:rPr>
                <w:snapToGrid w:val="0"/>
                <w:color w:val="000000"/>
              </w:rPr>
            </w:pPr>
            <w:r>
              <w:rPr>
                <w:snapToGrid w:val="0"/>
                <w:color w:val="000000"/>
              </w:rPr>
              <w:t>92.9</w:t>
            </w:r>
          </w:p>
        </w:tc>
        <w:tc>
          <w:tcPr>
            <w:tcW w:w="1275" w:type="dxa"/>
            <w:vAlign w:val="center"/>
          </w:tcPr>
          <w:p w14:paraId="545531A2" w14:textId="3A21BC60" w:rsidR="007A20D1" w:rsidRPr="00DF39E9" w:rsidRDefault="007A20D1" w:rsidP="007A20D1">
            <w:pPr>
              <w:jc w:val="right"/>
              <w:rPr>
                <w:szCs w:val="24"/>
              </w:rPr>
            </w:pPr>
            <w:r>
              <w:t>79,270</w:t>
            </w:r>
          </w:p>
        </w:tc>
        <w:tc>
          <w:tcPr>
            <w:tcW w:w="1135" w:type="dxa"/>
            <w:vAlign w:val="center"/>
          </w:tcPr>
          <w:p w14:paraId="635DFD6C" w14:textId="4DA298A5" w:rsidR="007A20D1" w:rsidRPr="00DF39E9" w:rsidRDefault="007A20D1" w:rsidP="007A20D1">
            <w:pPr>
              <w:tabs>
                <w:tab w:val="decimal" w:pos="600"/>
              </w:tabs>
              <w:ind w:right="34"/>
              <w:jc w:val="right"/>
              <w:rPr>
                <w:snapToGrid w:val="0"/>
                <w:color w:val="000000"/>
                <w:szCs w:val="24"/>
              </w:rPr>
            </w:pPr>
            <w:r w:rsidRPr="6498351E">
              <w:rPr>
                <w:color w:val="000000" w:themeColor="text1"/>
              </w:rPr>
              <w:t>92.8</w:t>
            </w:r>
          </w:p>
        </w:tc>
      </w:tr>
      <w:tr w:rsidR="007A20D1" w:rsidRPr="00D948C1" w14:paraId="47A9C906" w14:textId="77777777" w:rsidTr="6498351E">
        <w:trPr>
          <w:trHeight w:hRule="exact" w:val="300"/>
        </w:trPr>
        <w:tc>
          <w:tcPr>
            <w:tcW w:w="1872" w:type="dxa"/>
          </w:tcPr>
          <w:p w14:paraId="74E1B6E2" w14:textId="7623FAE9" w:rsidR="007A20D1" w:rsidRPr="00D948C1" w:rsidRDefault="007A20D1" w:rsidP="007A20D1">
            <w:pPr>
              <w:rPr>
                <w:szCs w:val="24"/>
              </w:rPr>
            </w:pPr>
            <w:r w:rsidRPr="00D948C1">
              <w:rPr>
                <w:szCs w:val="24"/>
              </w:rPr>
              <w:t>Total</w:t>
            </w:r>
          </w:p>
        </w:tc>
        <w:tc>
          <w:tcPr>
            <w:tcW w:w="1247" w:type="dxa"/>
          </w:tcPr>
          <w:p w14:paraId="1231F2A4" w14:textId="77777777" w:rsidR="007A20D1" w:rsidRPr="00D948C1" w:rsidRDefault="007A20D1" w:rsidP="007A20D1">
            <w:pPr>
              <w:jc w:val="center"/>
              <w:rPr>
                <w:snapToGrid w:val="0"/>
                <w:color w:val="000000"/>
                <w:szCs w:val="24"/>
              </w:rPr>
            </w:pPr>
          </w:p>
        </w:tc>
        <w:tc>
          <w:tcPr>
            <w:tcW w:w="1276" w:type="dxa"/>
            <w:vAlign w:val="center"/>
          </w:tcPr>
          <w:p w14:paraId="21363ED8" w14:textId="52031AF0" w:rsidR="007A20D1" w:rsidRPr="00294859" w:rsidRDefault="00DD04C3" w:rsidP="007A20D1">
            <w:pPr>
              <w:jc w:val="right"/>
            </w:pPr>
            <w:r>
              <w:t>89,668</w:t>
            </w:r>
          </w:p>
        </w:tc>
        <w:tc>
          <w:tcPr>
            <w:tcW w:w="1134" w:type="dxa"/>
            <w:vAlign w:val="center"/>
          </w:tcPr>
          <w:p w14:paraId="39159FF6" w14:textId="2CCA78FD" w:rsidR="007A20D1" w:rsidRPr="00294859" w:rsidRDefault="00470B9E" w:rsidP="007A20D1">
            <w:pPr>
              <w:tabs>
                <w:tab w:val="decimal" w:pos="600"/>
              </w:tabs>
              <w:ind w:right="34"/>
              <w:jc w:val="right"/>
              <w:rPr>
                <w:snapToGrid w:val="0"/>
                <w:color w:val="000000"/>
              </w:rPr>
            </w:pPr>
            <w:r>
              <w:rPr>
                <w:snapToGrid w:val="0"/>
                <w:color w:val="000000"/>
              </w:rPr>
              <w:t>100.0</w:t>
            </w:r>
          </w:p>
        </w:tc>
        <w:tc>
          <w:tcPr>
            <w:tcW w:w="1275" w:type="dxa"/>
            <w:vAlign w:val="center"/>
          </w:tcPr>
          <w:p w14:paraId="0DA682C0" w14:textId="7487122D" w:rsidR="007A20D1" w:rsidRPr="00DF39E9" w:rsidRDefault="007A20D1" w:rsidP="007A20D1">
            <w:pPr>
              <w:jc w:val="right"/>
              <w:rPr>
                <w:szCs w:val="24"/>
              </w:rPr>
            </w:pPr>
            <w:r>
              <w:t>85,394</w:t>
            </w:r>
          </w:p>
        </w:tc>
        <w:tc>
          <w:tcPr>
            <w:tcW w:w="1135" w:type="dxa"/>
            <w:vAlign w:val="center"/>
          </w:tcPr>
          <w:p w14:paraId="47F2C62F" w14:textId="027A6AC0" w:rsidR="007A20D1" w:rsidRPr="00DF39E9" w:rsidRDefault="007A20D1" w:rsidP="007A20D1">
            <w:pPr>
              <w:tabs>
                <w:tab w:val="decimal" w:pos="600"/>
              </w:tabs>
              <w:ind w:right="34"/>
              <w:jc w:val="right"/>
              <w:rPr>
                <w:snapToGrid w:val="0"/>
                <w:color w:val="000000"/>
                <w:szCs w:val="24"/>
              </w:rPr>
            </w:pPr>
            <w:r w:rsidRPr="6498351E">
              <w:rPr>
                <w:color w:val="000000" w:themeColor="text1"/>
              </w:rPr>
              <w:t>100.0</w:t>
            </w:r>
          </w:p>
        </w:tc>
      </w:tr>
    </w:tbl>
    <w:p w14:paraId="5418BDE7" w14:textId="77777777" w:rsidR="00377532" w:rsidRDefault="00377532">
      <w:pPr>
        <w:rPr>
          <w:b/>
          <w:szCs w:val="24"/>
        </w:rPr>
      </w:pPr>
      <w:r>
        <w:rPr>
          <w:b/>
          <w:szCs w:val="24"/>
        </w:rPr>
        <w:br w:type="page"/>
      </w:r>
    </w:p>
    <w:p w14:paraId="6BE1E772" w14:textId="7B668ADB" w:rsidR="00D90216" w:rsidRPr="0000336D" w:rsidRDefault="001C592E" w:rsidP="006563F1">
      <w:pPr>
        <w:pStyle w:val="Heading2"/>
        <w:jc w:val="left"/>
        <w:rPr>
          <w:sz w:val="24"/>
          <w:szCs w:val="24"/>
        </w:rPr>
      </w:pPr>
      <w:bookmarkStart w:id="57" w:name="_17_Usable_Reserves"/>
      <w:bookmarkStart w:id="58" w:name="_Toc233717536"/>
      <w:bookmarkEnd w:id="57"/>
      <w:r w:rsidRPr="0000336D">
        <w:rPr>
          <w:sz w:val="24"/>
          <w:szCs w:val="24"/>
        </w:rPr>
        <w:lastRenderedPageBreak/>
        <w:t>1</w:t>
      </w:r>
      <w:r w:rsidR="00B62A26" w:rsidRPr="0000336D">
        <w:rPr>
          <w:sz w:val="24"/>
          <w:szCs w:val="24"/>
        </w:rPr>
        <w:t>7</w:t>
      </w:r>
      <w:r w:rsidR="00D96A83" w:rsidRPr="0000336D">
        <w:rPr>
          <w:sz w:val="24"/>
          <w:szCs w:val="24"/>
        </w:rPr>
        <w:tab/>
      </w:r>
      <w:r w:rsidR="00D90216" w:rsidRPr="0000336D">
        <w:rPr>
          <w:sz w:val="24"/>
          <w:szCs w:val="24"/>
        </w:rPr>
        <w:t>Usable Reserves</w:t>
      </w:r>
      <w:bookmarkEnd w:id="58"/>
    </w:p>
    <w:p w14:paraId="5478EB09" w14:textId="77777777" w:rsidR="00D90216" w:rsidRPr="0000336D" w:rsidRDefault="00D90216" w:rsidP="00D90216">
      <w:pPr>
        <w:ind w:left="360"/>
        <w:rPr>
          <w:szCs w:val="24"/>
        </w:rPr>
      </w:pPr>
    </w:p>
    <w:p w14:paraId="3DDDA464" w14:textId="1B804C2B" w:rsidR="00A45B68" w:rsidRPr="00D948C1" w:rsidRDefault="00D90216" w:rsidP="000C442C">
      <w:pPr>
        <w:ind w:left="709"/>
        <w:rPr>
          <w:szCs w:val="24"/>
        </w:rPr>
      </w:pPr>
      <w:r w:rsidRPr="0000336D">
        <w:rPr>
          <w:szCs w:val="24"/>
        </w:rPr>
        <w:t>Movements in the Authority’s usable reserves are detailed in the Movement in Reserves Statement</w:t>
      </w:r>
      <w:r w:rsidR="00E2639F" w:rsidRPr="0000336D">
        <w:rPr>
          <w:szCs w:val="24"/>
        </w:rPr>
        <w:t>s</w:t>
      </w:r>
      <w:r w:rsidRPr="0000336D">
        <w:rPr>
          <w:szCs w:val="24"/>
        </w:rPr>
        <w:t xml:space="preserve">, </w:t>
      </w:r>
      <w:r w:rsidR="004545C4" w:rsidRPr="00F67817">
        <w:rPr>
          <w:szCs w:val="24"/>
        </w:rPr>
        <w:t>on page</w:t>
      </w:r>
      <w:r w:rsidR="00D96A83" w:rsidRPr="00F67817">
        <w:rPr>
          <w:szCs w:val="24"/>
        </w:rPr>
        <w:t>s</w:t>
      </w:r>
      <w:r w:rsidR="008B3EDE" w:rsidRPr="00F67817">
        <w:rPr>
          <w:szCs w:val="24"/>
        </w:rPr>
        <w:t xml:space="preserve"> </w:t>
      </w:r>
      <w:r w:rsidR="005138FC" w:rsidRPr="00F67817">
        <w:rPr>
          <w:szCs w:val="24"/>
        </w:rPr>
        <w:t>2</w:t>
      </w:r>
      <w:r w:rsidR="00B01F9D" w:rsidRPr="00F67817">
        <w:rPr>
          <w:szCs w:val="24"/>
        </w:rPr>
        <w:t>0</w:t>
      </w:r>
      <w:r w:rsidR="00DF4E87" w:rsidRPr="00F67817">
        <w:rPr>
          <w:szCs w:val="24"/>
        </w:rPr>
        <w:t xml:space="preserve"> </w:t>
      </w:r>
      <w:r w:rsidR="00D96A83" w:rsidRPr="00F67817">
        <w:rPr>
          <w:szCs w:val="24"/>
        </w:rPr>
        <w:t xml:space="preserve">and </w:t>
      </w:r>
      <w:r w:rsidR="00853343" w:rsidRPr="00F67817">
        <w:rPr>
          <w:szCs w:val="24"/>
        </w:rPr>
        <w:t>2</w:t>
      </w:r>
      <w:r w:rsidR="00B01F9D" w:rsidRPr="00F67817">
        <w:rPr>
          <w:szCs w:val="24"/>
        </w:rPr>
        <w:t>1</w:t>
      </w:r>
      <w:r w:rsidRPr="00F67817">
        <w:rPr>
          <w:szCs w:val="24"/>
        </w:rPr>
        <w:t>.</w:t>
      </w:r>
    </w:p>
    <w:p w14:paraId="0E0F420B" w14:textId="77777777" w:rsidR="007A439F" w:rsidRPr="00D948C1" w:rsidRDefault="007A439F" w:rsidP="000C442C">
      <w:pPr>
        <w:ind w:left="709"/>
        <w:rPr>
          <w:szCs w:val="24"/>
        </w:rPr>
      </w:pPr>
    </w:p>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26"/>
        <w:gridCol w:w="1406"/>
        <w:gridCol w:w="1406"/>
        <w:gridCol w:w="1406"/>
        <w:gridCol w:w="1406"/>
      </w:tblGrid>
      <w:tr w:rsidR="009D07CD" w:rsidRPr="00D948C1" w14:paraId="0F9D63D1" w14:textId="77777777" w:rsidTr="6498351E">
        <w:trPr>
          <w:trHeight w:val="143"/>
          <w:tblHeader/>
        </w:trPr>
        <w:tc>
          <w:tcPr>
            <w:tcW w:w="3198" w:type="dxa"/>
            <w:gridSpan w:val="2"/>
            <w:shd w:val="clear" w:color="auto" w:fill="BD2716"/>
            <w:vAlign w:val="bottom"/>
          </w:tcPr>
          <w:p w14:paraId="2692079A" w14:textId="77777777" w:rsidR="009D07CD" w:rsidRPr="00D948C1" w:rsidRDefault="009D07CD" w:rsidP="009D07CD">
            <w:pPr>
              <w:tabs>
                <w:tab w:val="decimal" w:pos="1220"/>
              </w:tabs>
              <w:rPr>
                <w:color w:val="FFFFFF" w:themeColor="background1"/>
                <w:szCs w:val="24"/>
              </w:rPr>
            </w:pPr>
          </w:p>
        </w:tc>
        <w:tc>
          <w:tcPr>
            <w:tcW w:w="1406" w:type="dxa"/>
            <w:shd w:val="clear" w:color="auto" w:fill="BD2716"/>
            <w:vAlign w:val="center"/>
          </w:tcPr>
          <w:p w14:paraId="55DDF51B" w14:textId="31C49AC5" w:rsidR="009D07CD" w:rsidRPr="00D948C1" w:rsidRDefault="001A42DD" w:rsidP="009D07CD">
            <w:pPr>
              <w:jc w:val="right"/>
              <w:rPr>
                <w:color w:val="FFFFFF" w:themeColor="background1"/>
                <w:szCs w:val="24"/>
              </w:rPr>
            </w:pPr>
            <w:r>
              <w:rPr>
                <w:color w:val="FFFFFF" w:themeColor="background1"/>
                <w:szCs w:val="24"/>
              </w:rPr>
              <w:t>2025-26</w:t>
            </w:r>
          </w:p>
          <w:p w14:paraId="4B3A5F4F" w14:textId="11C88D35" w:rsidR="009D07CD" w:rsidRPr="00D948C1" w:rsidRDefault="009D07CD" w:rsidP="009D07CD">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1A045CD0" w14:textId="601D51CF" w:rsidR="009D07CD" w:rsidRPr="00D948C1" w:rsidRDefault="001A42DD" w:rsidP="009D07CD">
            <w:pPr>
              <w:jc w:val="right"/>
              <w:rPr>
                <w:color w:val="FFFFFF" w:themeColor="background1"/>
                <w:szCs w:val="24"/>
              </w:rPr>
            </w:pPr>
            <w:r>
              <w:rPr>
                <w:color w:val="FFFFFF" w:themeColor="background1"/>
                <w:szCs w:val="24"/>
              </w:rPr>
              <w:t>2025-26</w:t>
            </w:r>
          </w:p>
          <w:p w14:paraId="196734AA" w14:textId="34694F50" w:rsidR="009D07CD" w:rsidRPr="00D948C1" w:rsidRDefault="009D07CD" w:rsidP="009D07CD">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788B10E0" w14:textId="1AC19EE9" w:rsidR="009D07CD" w:rsidRPr="00D948C1" w:rsidRDefault="001A42DD" w:rsidP="009D07CD">
            <w:pPr>
              <w:jc w:val="right"/>
              <w:rPr>
                <w:color w:val="FFFFFF" w:themeColor="background1"/>
                <w:szCs w:val="24"/>
              </w:rPr>
            </w:pPr>
            <w:r>
              <w:rPr>
                <w:color w:val="FFFFFF" w:themeColor="background1"/>
                <w:szCs w:val="24"/>
              </w:rPr>
              <w:t>2024-25</w:t>
            </w:r>
          </w:p>
          <w:p w14:paraId="275C24DE" w14:textId="0A135A9D" w:rsidR="009D07CD" w:rsidRPr="00D948C1" w:rsidRDefault="009D07CD" w:rsidP="009D07CD">
            <w:pPr>
              <w:jc w:val="right"/>
              <w:rPr>
                <w:color w:val="FFFFFF" w:themeColor="background1"/>
                <w:szCs w:val="24"/>
              </w:rPr>
            </w:pPr>
            <w:r w:rsidRPr="00D948C1">
              <w:rPr>
                <w:color w:val="FFFFFF" w:themeColor="background1"/>
                <w:szCs w:val="24"/>
              </w:rPr>
              <w:t>£000</w:t>
            </w:r>
          </w:p>
        </w:tc>
        <w:tc>
          <w:tcPr>
            <w:tcW w:w="1406" w:type="dxa"/>
            <w:shd w:val="clear" w:color="auto" w:fill="BD2716"/>
            <w:vAlign w:val="center"/>
          </w:tcPr>
          <w:p w14:paraId="2FF3B5FD" w14:textId="61ED3166" w:rsidR="009D07CD" w:rsidRPr="00D948C1" w:rsidRDefault="001A42DD" w:rsidP="009D07CD">
            <w:pPr>
              <w:jc w:val="right"/>
              <w:rPr>
                <w:color w:val="FFFFFF" w:themeColor="background1"/>
                <w:szCs w:val="24"/>
              </w:rPr>
            </w:pPr>
            <w:r>
              <w:rPr>
                <w:color w:val="FFFFFF" w:themeColor="background1"/>
                <w:szCs w:val="24"/>
              </w:rPr>
              <w:t>2024-25</w:t>
            </w:r>
          </w:p>
          <w:p w14:paraId="1C0F3CD4" w14:textId="3399746A" w:rsidR="009D07CD" w:rsidRPr="00D948C1" w:rsidRDefault="009D07CD" w:rsidP="009D07CD">
            <w:pPr>
              <w:jc w:val="right"/>
              <w:rPr>
                <w:color w:val="FFFFFF" w:themeColor="background1"/>
                <w:szCs w:val="24"/>
              </w:rPr>
            </w:pPr>
            <w:r w:rsidRPr="00D948C1">
              <w:rPr>
                <w:color w:val="FFFFFF" w:themeColor="background1"/>
                <w:szCs w:val="24"/>
              </w:rPr>
              <w:t>£000</w:t>
            </w:r>
          </w:p>
        </w:tc>
      </w:tr>
      <w:tr w:rsidR="00FF43EE" w:rsidRPr="00D948C1" w14:paraId="4B3215D1" w14:textId="77777777" w:rsidTr="6498351E">
        <w:trPr>
          <w:trHeight w:val="143"/>
        </w:trPr>
        <w:tc>
          <w:tcPr>
            <w:tcW w:w="8822" w:type="dxa"/>
            <w:gridSpan w:val="6"/>
            <w:shd w:val="clear" w:color="auto" w:fill="D9D9D9" w:themeFill="background1" w:themeFillShade="D9"/>
          </w:tcPr>
          <w:p w14:paraId="6AB209E2" w14:textId="26961627" w:rsidR="00FF43EE" w:rsidRPr="00D948C1" w:rsidRDefault="00FF43EE" w:rsidP="00FF43EE">
            <w:pPr>
              <w:tabs>
                <w:tab w:val="decimal" w:pos="1220"/>
              </w:tabs>
              <w:rPr>
                <w:b/>
                <w:bCs/>
                <w:szCs w:val="24"/>
              </w:rPr>
            </w:pPr>
            <w:r w:rsidRPr="00D948C1">
              <w:rPr>
                <w:b/>
                <w:bCs/>
                <w:szCs w:val="24"/>
              </w:rPr>
              <w:t>Revenue Reserves:</w:t>
            </w:r>
          </w:p>
        </w:tc>
      </w:tr>
      <w:tr w:rsidR="009D07CD" w:rsidRPr="00D948C1" w14:paraId="3556BF10" w14:textId="77777777" w:rsidTr="6498351E">
        <w:tc>
          <w:tcPr>
            <w:tcW w:w="3172" w:type="dxa"/>
          </w:tcPr>
          <w:p w14:paraId="5B7BD049" w14:textId="77777777" w:rsidR="009D07CD" w:rsidRPr="00D948C1" w:rsidRDefault="009D07CD" w:rsidP="009D07CD">
            <w:pPr>
              <w:rPr>
                <w:szCs w:val="24"/>
              </w:rPr>
            </w:pPr>
            <w:r w:rsidRPr="00D948C1">
              <w:rPr>
                <w:szCs w:val="24"/>
              </w:rPr>
              <w:t>General Fund</w:t>
            </w:r>
          </w:p>
        </w:tc>
        <w:tc>
          <w:tcPr>
            <w:tcW w:w="1432" w:type="dxa"/>
            <w:gridSpan w:val="2"/>
            <w:vAlign w:val="center"/>
          </w:tcPr>
          <w:p w14:paraId="37F266CC" w14:textId="77777777" w:rsidR="009D07CD" w:rsidRPr="00294859" w:rsidRDefault="009D07CD" w:rsidP="009D07CD">
            <w:pPr>
              <w:jc w:val="right"/>
              <w:rPr>
                <w:szCs w:val="24"/>
              </w:rPr>
            </w:pPr>
          </w:p>
        </w:tc>
        <w:tc>
          <w:tcPr>
            <w:tcW w:w="1406" w:type="dxa"/>
            <w:vAlign w:val="center"/>
          </w:tcPr>
          <w:p w14:paraId="695E77A0" w14:textId="64A3BA94" w:rsidR="009D07CD" w:rsidRPr="00294859" w:rsidRDefault="00A8628A" w:rsidP="009D07CD">
            <w:pPr>
              <w:jc w:val="right"/>
            </w:pPr>
            <w:r>
              <w:t>(6,923)</w:t>
            </w:r>
          </w:p>
        </w:tc>
        <w:tc>
          <w:tcPr>
            <w:tcW w:w="1406" w:type="dxa"/>
            <w:vAlign w:val="center"/>
          </w:tcPr>
          <w:p w14:paraId="682014F5" w14:textId="77777777" w:rsidR="009D07CD" w:rsidRPr="00DF39E9" w:rsidRDefault="009D07CD" w:rsidP="009D07CD">
            <w:pPr>
              <w:jc w:val="right"/>
              <w:rPr>
                <w:szCs w:val="24"/>
              </w:rPr>
            </w:pPr>
          </w:p>
        </w:tc>
        <w:tc>
          <w:tcPr>
            <w:tcW w:w="1406" w:type="dxa"/>
            <w:vAlign w:val="center"/>
          </w:tcPr>
          <w:p w14:paraId="31D0E10F" w14:textId="6CC7E67D" w:rsidR="009D07CD" w:rsidRPr="00DF39E9" w:rsidRDefault="009D07CD" w:rsidP="009D07CD">
            <w:pPr>
              <w:jc w:val="right"/>
              <w:rPr>
                <w:szCs w:val="24"/>
              </w:rPr>
            </w:pPr>
            <w:r>
              <w:t>(6,564)</w:t>
            </w:r>
          </w:p>
        </w:tc>
      </w:tr>
      <w:tr w:rsidR="009D07CD" w:rsidRPr="00D948C1" w14:paraId="559DBAC7" w14:textId="77777777" w:rsidTr="6498351E">
        <w:tc>
          <w:tcPr>
            <w:tcW w:w="3172" w:type="dxa"/>
          </w:tcPr>
          <w:p w14:paraId="20353151" w14:textId="77777777" w:rsidR="009D07CD" w:rsidRPr="00D948C1" w:rsidRDefault="009D07CD" w:rsidP="009D07CD">
            <w:pPr>
              <w:rPr>
                <w:szCs w:val="24"/>
              </w:rPr>
            </w:pPr>
            <w:r w:rsidRPr="00D948C1">
              <w:rPr>
                <w:szCs w:val="24"/>
              </w:rPr>
              <w:t>Earmarked Reserves</w:t>
            </w:r>
          </w:p>
        </w:tc>
        <w:tc>
          <w:tcPr>
            <w:tcW w:w="1432" w:type="dxa"/>
            <w:gridSpan w:val="2"/>
            <w:vAlign w:val="center"/>
          </w:tcPr>
          <w:p w14:paraId="33B1B3A3" w14:textId="7389AB6A" w:rsidR="009D07CD" w:rsidRPr="00294859" w:rsidRDefault="00C512E2" w:rsidP="009D07CD">
            <w:pPr>
              <w:jc w:val="right"/>
            </w:pPr>
            <w:r>
              <w:t>(</w:t>
            </w:r>
            <w:r w:rsidR="000D1D42">
              <w:t>22,860)</w:t>
            </w:r>
          </w:p>
        </w:tc>
        <w:tc>
          <w:tcPr>
            <w:tcW w:w="1406" w:type="dxa"/>
            <w:vAlign w:val="center"/>
          </w:tcPr>
          <w:p w14:paraId="43454B6E" w14:textId="77777777" w:rsidR="009D07CD" w:rsidRPr="00294859" w:rsidRDefault="009D07CD" w:rsidP="009D07CD">
            <w:pPr>
              <w:jc w:val="right"/>
              <w:rPr>
                <w:szCs w:val="24"/>
              </w:rPr>
            </w:pPr>
          </w:p>
        </w:tc>
        <w:tc>
          <w:tcPr>
            <w:tcW w:w="1406" w:type="dxa"/>
            <w:vAlign w:val="center"/>
          </w:tcPr>
          <w:p w14:paraId="546BA549" w14:textId="3E9452CE" w:rsidR="009D07CD" w:rsidRPr="00DF39E9" w:rsidRDefault="009D07CD" w:rsidP="009D07CD">
            <w:pPr>
              <w:jc w:val="right"/>
              <w:rPr>
                <w:szCs w:val="24"/>
              </w:rPr>
            </w:pPr>
            <w:r>
              <w:t>(23,721)</w:t>
            </w:r>
          </w:p>
        </w:tc>
        <w:tc>
          <w:tcPr>
            <w:tcW w:w="1406" w:type="dxa"/>
            <w:vAlign w:val="center"/>
          </w:tcPr>
          <w:p w14:paraId="40B0B1B1" w14:textId="77777777" w:rsidR="009D07CD" w:rsidRPr="00DF39E9" w:rsidRDefault="009D07CD" w:rsidP="009D07CD">
            <w:pPr>
              <w:jc w:val="right"/>
              <w:rPr>
                <w:szCs w:val="24"/>
              </w:rPr>
            </w:pPr>
          </w:p>
        </w:tc>
      </w:tr>
      <w:tr w:rsidR="009D07CD" w:rsidRPr="00D948C1" w14:paraId="495DACBE" w14:textId="77777777" w:rsidTr="6498351E">
        <w:tc>
          <w:tcPr>
            <w:tcW w:w="3172" w:type="dxa"/>
          </w:tcPr>
          <w:p w14:paraId="1F133837" w14:textId="77777777" w:rsidR="009D07CD" w:rsidRPr="00D948C1" w:rsidRDefault="009D07CD" w:rsidP="009D07CD">
            <w:pPr>
              <w:rPr>
                <w:szCs w:val="24"/>
              </w:rPr>
            </w:pPr>
            <w:r w:rsidRPr="00D948C1">
              <w:rPr>
                <w:szCs w:val="24"/>
              </w:rPr>
              <w:t>PFI Equalisation Reserve</w:t>
            </w:r>
          </w:p>
        </w:tc>
        <w:tc>
          <w:tcPr>
            <w:tcW w:w="1432" w:type="dxa"/>
            <w:gridSpan w:val="2"/>
            <w:vAlign w:val="center"/>
          </w:tcPr>
          <w:p w14:paraId="3F605A3E" w14:textId="65491D8E" w:rsidR="009D07CD" w:rsidRPr="00294859" w:rsidRDefault="000D1D42" w:rsidP="009D07CD">
            <w:pPr>
              <w:jc w:val="right"/>
            </w:pPr>
            <w:r>
              <w:t>(5,490)</w:t>
            </w:r>
          </w:p>
        </w:tc>
        <w:tc>
          <w:tcPr>
            <w:tcW w:w="1406" w:type="dxa"/>
            <w:vAlign w:val="center"/>
          </w:tcPr>
          <w:p w14:paraId="6E72C234" w14:textId="77777777" w:rsidR="009D07CD" w:rsidRPr="00294859" w:rsidRDefault="009D07CD" w:rsidP="009D07CD">
            <w:pPr>
              <w:jc w:val="right"/>
              <w:rPr>
                <w:szCs w:val="24"/>
              </w:rPr>
            </w:pPr>
          </w:p>
        </w:tc>
        <w:tc>
          <w:tcPr>
            <w:tcW w:w="1406" w:type="dxa"/>
            <w:vAlign w:val="center"/>
          </w:tcPr>
          <w:p w14:paraId="4391423F" w14:textId="49904A6C" w:rsidR="009D07CD" w:rsidRPr="00DF39E9" w:rsidRDefault="009D07CD" w:rsidP="009D07CD">
            <w:pPr>
              <w:jc w:val="right"/>
              <w:rPr>
                <w:szCs w:val="24"/>
              </w:rPr>
            </w:pPr>
            <w:r>
              <w:t>(5,291)</w:t>
            </w:r>
          </w:p>
        </w:tc>
        <w:tc>
          <w:tcPr>
            <w:tcW w:w="1406" w:type="dxa"/>
            <w:vAlign w:val="center"/>
          </w:tcPr>
          <w:p w14:paraId="36A74061" w14:textId="77777777" w:rsidR="009D07CD" w:rsidRPr="00DF39E9" w:rsidRDefault="009D07CD" w:rsidP="009D07CD">
            <w:pPr>
              <w:jc w:val="right"/>
              <w:rPr>
                <w:szCs w:val="24"/>
              </w:rPr>
            </w:pPr>
          </w:p>
        </w:tc>
      </w:tr>
      <w:tr w:rsidR="009D07CD" w:rsidRPr="00D948C1" w14:paraId="19510920" w14:textId="77777777" w:rsidTr="6498351E">
        <w:tc>
          <w:tcPr>
            <w:tcW w:w="3172" w:type="dxa"/>
          </w:tcPr>
          <w:p w14:paraId="29B8D742" w14:textId="77777777" w:rsidR="009D07CD" w:rsidRPr="00D948C1" w:rsidRDefault="009D07CD" w:rsidP="009D07CD">
            <w:pPr>
              <w:rPr>
                <w:szCs w:val="24"/>
              </w:rPr>
            </w:pPr>
            <w:r w:rsidRPr="00D948C1">
              <w:rPr>
                <w:szCs w:val="24"/>
              </w:rPr>
              <w:t>Total Earmarked Reserves</w:t>
            </w:r>
          </w:p>
        </w:tc>
        <w:tc>
          <w:tcPr>
            <w:tcW w:w="1432" w:type="dxa"/>
            <w:gridSpan w:val="2"/>
            <w:vAlign w:val="center"/>
          </w:tcPr>
          <w:p w14:paraId="3326B779" w14:textId="77777777" w:rsidR="009D07CD" w:rsidRPr="00294859" w:rsidRDefault="009D07CD" w:rsidP="009D07CD">
            <w:pPr>
              <w:jc w:val="right"/>
              <w:rPr>
                <w:szCs w:val="24"/>
              </w:rPr>
            </w:pPr>
          </w:p>
        </w:tc>
        <w:tc>
          <w:tcPr>
            <w:tcW w:w="1406" w:type="dxa"/>
            <w:vAlign w:val="center"/>
          </w:tcPr>
          <w:p w14:paraId="6F597525" w14:textId="7E695493" w:rsidR="009D07CD" w:rsidRPr="00294859" w:rsidRDefault="000D1D42" w:rsidP="009D07CD">
            <w:pPr>
              <w:jc w:val="right"/>
            </w:pPr>
            <w:r>
              <w:t>(28,350)</w:t>
            </w:r>
          </w:p>
        </w:tc>
        <w:tc>
          <w:tcPr>
            <w:tcW w:w="1406" w:type="dxa"/>
            <w:vAlign w:val="center"/>
          </w:tcPr>
          <w:p w14:paraId="55F004A0" w14:textId="5D3D365F" w:rsidR="009D07CD" w:rsidRPr="00DF39E9" w:rsidRDefault="009D07CD" w:rsidP="009D07CD">
            <w:pPr>
              <w:jc w:val="right"/>
              <w:rPr>
                <w:szCs w:val="24"/>
              </w:rPr>
            </w:pPr>
          </w:p>
        </w:tc>
        <w:tc>
          <w:tcPr>
            <w:tcW w:w="1406" w:type="dxa"/>
            <w:vAlign w:val="center"/>
          </w:tcPr>
          <w:p w14:paraId="73EE5573" w14:textId="44791715" w:rsidR="009D07CD" w:rsidRPr="00DF39E9" w:rsidRDefault="009D07CD" w:rsidP="009D07CD">
            <w:pPr>
              <w:jc w:val="right"/>
              <w:rPr>
                <w:szCs w:val="24"/>
              </w:rPr>
            </w:pPr>
            <w:r>
              <w:t>(29,012)</w:t>
            </w:r>
          </w:p>
        </w:tc>
      </w:tr>
      <w:tr w:rsidR="009D07CD" w:rsidRPr="00D948C1" w14:paraId="7E8269B5" w14:textId="77777777" w:rsidTr="6498351E">
        <w:tc>
          <w:tcPr>
            <w:tcW w:w="3172" w:type="dxa"/>
          </w:tcPr>
          <w:p w14:paraId="6C44D2E2" w14:textId="48A8FC38" w:rsidR="009D07CD" w:rsidRPr="00D948C1" w:rsidRDefault="009D07CD" w:rsidP="009D07CD">
            <w:pPr>
              <w:rPr>
                <w:szCs w:val="24"/>
              </w:rPr>
            </w:pPr>
            <w:r w:rsidRPr="00D948C1">
              <w:rPr>
                <w:szCs w:val="24"/>
              </w:rPr>
              <w:t>Total</w:t>
            </w:r>
            <w:r>
              <w:rPr>
                <w:szCs w:val="24"/>
              </w:rPr>
              <w:t xml:space="preserve"> General Fund</w:t>
            </w:r>
          </w:p>
        </w:tc>
        <w:tc>
          <w:tcPr>
            <w:tcW w:w="1432" w:type="dxa"/>
            <w:gridSpan w:val="2"/>
            <w:vAlign w:val="center"/>
          </w:tcPr>
          <w:p w14:paraId="275B1712" w14:textId="77777777" w:rsidR="009D07CD" w:rsidRPr="00294859" w:rsidRDefault="009D07CD" w:rsidP="009D07CD">
            <w:pPr>
              <w:jc w:val="right"/>
              <w:rPr>
                <w:szCs w:val="24"/>
              </w:rPr>
            </w:pPr>
          </w:p>
        </w:tc>
        <w:tc>
          <w:tcPr>
            <w:tcW w:w="1406" w:type="dxa"/>
            <w:vAlign w:val="center"/>
          </w:tcPr>
          <w:p w14:paraId="6C90E7D3" w14:textId="39FD5016" w:rsidR="009D07CD" w:rsidRPr="00294859" w:rsidRDefault="00A33AC2" w:rsidP="009D07CD">
            <w:pPr>
              <w:jc w:val="right"/>
            </w:pPr>
            <w:r>
              <w:t>(35,273)</w:t>
            </w:r>
          </w:p>
        </w:tc>
        <w:tc>
          <w:tcPr>
            <w:tcW w:w="1406" w:type="dxa"/>
            <w:vAlign w:val="center"/>
          </w:tcPr>
          <w:p w14:paraId="0E1A8523" w14:textId="77777777" w:rsidR="009D07CD" w:rsidRPr="00DF39E9" w:rsidRDefault="009D07CD" w:rsidP="009D07CD">
            <w:pPr>
              <w:jc w:val="right"/>
              <w:rPr>
                <w:szCs w:val="24"/>
              </w:rPr>
            </w:pPr>
          </w:p>
        </w:tc>
        <w:tc>
          <w:tcPr>
            <w:tcW w:w="1406" w:type="dxa"/>
            <w:vAlign w:val="center"/>
          </w:tcPr>
          <w:p w14:paraId="2A725061" w14:textId="1FB177F8" w:rsidR="009D07CD" w:rsidRPr="00DF39E9" w:rsidRDefault="009D07CD" w:rsidP="009D07CD">
            <w:pPr>
              <w:jc w:val="right"/>
              <w:rPr>
                <w:szCs w:val="24"/>
              </w:rPr>
            </w:pPr>
            <w:r>
              <w:t>(35,576)</w:t>
            </w:r>
          </w:p>
        </w:tc>
      </w:tr>
    </w:tbl>
    <w:p w14:paraId="2C66ED73" w14:textId="77777777" w:rsidR="00EC3487" w:rsidRPr="00D948C1" w:rsidRDefault="00EC3487"/>
    <w:tbl>
      <w:tblPr>
        <w:tblW w:w="88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1432"/>
        <w:gridCol w:w="1406"/>
        <w:gridCol w:w="1406"/>
        <w:gridCol w:w="1406"/>
      </w:tblGrid>
      <w:tr w:rsidR="000C442C" w:rsidRPr="00D948C1" w14:paraId="126CA6A5" w14:textId="77777777" w:rsidTr="6498351E">
        <w:tc>
          <w:tcPr>
            <w:tcW w:w="8822" w:type="dxa"/>
            <w:gridSpan w:val="5"/>
            <w:shd w:val="clear" w:color="auto" w:fill="D9D9D9" w:themeFill="background1" w:themeFillShade="D9"/>
          </w:tcPr>
          <w:p w14:paraId="2F9F6EDB" w14:textId="1B14C03E" w:rsidR="000C442C" w:rsidRPr="00D948C1" w:rsidRDefault="000C442C" w:rsidP="000C442C">
            <w:pPr>
              <w:tabs>
                <w:tab w:val="decimal" w:pos="830"/>
              </w:tabs>
              <w:ind w:right="176"/>
              <w:rPr>
                <w:b/>
                <w:bCs/>
                <w:szCs w:val="24"/>
              </w:rPr>
            </w:pPr>
            <w:r w:rsidRPr="00D948C1">
              <w:rPr>
                <w:b/>
                <w:bCs/>
                <w:szCs w:val="24"/>
              </w:rPr>
              <w:t>Capital Reserves:</w:t>
            </w:r>
          </w:p>
        </w:tc>
      </w:tr>
      <w:tr w:rsidR="009D07CD" w:rsidRPr="00D948C1" w14:paraId="66767A3C" w14:textId="77777777" w:rsidTr="6498351E">
        <w:tc>
          <w:tcPr>
            <w:tcW w:w="3172" w:type="dxa"/>
          </w:tcPr>
          <w:p w14:paraId="789204C2" w14:textId="77777777" w:rsidR="009D07CD" w:rsidRPr="00D948C1" w:rsidRDefault="009D07CD" w:rsidP="009D07CD">
            <w:pPr>
              <w:rPr>
                <w:szCs w:val="24"/>
              </w:rPr>
            </w:pPr>
            <w:r w:rsidRPr="00D948C1">
              <w:rPr>
                <w:szCs w:val="24"/>
              </w:rPr>
              <w:t>Capital Grants Unapplied</w:t>
            </w:r>
          </w:p>
        </w:tc>
        <w:tc>
          <w:tcPr>
            <w:tcW w:w="1432" w:type="dxa"/>
          </w:tcPr>
          <w:p w14:paraId="14CD6E55" w14:textId="77777777" w:rsidR="009D07CD" w:rsidRPr="00DF39E9" w:rsidRDefault="009D07CD" w:rsidP="009D07CD">
            <w:pPr>
              <w:jc w:val="right"/>
              <w:rPr>
                <w:szCs w:val="24"/>
              </w:rPr>
            </w:pPr>
          </w:p>
        </w:tc>
        <w:tc>
          <w:tcPr>
            <w:tcW w:w="1406" w:type="dxa"/>
          </w:tcPr>
          <w:p w14:paraId="280E5D11" w14:textId="4EF17DA5" w:rsidR="009D07CD" w:rsidRPr="00294859" w:rsidRDefault="006A3C19" w:rsidP="009D07CD">
            <w:pPr>
              <w:jc w:val="right"/>
            </w:pPr>
            <w:r>
              <w:t>-</w:t>
            </w:r>
          </w:p>
        </w:tc>
        <w:tc>
          <w:tcPr>
            <w:tcW w:w="1406" w:type="dxa"/>
          </w:tcPr>
          <w:p w14:paraId="4A1512C4" w14:textId="77777777" w:rsidR="009D07CD" w:rsidRPr="00DF39E9" w:rsidRDefault="009D07CD" w:rsidP="009D07CD">
            <w:pPr>
              <w:jc w:val="right"/>
              <w:rPr>
                <w:szCs w:val="24"/>
              </w:rPr>
            </w:pPr>
          </w:p>
        </w:tc>
        <w:tc>
          <w:tcPr>
            <w:tcW w:w="1406" w:type="dxa"/>
          </w:tcPr>
          <w:p w14:paraId="257DCEE2" w14:textId="2FF76D96" w:rsidR="009D07CD" w:rsidRPr="00DF39E9" w:rsidRDefault="009D07CD" w:rsidP="009D07CD">
            <w:pPr>
              <w:jc w:val="right"/>
              <w:rPr>
                <w:szCs w:val="24"/>
              </w:rPr>
            </w:pPr>
            <w:r>
              <w:t>-</w:t>
            </w:r>
          </w:p>
        </w:tc>
      </w:tr>
      <w:tr w:rsidR="009D07CD" w:rsidRPr="00D948C1" w14:paraId="589E4C3B" w14:textId="77777777" w:rsidTr="6498351E">
        <w:tc>
          <w:tcPr>
            <w:tcW w:w="3172" w:type="dxa"/>
          </w:tcPr>
          <w:p w14:paraId="6A3C2A3C" w14:textId="77777777" w:rsidR="009D07CD" w:rsidRPr="00D948C1" w:rsidRDefault="009D07CD" w:rsidP="009D07CD">
            <w:pPr>
              <w:rPr>
                <w:szCs w:val="24"/>
              </w:rPr>
            </w:pPr>
            <w:r w:rsidRPr="00D948C1">
              <w:rPr>
                <w:szCs w:val="24"/>
              </w:rPr>
              <w:t>Usable Capital Receipts</w:t>
            </w:r>
          </w:p>
        </w:tc>
        <w:tc>
          <w:tcPr>
            <w:tcW w:w="1432" w:type="dxa"/>
          </w:tcPr>
          <w:p w14:paraId="212D22DB" w14:textId="77777777" w:rsidR="009D07CD" w:rsidRPr="00DF39E9" w:rsidRDefault="009D07CD" w:rsidP="009D07CD">
            <w:pPr>
              <w:jc w:val="right"/>
              <w:rPr>
                <w:szCs w:val="24"/>
              </w:rPr>
            </w:pPr>
          </w:p>
        </w:tc>
        <w:tc>
          <w:tcPr>
            <w:tcW w:w="1406" w:type="dxa"/>
          </w:tcPr>
          <w:p w14:paraId="5B9EE3FA" w14:textId="4D9326B8" w:rsidR="009D07CD" w:rsidRPr="00294859" w:rsidRDefault="006A3C19" w:rsidP="009D07CD">
            <w:pPr>
              <w:jc w:val="right"/>
            </w:pPr>
            <w:r>
              <w:t>(272)</w:t>
            </w:r>
          </w:p>
        </w:tc>
        <w:tc>
          <w:tcPr>
            <w:tcW w:w="1406" w:type="dxa"/>
          </w:tcPr>
          <w:p w14:paraId="799CE567" w14:textId="77777777" w:rsidR="009D07CD" w:rsidRPr="00DF39E9" w:rsidRDefault="009D07CD" w:rsidP="009D07CD">
            <w:pPr>
              <w:jc w:val="right"/>
              <w:rPr>
                <w:szCs w:val="24"/>
              </w:rPr>
            </w:pPr>
          </w:p>
        </w:tc>
        <w:tc>
          <w:tcPr>
            <w:tcW w:w="1406" w:type="dxa"/>
          </w:tcPr>
          <w:p w14:paraId="13199CBA" w14:textId="5D7803CC" w:rsidR="009D07CD" w:rsidRPr="00DF39E9" w:rsidRDefault="009D07CD" w:rsidP="009D07CD">
            <w:pPr>
              <w:jc w:val="right"/>
              <w:rPr>
                <w:szCs w:val="24"/>
              </w:rPr>
            </w:pPr>
            <w:r>
              <w:t>(194)</w:t>
            </w:r>
          </w:p>
        </w:tc>
      </w:tr>
      <w:tr w:rsidR="009D07CD" w:rsidRPr="00D948C1" w14:paraId="61572B2C" w14:textId="77777777" w:rsidTr="6498351E">
        <w:tc>
          <w:tcPr>
            <w:tcW w:w="3172" w:type="dxa"/>
          </w:tcPr>
          <w:p w14:paraId="6F6D59BF" w14:textId="77777777" w:rsidR="009D07CD" w:rsidRPr="00D948C1" w:rsidRDefault="009D07CD" w:rsidP="009D07CD">
            <w:pPr>
              <w:rPr>
                <w:szCs w:val="24"/>
              </w:rPr>
            </w:pPr>
            <w:r w:rsidRPr="00D948C1">
              <w:rPr>
                <w:szCs w:val="24"/>
              </w:rPr>
              <w:t>Total Usable Reserves</w:t>
            </w:r>
          </w:p>
        </w:tc>
        <w:tc>
          <w:tcPr>
            <w:tcW w:w="1432" w:type="dxa"/>
          </w:tcPr>
          <w:p w14:paraId="5118D797" w14:textId="77777777" w:rsidR="009D07CD" w:rsidRPr="00DF39E9" w:rsidRDefault="009D07CD" w:rsidP="009D07CD">
            <w:pPr>
              <w:jc w:val="right"/>
              <w:rPr>
                <w:szCs w:val="24"/>
              </w:rPr>
            </w:pPr>
          </w:p>
        </w:tc>
        <w:tc>
          <w:tcPr>
            <w:tcW w:w="1406" w:type="dxa"/>
          </w:tcPr>
          <w:p w14:paraId="4113A894" w14:textId="57D139EA" w:rsidR="009D07CD" w:rsidRPr="00294859" w:rsidRDefault="006A3C19" w:rsidP="009D07CD">
            <w:pPr>
              <w:jc w:val="right"/>
            </w:pPr>
            <w:r>
              <w:t>(35,545)</w:t>
            </w:r>
          </w:p>
        </w:tc>
        <w:tc>
          <w:tcPr>
            <w:tcW w:w="1406" w:type="dxa"/>
          </w:tcPr>
          <w:p w14:paraId="2A36FEBF" w14:textId="77777777" w:rsidR="009D07CD" w:rsidRPr="00DF39E9" w:rsidRDefault="009D07CD" w:rsidP="009D07CD">
            <w:pPr>
              <w:jc w:val="right"/>
              <w:rPr>
                <w:szCs w:val="24"/>
              </w:rPr>
            </w:pPr>
          </w:p>
        </w:tc>
        <w:tc>
          <w:tcPr>
            <w:tcW w:w="1406" w:type="dxa"/>
          </w:tcPr>
          <w:p w14:paraId="1AD7BC15" w14:textId="2B4F5C24" w:rsidR="009D07CD" w:rsidRPr="00DF39E9" w:rsidRDefault="009D07CD" w:rsidP="009D07CD">
            <w:pPr>
              <w:jc w:val="right"/>
              <w:rPr>
                <w:szCs w:val="24"/>
              </w:rPr>
            </w:pPr>
            <w:r>
              <w:t>(35,770)</w:t>
            </w:r>
          </w:p>
        </w:tc>
      </w:tr>
    </w:tbl>
    <w:p w14:paraId="53B5A287" w14:textId="77777777" w:rsidR="003051C3" w:rsidRPr="00D948C1" w:rsidRDefault="003051C3" w:rsidP="003051C3">
      <w:pPr>
        <w:ind w:left="720"/>
        <w:rPr>
          <w:b/>
          <w:szCs w:val="24"/>
        </w:rPr>
      </w:pPr>
    </w:p>
    <w:p w14:paraId="47EAA2DA" w14:textId="3CA4D83D" w:rsidR="00484A3E" w:rsidRPr="00484A3E" w:rsidRDefault="00D860EB" w:rsidP="00D1174A">
      <w:pPr>
        <w:ind w:left="720"/>
        <w:rPr>
          <w:bCs/>
          <w:szCs w:val="24"/>
        </w:rPr>
        <w:sectPr w:rsidR="00484A3E" w:rsidRPr="00484A3E" w:rsidSect="0050229D">
          <w:pgSz w:w="11907" w:h="16840" w:code="9"/>
          <w:pgMar w:top="454" w:right="567" w:bottom="397" w:left="567" w:header="720" w:footer="720" w:gutter="0"/>
          <w:cols w:space="720"/>
          <w:docGrid w:linePitch="326"/>
        </w:sectPr>
      </w:pPr>
      <w:proofErr w:type="gramStart"/>
      <w:r w:rsidRPr="003C6AA4">
        <w:rPr>
          <w:szCs w:val="24"/>
        </w:rPr>
        <w:t>At</w:t>
      </w:r>
      <w:proofErr w:type="gramEnd"/>
      <w:r w:rsidRPr="003C6AA4">
        <w:rPr>
          <w:szCs w:val="24"/>
        </w:rPr>
        <w:t xml:space="preserve"> 31 March 202</w:t>
      </w:r>
      <w:r w:rsidR="008C3600" w:rsidRPr="003C6AA4">
        <w:rPr>
          <w:szCs w:val="24"/>
        </w:rPr>
        <w:t>6</w:t>
      </w:r>
      <w:r w:rsidRPr="003C6AA4">
        <w:rPr>
          <w:szCs w:val="24"/>
        </w:rPr>
        <w:t xml:space="preserve"> t</w:t>
      </w:r>
      <w:r w:rsidR="00D1174A" w:rsidRPr="003C6AA4">
        <w:rPr>
          <w:szCs w:val="24"/>
        </w:rPr>
        <w:t xml:space="preserve">he Authority’s earmarked reserves </w:t>
      </w:r>
      <w:r w:rsidR="00171B1C" w:rsidRPr="003C6AA4">
        <w:rPr>
          <w:szCs w:val="24"/>
        </w:rPr>
        <w:t>include</w:t>
      </w:r>
      <w:r w:rsidR="00D1174A" w:rsidRPr="003C6AA4">
        <w:rPr>
          <w:szCs w:val="24"/>
        </w:rPr>
        <w:t xml:space="preserve"> </w:t>
      </w:r>
      <w:r w:rsidR="00320290" w:rsidRPr="003C6AA4">
        <w:rPr>
          <w:szCs w:val="24"/>
        </w:rPr>
        <w:t>£1</w:t>
      </w:r>
      <w:r w:rsidR="00F11903" w:rsidRPr="003C6AA4">
        <w:rPr>
          <w:szCs w:val="24"/>
        </w:rPr>
        <w:t>5</w:t>
      </w:r>
      <w:r w:rsidR="00320290" w:rsidRPr="003C6AA4">
        <w:rPr>
          <w:szCs w:val="24"/>
        </w:rPr>
        <w:t>.3</w:t>
      </w:r>
      <w:r w:rsidR="00F11903" w:rsidRPr="003C6AA4">
        <w:rPr>
          <w:szCs w:val="24"/>
        </w:rPr>
        <w:t>05</w:t>
      </w:r>
      <w:r w:rsidR="00C0111A">
        <w:rPr>
          <w:szCs w:val="24"/>
        </w:rPr>
        <w:t xml:space="preserve"> </w:t>
      </w:r>
      <w:r w:rsidR="00320290" w:rsidRPr="003C6AA4">
        <w:rPr>
          <w:szCs w:val="24"/>
        </w:rPr>
        <w:t>m</w:t>
      </w:r>
      <w:r w:rsidR="00C0111A">
        <w:rPr>
          <w:szCs w:val="24"/>
        </w:rPr>
        <w:t>illion</w:t>
      </w:r>
      <w:r w:rsidR="00320290" w:rsidRPr="003C6AA4">
        <w:rPr>
          <w:szCs w:val="24"/>
        </w:rPr>
        <w:t xml:space="preserve"> which has been </w:t>
      </w:r>
      <w:r w:rsidR="00A73533" w:rsidRPr="003C6AA4">
        <w:rPr>
          <w:szCs w:val="24"/>
        </w:rPr>
        <w:t>earmarked</w:t>
      </w:r>
      <w:r w:rsidR="00320290" w:rsidRPr="003C6AA4">
        <w:rPr>
          <w:szCs w:val="24"/>
        </w:rPr>
        <w:t xml:space="preserve"> </w:t>
      </w:r>
      <w:r w:rsidR="00A73533" w:rsidRPr="003C6AA4">
        <w:rPr>
          <w:szCs w:val="24"/>
        </w:rPr>
        <w:t>to fund</w:t>
      </w:r>
      <w:r w:rsidR="00320290" w:rsidRPr="003C6AA4">
        <w:rPr>
          <w:szCs w:val="24"/>
        </w:rPr>
        <w:t xml:space="preserve"> future capital </w:t>
      </w:r>
      <w:r w:rsidR="00171B1C" w:rsidRPr="003C6AA4">
        <w:rPr>
          <w:szCs w:val="24"/>
        </w:rPr>
        <w:t>requirements</w:t>
      </w:r>
      <w:r w:rsidR="002024B4" w:rsidRPr="003C6AA4">
        <w:rPr>
          <w:szCs w:val="24"/>
        </w:rPr>
        <w:t>.</w:t>
      </w:r>
      <w:r w:rsidR="007531BB">
        <w:rPr>
          <w:bCs/>
          <w:szCs w:val="24"/>
        </w:rPr>
        <w:t xml:space="preserve"> </w:t>
      </w:r>
    </w:p>
    <w:p w14:paraId="34121F38" w14:textId="11039E05" w:rsidR="00AF3C89" w:rsidRPr="00D948C1" w:rsidRDefault="001C592E" w:rsidP="006563F1">
      <w:pPr>
        <w:pStyle w:val="Heading2"/>
        <w:jc w:val="left"/>
        <w:rPr>
          <w:sz w:val="24"/>
          <w:szCs w:val="24"/>
        </w:rPr>
      </w:pPr>
      <w:bookmarkStart w:id="59" w:name="_18_Transfers_(to)/from"/>
      <w:bookmarkStart w:id="60" w:name="_Toc233717537"/>
      <w:bookmarkEnd w:id="59"/>
      <w:r w:rsidRPr="00D948C1">
        <w:rPr>
          <w:sz w:val="24"/>
          <w:szCs w:val="24"/>
        </w:rPr>
        <w:lastRenderedPageBreak/>
        <w:t>1</w:t>
      </w:r>
      <w:r w:rsidR="00B62A26">
        <w:rPr>
          <w:sz w:val="24"/>
          <w:szCs w:val="24"/>
        </w:rPr>
        <w:t>8</w:t>
      </w:r>
      <w:r w:rsidR="001429DE" w:rsidRPr="00D948C1">
        <w:rPr>
          <w:sz w:val="24"/>
          <w:szCs w:val="24"/>
        </w:rPr>
        <w:tab/>
      </w:r>
      <w:r w:rsidR="00AF3C89" w:rsidRPr="00D948C1">
        <w:rPr>
          <w:sz w:val="24"/>
          <w:szCs w:val="24"/>
        </w:rPr>
        <w:t>Transfers (to)</w:t>
      </w:r>
      <w:r w:rsidR="00C06E89">
        <w:rPr>
          <w:sz w:val="24"/>
          <w:szCs w:val="24"/>
        </w:rPr>
        <w:t xml:space="preserve"> or </w:t>
      </w:r>
      <w:r w:rsidR="00AF3C89" w:rsidRPr="00D948C1">
        <w:rPr>
          <w:sz w:val="24"/>
          <w:szCs w:val="24"/>
        </w:rPr>
        <w:t>from Earmarked Reserves</w:t>
      </w:r>
      <w:bookmarkEnd w:id="60"/>
    </w:p>
    <w:p w14:paraId="36446D8D" w14:textId="77777777" w:rsidR="00D90216" w:rsidRPr="00D948C1" w:rsidRDefault="00D90216" w:rsidP="00D90216">
      <w:pPr>
        <w:ind w:left="709"/>
        <w:rPr>
          <w:szCs w:val="24"/>
        </w:rPr>
      </w:pPr>
    </w:p>
    <w:tbl>
      <w:tblPr>
        <w:tblW w:w="152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1701"/>
        <w:gridCol w:w="1701"/>
        <w:gridCol w:w="1701"/>
        <w:gridCol w:w="1701"/>
        <w:gridCol w:w="1701"/>
        <w:gridCol w:w="1701"/>
        <w:gridCol w:w="1701"/>
      </w:tblGrid>
      <w:tr w:rsidR="006014CB" w:rsidRPr="00D948C1" w14:paraId="3B976A56" w14:textId="77777777" w:rsidTr="00611673">
        <w:trPr>
          <w:tblHeader/>
        </w:trPr>
        <w:tc>
          <w:tcPr>
            <w:tcW w:w="3294" w:type="dxa"/>
            <w:shd w:val="clear" w:color="auto" w:fill="BD2716"/>
          </w:tcPr>
          <w:p w14:paraId="1509FD0B" w14:textId="77777777" w:rsidR="006014CB" w:rsidRPr="00D948C1" w:rsidRDefault="006014CB" w:rsidP="006014CB">
            <w:pPr>
              <w:rPr>
                <w:color w:val="FFFFFF" w:themeColor="background1"/>
                <w:szCs w:val="24"/>
              </w:rPr>
            </w:pPr>
          </w:p>
        </w:tc>
        <w:tc>
          <w:tcPr>
            <w:tcW w:w="1701" w:type="dxa"/>
            <w:shd w:val="clear" w:color="auto" w:fill="BD2716"/>
            <w:vAlign w:val="center"/>
          </w:tcPr>
          <w:p w14:paraId="7E0F06AA" w14:textId="77777777" w:rsidR="006014CB" w:rsidRPr="00D948C1" w:rsidRDefault="006014CB" w:rsidP="006014CB">
            <w:pPr>
              <w:jc w:val="right"/>
              <w:rPr>
                <w:color w:val="FFFFFF" w:themeColor="background1"/>
                <w:szCs w:val="24"/>
              </w:rPr>
            </w:pPr>
            <w:r>
              <w:rPr>
                <w:color w:val="FFFFFF" w:themeColor="background1"/>
                <w:szCs w:val="24"/>
              </w:rPr>
              <w:t xml:space="preserve">Restated* </w:t>
            </w:r>
            <w:r w:rsidRPr="00D948C1">
              <w:rPr>
                <w:color w:val="FFFFFF" w:themeColor="background1"/>
                <w:szCs w:val="24"/>
              </w:rPr>
              <w:t xml:space="preserve">Balance </w:t>
            </w:r>
            <w:proofErr w:type="gramStart"/>
            <w:r w:rsidRPr="00D948C1">
              <w:rPr>
                <w:color w:val="FFFFFF" w:themeColor="background1"/>
                <w:szCs w:val="24"/>
              </w:rPr>
              <w:t>at</w:t>
            </w:r>
            <w:proofErr w:type="gramEnd"/>
            <w:r w:rsidRPr="00D948C1">
              <w:rPr>
                <w:color w:val="FFFFFF" w:themeColor="background1"/>
                <w:szCs w:val="24"/>
              </w:rPr>
              <w:t xml:space="preserve"> 31 March 2024</w:t>
            </w:r>
          </w:p>
          <w:p w14:paraId="3B3D5CEC" w14:textId="217FB094"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0A415C32" w14:textId="32ECDE12" w:rsidR="006014CB" w:rsidRPr="00D948C1" w:rsidRDefault="006014CB" w:rsidP="006014CB">
            <w:pPr>
              <w:jc w:val="right"/>
              <w:rPr>
                <w:color w:val="FFFFFF" w:themeColor="background1"/>
                <w:szCs w:val="24"/>
              </w:rPr>
            </w:pPr>
            <w:r w:rsidRPr="00D948C1">
              <w:rPr>
                <w:color w:val="FFFFFF" w:themeColor="background1"/>
                <w:szCs w:val="24"/>
              </w:rPr>
              <w:t xml:space="preserve">Transfers in </w:t>
            </w:r>
            <w:r w:rsidR="001A42DD">
              <w:rPr>
                <w:color w:val="FFFFFF" w:themeColor="background1"/>
                <w:szCs w:val="24"/>
              </w:rPr>
              <w:t>2024-25</w:t>
            </w:r>
          </w:p>
          <w:p w14:paraId="3C229FFA" w14:textId="087A8E82"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5248D8BA" w14:textId="37F17862" w:rsidR="006014CB" w:rsidRPr="00D948C1" w:rsidRDefault="006014CB" w:rsidP="006014CB">
            <w:pPr>
              <w:jc w:val="right"/>
              <w:rPr>
                <w:color w:val="FFFFFF" w:themeColor="background1"/>
                <w:szCs w:val="24"/>
              </w:rPr>
            </w:pPr>
            <w:r w:rsidRPr="00D948C1">
              <w:rPr>
                <w:color w:val="FFFFFF" w:themeColor="background1"/>
                <w:szCs w:val="24"/>
              </w:rPr>
              <w:t xml:space="preserve">Transfers out </w:t>
            </w:r>
            <w:r w:rsidR="001A42DD">
              <w:rPr>
                <w:color w:val="FFFFFF" w:themeColor="background1"/>
                <w:szCs w:val="24"/>
              </w:rPr>
              <w:t>2024-25</w:t>
            </w:r>
          </w:p>
          <w:p w14:paraId="17601649" w14:textId="4FAF26D8"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6B6B8ABB" w14:textId="77777777" w:rsidR="006014CB" w:rsidRPr="00D948C1" w:rsidRDefault="006014CB" w:rsidP="006014CB">
            <w:pPr>
              <w:jc w:val="right"/>
              <w:rPr>
                <w:color w:val="FFFFFF" w:themeColor="background1"/>
                <w:szCs w:val="24"/>
              </w:rPr>
            </w:pPr>
            <w:r w:rsidRPr="00D948C1">
              <w:rPr>
                <w:color w:val="FFFFFF" w:themeColor="background1"/>
                <w:szCs w:val="24"/>
              </w:rPr>
              <w:t xml:space="preserve">Balance </w:t>
            </w:r>
            <w:proofErr w:type="gramStart"/>
            <w:r w:rsidRPr="00D948C1">
              <w:rPr>
                <w:color w:val="FFFFFF" w:themeColor="background1"/>
                <w:szCs w:val="24"/>
              </w:rPr>
              <w:t>at</w:t>
            </w:r>
            <w:proofErr w:type="gramEnd"/>
            <w:r w:rsidRPr="00D948C1">
              <w:rPr>
                <w:color w:val="FFFFFF" w:themeColor="background1"/>
                <w:szCs w:val="24"/>
              </w:rPr>
              <w:t xml:space="preserve"> 31 March 202</w:t>
            </w:r>
            <w:r>
              <w:rPr>
                <w:color w:val="FFFFFF" w:themeColor="background1"/>
                <w:szCs w:val="24"/>
              </w:rPr>
              <w:t>5</w:t>
            </w:r>
          </w:p>
          <w:p w14:paraId="5C43A78A" w14:textId="17B60E10"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5A0245FB" w14:textId="0A0EF49B" w:rsidR="006014CB" w:rsidRPr="00D948C1" w:rsidRDefault="006014CB" w:rsidP="006014CB">
            <w:pPr>
              <w:jc w:val="right"/>
              <w:rPr>
                <w:color w:val="FFFFFF" w:themeColor="background1"/>
                <w:szCs w:val="24"/>
              </w:rPr>
            </w:pPr>
            <w:r w:rsidRPr="00D948C1">
              <w:rPr>
                <w:color w:val="FFFFFF" w:themeColor="background1"/>
                <w:szCs w:val="24"/>
              </w:rPr>
              <w:t xml:space="preserve">Transfers in </w:t>
            </w:r>
            <w:r w:rsidR="001A42DD">
              <w:rPr>
                <w:color w:val="FFFFFF" w:themeColor="background1"/>
                <w:szCs w:val="24"/>
              </w:rPr>
              <w:t>2025-26</w:t>
            </w:r>
          </w:p>
          <w:p w14:paraId="2A7F3BBD" w14:textId="24439B22"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1CE441B5" w14:textId="4AFC5E86" w:rsidR="006014CB" w:rsidRPr="00D948C1" w:rsidRDefault="006014CB" w:rsidP="006014CB">
            <w:pPr>
              <w:jc w:val="right"/>
              <w:rPr>
                <w:color w:val="FFFFFF" w:themeColor="background1"/>
                <w:szCs w:val="24"/>
              </w:rPr>
            </w:pPr>
            <w:r w:rsidRPr="00D948C1">
              <w:rPr>
                <w:color w:val="FFFFFF" w:themeColor="background1"/>
                <w:szCs w:val="24"/>
              </w:rPr>
              <w:t xml:space="preserve">Transfers out </w:t>
            </w:r>
            <w:r w:rsidR="001A42DD">
              <w:rPr>
                <w:color w:val="FFFFFF" w:themeColor="background1"/>
                <w:szCs w:val="24"/>
              </w:rPr>
              <w:t>2025-26</w:t>
            </w:r>
          </w:p>
          <w:p w14:paraId="6E239CFF" w14:textId="7BB9776B" w:rsidR="006014CB" w:rsidRPr="00D948C1" w:rsidRDefault="006014CB" w:rsidP="006014CB">
            <w:pPr>
              <w:jc w:val="right"/>
              <w:rPr>
                <w:color w:val="FFFFFF" w:themeColor="background1"/>
                <w:szCs w:val="24"/>
              </w:rPr>
            </w:pPr>
            <w:r w:rsidRPr="00D948C1">
              <w:rPr>
                <w:color w:val="FFFFFF" w:themeColor="background1"/>
                <w:szCs w:val="24"/>
              </w:rPr>
              <w:t>£000</w:t>
            </w:r>
          </w:p>
        </w:tc>
        <w:tc>
          <w:tcPr>
            <w:tcW w:w="1701" w:type="dxa"/>
            <w:shd w:val="clear" w:color="auto" w:fill="BD2716"/>
            <w:vAlign w:val="center"/>
          </w:tcPr>
          <w:p w14:paraId="54B63E7E" w14:textId="48F359B0" w:rsidR="006014CB" w:rsidRPr="00D948C1" w:rsidRDefault="006014CB" w:rsidP="006014CB">
            <w:pPr>
              <w:jc w:val="right"/>
              <w:rPr>
                <w:color w:val="FFFFFF" w:themeColor="background1"/>
                <w:szCs w:val="24"/>
              </w:rPr>
            </w:pPr>
            <w:r w:rsidRPr="00D948C1">
              <w:rPr>
                <w:color w:val="FFFFFF" w:themeColor="background1"/>
                <w:szCs w:val="24"/>
              </w:rPr>
              <w:t xml:space="preserve">Balance </w:t>
            </w:r>
            <w:proofErr w:type="gramStart"/>
            <w:r w:rsidRPr="00D948C1">
              <w:rPr>
                <w:color w:val="FFFFFF" w:themeColor="background1"/>
                <w:szCs w:val="24"/>
              </w:rPr>
              <w:t>at</w:t>
            </w:r>
            <w:proofErr w:type="gramEnd"/>
            <w:r w:rsidRPr="00D948C1">
              <w:rPr>
                <w:color w:val="FFFFFF" w:themeColor="background1"/>
                <w:szCs w:val="24"/>
              </w:rPr>
              <w:t xml:space="preserve"> 31 March 202</w:t>
            </w:r>
            <w:r w:rsidR="00980CDE">
              <w:rPr>
                <w:color w:val="FFFFFF" w:themeColor="background1"/>
                <w:szCs w:val="24"/>
              </w:rPr>
              <w:t>6</w:t>
            </w:r>
          </w:p>
          <w:p w14:paraId="674ACC95" w14:textId="30B3E72C" w:rsidR="006014CB" w:rsidRPr="00D948C1" w:rsidRDefault="006014CB" w:rsidP="006014CB">
            <w:pPr>
              <w:jc w:val="right"/>
              <w:rPr>
                <w:color w:val="FFFFFF" w:themeColor="background1"/>
                <w:szCs w:val="24"/>
              </w:rPr>
            </w:pPr>
            <w:r w:rsidRPr="00D948C1">
              <w:rPr>
                <w:color w:val="FFFFFF" w:themeColor="background1"/>
                <w:szCs w:val="24"/>
              </w:rPr>
              <w:t>£000</w:t>
            </w:r>
          </w:p>
        </w:tc>
      </w:tr>
      <w:tr w:rsidR="006014CB" w:rsidRPr="00D948C1" w14:paraId="6DECA476" w14:textId="77777777" w:rsidTr="00611673">
        <w:tc>
          <w:tcPr>
            <w:tcW w:w="3294" w:type="dxa"/>
          </w:tcPr>
          <w:p w14:paraId="60CD808B" w14:textId="77777777" w:rsidR="006014CB" w:rsidRPr="00D948C1" w:rsidRDefault="006014CB" w:rsidP="006014CB">
            <w:pPr>
              <w:rPr>
                <w:szCs w:val="24"/>
              </w:rPr>
            </w:pPr>
            <w:r w:rsidRPr="00D948C1">
              <w:rPr>
                <w:szCs w:val="24"/>
              </w:rPr>
              <w:t>General fund</w:t>
            </w:r>
          </w:p>
        </w:tc>
        <w:tc>
          <w:tcPr>
            <w:tcW w:w="1701" w:type="dxa"/>
            <w:vAlign w:val="center"/>
          </w:tcPr>
          <w:p w14:paraId="46C9323B" w14:textId="28E3D547" w:rsidR="006014CB" w:rsidRPr="00DF39E9" w:rsidRDefault="006014CB" w:rsidP="006014CB">
            <w:pPr>
              <w:tabs>
                <w:tab w:val="decimal" w:pos="884"/>
              </w:tabs>
              <w:jc w:val="right"/>
              <w:rPr>
                <w:szCs w:val="24"/>
              </w:rPr>
            </w:pPr>
            <w:r w:rsidRPr="00DF39E9">
              <w:rPr>
                <w:szCs w:val="24"/>
              </w:rPr>
              <w:t>(5,662)</w:t>
            </w:r>
          </w:p>
        </w:tc>
        <w:tc>
          <w:tcPr>
            <w:tcW w:w="1701" w:type="dxa"/>
            <w:vAlign w:val="center"/>
          </w:tcPr>
          <w:p w14:paraId="2F98E431" w14:textId="24B8B411" w:rsidR="006014CB" w:rsidRPr="00DF39E9" w:rsidRDefault="006014CB" w:rsidP="006014CB">
            <w:pPr>
              <w:tabs>
                <w:tab w:val="decimal" w:pos="884"/>
              </w:tabs>
              <w:jc w:val="right"/>
              <w:rPr>
                <w:szCs w:val="24"/>
              </w:rPr>
            </w:pPr>
            <w:r w:rsidRPr="00294859">
              <w:rPr>
                <w:szCs w:val="24"/>
              </w:rPr>
              <w:t>(902)</w:t>
            </w:r>
          </w:p>
        </w:tc>
        <w:tc>
          <w:tcPr>
            <w:tcW w:w="1701" w:type="dxa"/>
            <w:vAlign w:val="center"/>
          </w:tcPr>
          <w:p w14:paraId="1776EEB7" w14:textId="339970D2" w:rsidR="006014CB" w:rsidRPr="00DF39E9" w:rsidRDefault="006014CB" w:rsidP="006014CB">
            <w:pPr>
              <w:tabs>
                <w:tab w:val="decimal" w:pos="884"/>
              </w:tabs>
              <w:jc w:val="right"/>
              <w:rPr>
                <w:szCs w:val="24"/>
              </w:rPr>
            </w:pPr>
            <w:r w:rsidRPr="00294859">
              <w:rPr>
                <w:szCs w:val="24"/>
              </w:rPr>
              <w:t>-</w:t>
            </w:r>
          </w:p>
        </w:tc>
        <w:tc>
          <w:tcPr>
            <w:tcW w:w="1701" w:type="dxa"/>
            <w:vAlign w:val="center"/>
          </w:tcPr>
          <w:p w14:paraId="48B09DD3" w14:textId="6769D5B6" w:rsidR="006014CB" w:rsidRPr="00DF39E9" w:rsidRDefault="006014CB" w:rsidP="006014CB">
            <w:pPr>
              <w:tabs>
                <w:tab w:val="decimal" w:pos="884"/>
              </w:tabs>
              <w:jc w:val="right"/>
              <w:rPr>
                <w:szCs w:val="24"/>
              </w:rPr>
            </w:pPr>
            <w:r w:rsidRPr="00294859">
              <w:rPr>
                <w:szCs w:val="24"/>
              </w:rPr>
              <w:t>(6,564)</w:t>
            </w:r>
          </w:p>
        </w:tc>
        <w:tc>
          <w:tcPr>
            <w:tcW w:w="1701" w:type="dxa"/>
            <w:vAlign w:val="center"/>
          </w:tcPr>
          <w:p w14:paraId="3AA37C19" w14:textId="349DCAAE" w:rsidR="006014CB" w:rsidRPr="00294859" w:rsidRDefault="00331B01" w:rsidP="006014CB">
            <w:pPr>
              <w:tabs>
                <w:tab w:val="decimal" w:pos="884"/>
              </w:tabs>
              <w:jc w:val="right"/>
              <w:rPr>
                <w:szCs w:val="24"/>
              </w:rPr>
            </w:pPr>
            <w:r>
              <w:rPr>
                <w:szCs w:val="24"/>
              </w:rPr>
              <w:t>(359)</w:t>
            </w:r>
          </w:p>
        </w:tc>
        <w:tc>
          <w:tcPr>
            <w:tcW w:w="1701" w:type="dxa"/>
            <w:vAlign w:val="center"/>
          </w:tcPr>
          <w:p w14:paraId="2CDC99C2" w14:textId="24754FF3" w:rsidR="006014CB" w:rsidRPr="00294859" w:rsidRDefault="00331B01" w:rsidP="006014CB">
            <w:pPr>
              <w:tabs>
                <w:tab w:val="decimal" w:pos="884"/>
              </w:tabs>
              <w:jc w:val="right"/>
              <w:rPr>
                <w:szCs w:val="24"/>
              </w:rPr>
            </w:pPr>
            <w:r>
              <w:rPr>
                <w:szCs w:val="24"/>
              </w:rPr>
              <w:t>-</w:t>
            </w:r>
          </w:p>
        </w:tc>
        <w:tc>
          <w:tcPr>
            <w:tcW w:w="1701" w:type="dxa"/>
            <w:vAlign w:val="center"/>
          </w:tcPr>
          <w:p w14:paraId="260376AD" w14:textId="2B30C78D" w:rsidR="006014CB" w:rsidRPr="00294859" w:rsidRDefault="00331B01" w:rsidP="006014CB">
            <w:pPr>
              <w:tabs>
                <w:tab w:val="decimal" w:pos="884"/>
              </w:tabs>
              <w:jc w:val="right"/>
              <w:rPr>
                <w:szCs w:val="24"/>
              </w:rPr>
            </w:pPr>
            <w:r>
              <w:rPr>
                <w:szCs w:val="24"/>
              </w:rPr>
              <w:t>(6,923)</w:t>
            </w:r>
          </w:p>
        </w:tc>
      </w:tr>
      <w:tr w:rsidR="006014CB" w:rsidRPr="00D948C1" w14:paraId="7761974B" w14:textId="77777777" w:rsidTr="00611673">
        <w:tc>
          <w:tcPr>
            <w:tcW w:w="3294" w:type="dxa"/>
          </w:tcPr>
          <w:p w14:paraId="4E48C1CE" w14:textId="77777777" w:rsidR="006014CB" w:rsidRPr="00D948C1" w:rsidRDefault="006014CB" w:rsidP="006014CB">
            <w:pPr>
              <w:rPr>
                <w:szCs w:val="24"/>
              </w:rPr>
            </w:pPr>
            <w:r w:rsidRPr="00D948C1">
              <w:rPr>
                <w:szCs w:val="24"/>
              </w:rPr>
              <w:t>Earmarked Reserves</w:t>
            </w:r>
          </w:p>
        </w:tc>
        <w:tc>
          <w:tcPr>
            <w:tcW w:w="1701" w:type="dxa"/>
            <w:vAlign w:val="center"/>
          </w:tcPr>
          <w:p w14:paraId="221AD4DC" w14:textId="3249C888" w:rsidR="006014CB" w:rsidRPr="00DF39E9" w:rsidRDefault="006014CB" w:rsidP="006014CB">
            <w:pPr>
              <w:tabs>
                <w:tab w:val="decimal" w:pos="884"/>
              </w:tabs>
              <w:jc w:val="right"/>
              <w:rPr>
                <w:szCs w:val="24"/>
              </w:rPr>
            </w:pPr>
            <w:r w:rsidRPr="00DF39E9">
              <w:rPr>
                <w:szCs w:val="24"/>
              </w:rPr>
              <w:t>(</w:t>
            </w:r>
            <w:r>
              <w:rPr>
                <w:szCs w:val="24"/>
              </w:rPr>
              <w:t>22</w:t>
            </w:r>
            <w:r w:rsidRPr="00DF39E9">
              <w:rPr>
                <w:szCs w:val="24"/>
              </w:rPr>
              <w:t>,</w:t>
            </w:r>
            <w:r>
              <w:rPr>
                <w:szCs w:val="24"/>
              </w:rPr>
              <w:t>878</w:t>
            </w:r>
            <w:r w:rsidRPr="00DF39E9">
              <w:rPr>
                <w:szCs w:val="24"/>
              </w:rPr>
              <w:t>)</w:t>
            </w:r>
          </w:p>
        </w:tc>
        <w:tc>
          <w:tcPr>
            <w:tcW w:w="1701" w:type="dxa"/>
            <w:vAlign w:val="center"/>
          </w:tcPr>
          <w:p w14:paraId="07C2DE87" w14:textId="0FD18CF6" w:rsidR="006014CB" w:rsidRPr="00DF39E9" w:rsidRDefault="006014CB" w:rsidP="006014CB">
            <w:pPr>
              <w:tabs>
                <w:tab w:val="decimal" w:pos="884"/>
              </w:tabs>
              <w:jc w:val="right"/>
              <w:rPr>
                <w:szCs w:val="24"/>
              </w:rPr>
            </w:pPr>
            <w:r w:rsidRPr="00294859">
              <w:rPr>
                <w:szCs w:val="24"/>
              </w:rPr>
              <w:t>(</w:t>
            </w:r>
            <w:r>
              <w:rPr>
                <w:szCs w:val="24"/>
              </w:rPr>
              <w:t>5</w:t>
            </w:r>
            <w:r w:rsidRPr="00294859">
              <w:rPr>
                <w:szCs w:val="24"/>
              </w:rPr>
              <w:t>,49</w:t>
            </w:r>
            <w:r w:rsidRPr="00456BDD">
              <w:rPr>
                <w:szCs w:val="24"/>
              </w:rPr>
              <w:t>4</w:t>
            </w:r>
            <w:r w:rsidRPr="00B87C7E">
              <w:rPr>
                <w:szCs w:val="24"/>
              </w:rPr>
              <w:t>)</w:t>
            </w:r>
          </w:p>
        </w:tc>
        <w:tc>
          <w:tcPr>
            <w:tcW w:w="1701" w:type="dxa"/>
            <w:vAlign w:val="center"/>
          </w:tcPr>
          <w:p w14:paraId="700F9278" w14:textId="6C06E56A" w:rsidR="006014CB" w:rsidRPr="00DF39E9" w:rsidRDefault="006014CB" w:rsidP="006014CB">
            <w:pPr>
              <w:tabs>
                <w:tab w:val="decimal" w:pos="884"/>
              </w:tabs>
              <w:jc w:val="right"/>
              <w:rPr>
                <w:szCs w:val="24"/>
              </w:rPr>
            </w:pPr>
            <w:r>
              <w:rPr>
                <w:szCs w:val="24"/>
              </w:rPr>
              <w:t>4,650</w:t>
            </w:r>
          </w:p>
        </w:tc>
        <w:tc>
          <w:tcPr>
            <w:tcW w:w="1701" w:type="dxa"/>
            <w:vAlign w:val="center"/>
          </w:tcPr>
          <w:p w14:paraId="77CEF38F" w14:textId="7E43262D" w:rsidR="006014CB" w:rsidRPr="00DF39E9" w:rsidRDefault="006014CB" w:rsidP="006014CB">
            <w:pPr>
              <w:tabs>
                <w:tab w:val="decimal" w:pos="884"/>
              </w:tabs>
              <w:jc w:val="right"/>
              <w:rPr>
                <w:szCs w:val="24"/>
              </w:rPr>
            </w:pPr>
            <w:r w:rsidRPr="00294859">
              <w:rPr>
                <w:szCs w:val="24"/>
              </w:rPr>
              <w:t>(</w:t>
            </w:r>
            <w:r>
              <w:rPr>
                <w:szCs w:val="24"/>
              </w:rPr>
              <w:t>23</w:t>
            </w:r>
            <w:r w:rsidRPr="00294859">
              <w:rPr>
                <w:szCs w:val="24"/>
              </w:rPr>
              <w:t>,</w:t>
            </w:r>
            <w:r>
              <w:rPr>
                <w:szCs w:val="24"/>
              </w:rPr>
              <w:t>721</w:t>
            </w:r>
            <w:r w:rsidRPr="00294859">
              <w:rPr>
                <w:szCs w:val="24"/>
              </w:rPr>
              <w:t>)</w:t>
            </w:r>
          </w:p>
        </w:tc>
        <w:tc>
          <w:tcPr>
            <w:tcW w:w="1701" w:type="dxa"/>
            <w:vAlign w:val="center"/>
          </w:tcPr>
          <w:p w14:paraId="5962B8D2" w14:textId="49C67A35" w:rsidR="006014CB" w:rsidRPr="00294859" w:rsidRDefault="00F84DA3" w:rsidP="006014CB">
            <w:pPr>
              <w:tabs>
                <w:tab w:val="decimal" w:pos="884"/>
              </w:tabs>
              <w:jc w:val="right"/>
              <w:rPr>
                <w:szCs w:val="24"/>
              </w:rPr>
            </w:pPr>
            <w:r>
              <w:rPr>
                <w:szCs w:val="24"/>
              </w:rPr>
              <w:t>(5,545)</w:t>
            </w:r>
          </w:p>
        </w:tc>
        <w:tc>
          <w:tcPr>
            <w:tcW w:w="1701" w:type="dxa"/>
            <w:vAlign w:val="center"/>
          </w:tcPr>
          <w:p w14:paraId="3B594481" w14:textId="42EB02E2" w:rsidR="006014CB" w:rsidRPr="00294859" w:rsidRDefault="00F84DA3" w:rsidP="006014CB">
            <w:pPr>
              <w:tabs>
                <w:tab w:val="decimal" w:pos="884"/>
              </w:tabs>
              <w:jc w:val="right"/>
              <w:rPr>
                <w:szCs w:val="24"/>
              </w:rPr>
            </w:pPr>
            <w:r>
              <w:rPr>
                <w:szCs w:val="24"/>
              </w:rPr>
              <w:t>6,406</w:t>
            </w:r>
          </w:p>
        </w:tc>
        <w:tc>
          <w:tcPr>
            <w:tcW w:w="1701" w:type="dxa"/>
            <w:vAlign w:val="center"/>
          </w:tcPr>
          <w:p w14:paraId="6AA5D823" w14:textId="1E0BC665" w:rsidR="006014CB" w:rsidRPr="00294859" w:rsidRDefault="00F84DA3" w:rsidP="006014CB">
            <w:pPr>
              <w:tabs>
                <w:tab w:val="decimal" w:pos="884"/>
              </w:tabs>
              <w:jc w:val="right"/>
              <w:rPr>
                <w:szCs w:val="24"/>
              </w:rPr>
            </w:pPr>
            <w:r>
              <w:rPr>
                <w:szCs w:val="24"/>
              </w:rPr>
              <w:t>(22,860)</w:t>
            </w:r>
          </w:p>
        </w:tc>
      </w:tr>
      <w:tr w:rsidR="006014CB" w:rsidRPr="00D948C1" w14:paraId="22BF20AF" w14:textId="77777777" w:rsidTr="00611673">
        <w:tc>
          <w:tcPr>
            <w:tcW w:w="3294" w:type="dxa"/>
          </w:tcPr>
          <w:p w14:paraId="75F61D9E" w14:textId="77777777" w:rsidR="006014CB" w:rsidRPr="00D948C1" w:rsidRDefault="006014CB" w:rsidP="006014CB">
            <w:pPr>
              <w:rPr>
                <w:szCs w:val="24"/>
              </w:rPr>
            </w:pPr>
            <w:r w:rsidRPr="00D948C1">
              <w:rPr>
                <w:szCs w:val="24"/>
              </w:rPr>
              <w:t>PFI Equalisation Reserves</w:t>
            </w:r>
          </w:p>
        </w:tc>
        <w:tc>
          <w:tcPr>
            <w:tcW w:w="1701" w:type="dxa"/>
            <w:vAlign w:val="center"/>
          </w:tcPr>
          <w:p w14:paraId="59E230B2" w14:textId="6E48FA8D" w:rsidR="006014CB" w:rsidRPr="00DF39E9" w:rsidRDefault="006014CB" w:rsidP="006014CB">
            <w:pPr>
              <w:tabs>
                <w:tab w:val="decimal" w:pos="884"/>
              </w:tabs>
              <w:jc w:val="right"/>
              <w:rPr>
                <w:szCs w:val="24"/>
              </w:rPr>
            </w:pPr>
            <w:r w:rsidRPr="00DF39E9">
              <w:rPr>
                <w:szCs w:val="24"/>
              </w:rPr>
              <w:t>(5,157)</w:t>
            </w:r>
          </w:p>
        </w:tc>
        <w:tc>
          <w:tcPr>
            <w:tcW w:w="1701" w:type="dxa"/>
            <w:vAlign w:val="center"/>
          </w:tcPr>
          <w:p w14:paraId="3997DFCF" w14:textId="04C8F40A" w:rsidR="006014CB" w:rsidRPr="00DF39E9" w:rsidRDefault="006014CB" w:rsidP="006014CB">
            <w:pPr>
              <w:tabs>
                <w:tab w:val="decimal" w:pos="884"/>
              </w:tabs>
              <w:jc w:val="right"/>
              <w:rPr>
                <w:szCs w:val="24"/>
              </w:rPr>
            </w:pPr>
            <w:r w:rsidRPr="00294859">
              <w:rPr>
                <w:szCs w:val="24"/>
              </w:rPr>
              <w:t>(255)</w:t>
            </w:r>
          </w:p>
        </w:tc>
        <w:tc>
          <w:tcPr>
            <w:tcW w:w="1701" w:type="dxa"/>
            <w:vAlign w:val="center"/>
          </w:tcPr>
          <w:p w14:paraId="32FCCDB5" w14:textId="341ED132" w:rsidR="006014CB" w:rsidRPr="00DF39E9" w:rsidRDefault="006014CB" w:rsidP="006014CB">
            <w:pPr>
              <w:tabs>
                <w:tab w:val="decimal" w:pos="884"/>
              </w:tabs>
              <w:jc w:val="right"/>
              <w:rPr>
                <w:szCs w:val="24"/>
              </w:rPr>
            </w:pPr>
            <w:r w:rsidRPr="00294859">
              <w:rPr>
                <w:szCs w:val="24"/>
              </w:rPr>
              <w:t>121</w:t>
            </w:r>
          </w:p>
        </w:tc>
        <w:tc>
          <w:tcPr>
            <w:tcW w:w="1701" w:type="dxa"/>
            <w:vAlign w:val="center"/>
          </w:tcPr>
          <w:p w14:paraId="03F11FDD" w14:textId="11384207" w:rsidR="006014CB" w:rsidRPr="00DF39E9" w:rsidRDefault="006014CB" w:rsidP="006014CB">
            <w:pPr>
              <w:tabs>
                <w:tab w:val="decimal" w:pos="884"/>
              </w:tabs>
              <w:jc w:val="right"/>
              <w:rPr>
                <w:szCs w:val="24"/>
              </w:rPr>
            </w:pPr>
            <w:r w:rsidRPr="00294859">
              <w:rPr>
                <w:szCs w:val="24"/>
              </w:rPr>
              <w:t>(5,291)</w:t>
            </w:r>
          </w:p>
        </w:tc>
        <w:tc>
          <w:tcPr>
            <w:tcW w:w="1701" w:type="dxa"/>
            <w:vAlign w:val="center"/>
          </w:tcPr>
          <w:p w14:paraId="546016B5" w14:textId="2463561D" w:rsidR="006014CB" w:rsidRPr="00294859" w:rsidRDefault="00F84DA3" w:rsidP="006014CB">
            <w:pPr>
              <w:tabs>
                <w:tab w:val="decimal" w:pos="884"/>
              </w:tabs>
              <w:jc w:val="right"/>
              <w:rPr>
                <w:szCs w:val="24"/>
              </w:rPr>
            </w:pPr>
            <w:r>
              <w:rPr>
                <w:szCs w:val="24"/>
              </w:rPr>
              <w:t>(199)</w:t>
            </w:r>
          </w:p>
        </w:tc>
        <w:tc>
          <w:tcPr>
            <w:tcW w:w="1701" w:type="dxa"/>
            <w:vAlign w:val="center"/>
          </w:tcPr>
          <w:p w14:paraId="05540B27" w14:textId="11EB5B66" w:rsidR="006014CB" w:rsidRPr="00294859" w:rsidRDefault="00F84DA3" w:rsidP="006014CB">
            <w:pPr>
              <w:tabs>
                <w:tab w:val="decimal" w:pos="884"/>
              </w:tabs>
              <w:jc w:val="right"/>
              <w:rPr>
                <w:szCs w:val="24"/>
              </w:rPr>
            </w:pPr>
            <w:r>
              <w:rPr>
                <w:szCs w:val="24"/>
              </w:rPr>
              <w:t>-</w:t>
            </w:r>
          </w:p>
        </w:tc>
        <w:tc>
          <w:tcPr>
            <w:tcW w:w="1701" w:type="dxa"/>
            <w:vAlign w:val="center"/>
          </w:tcPr>
          <w:p w14:paraId="043C9224" w14:textId="70CEA2A0" w:rsidR="006014CB" w:rsidRPr="00294859" w:rsidRDefault="00F84DA3" w:rsidP="006014CB">
            <w:pPr>
              <w:tabs>
                <w:tab w:val="decimal" w:pos="884"/>
              </w:tabs>
              <w:jc w:val="right"/>
              <w:rPr>
                <w:szCs w:val="24"/>
              </w:rPr>
            </w:pPr>
            <w:r>
              <w:rPr>
                <w:szCs w:val="24"/>
              </w:rPr>
              <w:t>(5,490)</w:t>
            </w:r>
          </w:p>
        </w:tc>
      </w:tr>
      <w:tr w:rsidR="006014CB" w:rsidRPr="00D948C1" w14:paraId="42FD74F7" w14:textId="77777777" w:rsidTr="00611673">
        <w:tc>
          <w:tcPr>
            <w:tcW w:w="3294" w:type="dxa"/>
          </w:tcPr>
          <w:p w14:paraId="1955967E" w14:textId="77777777" w:rsidR="006014CB" w:rsidRPr="00D948C1" w:rsidRDefault="006014CB" w:rsidP="006014CB">
            <w:pPr>
              <w:rPr>
                <w:szCs w:val="24"/>
              </w:rPr>
            </w:pPr>
            <w:r w:rsidRPr="00D948C1">
              <w:rPr>
                <w:szCs w:val="24"/>
              </w:rPr>
              <w:t>Total Earmarked Reserves</w:t>
            </w:r>
          </w:p>
        </w:tc>
        <w:tc>
          <w:tcPr>
            <w:tcW w:w="1701" w:type="dxa"/>
            <w:vAlign w:val="center"/>
          </w:tcPr>
          <w:p w14:paraId="277E034E" w14:textId="452E9687" w:rsidR="006014CB" w:rsidRPr="00DF39E9" w:rsidRDefault="006014CB" w:rsidP="006014CB">
            <w:pPr>
              <w:tabs>
                <w:tab w:val="decimal" w:pos="884"/>
              </w:tabs>
              <w:jc w:val="right"/>
              <w:rPr>
                <w:szCs w:val="24"/>
              </w:rPr>
            </w:pPr>
            <w:r w:rsidRPr="00DF39E9">
              <w:rPr>
                <w:szCs w:val="24"/>
              </w:rPr>
              <w:t>(</w:t>
            </w:r>
            <w:r>
              <w:rPr>
                <w:szCs w:val="24"/>
              </w:rPr>
              <w:t>2</w:t>
            </w:r>
            <w:r w:rsidRPr="00DF39E9">
              <w:rPr>
                <w:szCs w:val="24"/>
              </w:rPr>
              <w:t>8,</w:t>
            </w:r>
            <w:r>
              <w:rPr>
                <w:szCs w:val="24"/>
              </w:rPr>
              <w:t>034</w:t>
            </w:r>
            <w:r w:rsidRPr="00DF39E9">
              <w:rPr>
                <w:szCs w:val="24"/>
              </w:rPr>
              <w:t>)</w:t>
            </w:r>
          </w:p>
        </w:tc>
        <w:tc>
          <w:tcPr>
            <w:tcW w:w="1701" w:type="dxa"/>
            <w:vAlign w:val="center"/>
          </w:tcPr>
          <w:p w14:paraId="5E36B1CE" w14:textId="7F90D8DD" w:rsidR="006014CB" w:rsidRPr="00DF39E9" w:rsidRDefault="006014CB" w:rsidP="006014CB">
            <w:pPr>
              <w:tabs>
                <w:tab w:val="decimal" w:pos="884"/>
              </w:tabs>
              <w:jc w:val="right"/>
              <w:rPr>
                <w:szCs w:val="24"/>
              </w:rPr>
            </w:pPr>
            <w:r w:rsidRPr="00294859">
              <w:rPr>
                <w:szCs w:val="24"/>
              </w:rPr>
              <w:t>(</w:t>
            </w:r>
            <w:r>
              <w:rPr>
                <w:szCs w:val="24"/>
              </w:rPr>
              <w:t>5</w:t>
            </w:r>
            <w:r w:rsidRPr="00294859">
              <w:rPr>
                <w:szCs w:val="24"/>
              </w:rPr>
              <w:t>,749)</w:t>
            </w:r>
          </w:p>
        </w:tc>
        <w:tc>
          <w:tcPr>
            <w:tcW w:w="1701" w:type="dxa"/>
            <w:vAlign w:val="center"/>
          </w:tcPr>
          <w:p w14:paraId="5FBFF1FA" w14:textId="14E1DB70" w:rsidR="006014CB" w:rsidRPr="00DF39E9" w:rsidRDefault="006014CB" w:rsidP="006014CB">
            <w:pPr>
              <w:tabs>
                <w:tab w:val="decimal" w:pos="884"/>
              </w:tabs>
              <w:jc w:val="right"/>
              <w:rPr>
                <w:szCs w:val="24"/>
              </w:rPr>
            </w:pPr>
            <w:r>
              <w:rPr>
                <w:szCs w:val="24"/>
              </w:rPr>
              <w:t>4,772</w:t>
            </w:r>
          </w:p>
        </w:tc>
        <w:tc>
          <w:tcPr>
            <w:tcW w:w="1701" w:type="dxa"/>
            <w:vAlign w:val="center"/>
          </w:tcPr>
          <w:p w14:paraId="261C6C00" w14:textId="5E299C72" w:rsidR="006014CB" w:rsidRPr="00DF39E9" w:rsidRDefault="006014CB" w:rsidP="006014CB">
            <w:pPr>
              <w:tabs>
                <w:tab w:val="decimal" w:pos="884"/>
              </w:tabs>
              <w:jc w:val="right"/>
              <w:rPr>
                <w:szCs w:val="24"/>
              </w:rPr>
            </w:pPr>
            <w:r w:rsidRPr="00294859">
              <w:rPr>
                <w:szCs w:val="24"/>
              </w:rPr>
              <w:t>(</w:t>
            </w:r>
            <w:r>
              <w:rPr>
                <w:szCs w:val="24"/>
              </w:rPr>
              <w:t>29</w:t>
            </w:r>
            <w:r w:rsidRPr="00294859">
              <w:rPr>
                <w:szCs w:val="24"/>
              </w:rPr>
              <w:t>,</w:t>
            </w:r>
            <w:r>
              <w:rPr>
                <w:szCs w:val="24"/>
              </w:rPr>
              <w:t>012</w:t>
            </w:r>
            <w:r w:rsidRPr="00294859">
              <w:rPr>
                <w:szCs w:val="24"/>
              </w:rPr>
              <w:t>)</w:t>
            </w:r>
          </w:p>
        </w:tc>
        <w:tc>
          <w:tcPr>
            <w:tcW w:w="1701" w:type="dxa"/>
            <w:vAlign w:val="center"/>
          </w:tcPr>
          <w:p w14:paraId="2B67F9D1" w14:textId="51D9F3E9" w:rsidR="006014CB" w:rsidRPr="00294859" w:rsidRDefault="00A12F6D" w:rsidP="006014CB">
            <w:pPr>
              <w:tabs>
                <w:tab w:val="decimal" w:pos="884"/>
              </w:tabs>
              <w:jc w:val="right"/>
              <w:rPr>
                <w:szCs w:val="24"/>
              </w:rPr>
            </w:pPr>
            <w:r>
              <w:rPr>
                <w:szCs w:val="24"/>
              </w:rPr>
              <w:t>(5,744)</w:t>
            </w:r>
          </w:p>
        </w:tc>
        <w:tc>
          <w:tcPr>
            <w:tcW w:w="1701" w:type="dxa"/>
            <w:vAlign w:val="center"/>
          </w:tcPr>
          <w:p w14:paraId="4EE79B25" w14:textId="6C0DDD33" w:rsidR="006014CB" w:rsidRPr="00294859" w:rsidRDefault="00A12F6D" w:rsidP="006014CB">
            <w:pPr>
              <w:tabs>
                <w:tab w:val="decimal" w:pos="884"/>
              </w:tabs>
              <w:jc w:val="right"/>
              <w:rPr>
                <w:szCs w:val="24"/>
              </w:rPr>
            </w:pPr>
            <w:r>
              <w:rPr>
                <w:szCs w:val="24"/>
              </w:rPr>
              <w:t>6,406</w:t>
            </w:r>
          </w:p>
        </w:tc>
        <w:tc>
          <w:tcPr>
            <w:tcW w:w="1701" w:type="dxa"/>
            <w:vAlign w:val="center"/>
          </w:tcPr>
          <w:p w14:paraId="2637BA94" w14:textId="69D6A2D2" w:rsidR="006014CB" w:rsidRPr="00294859" w:rsidRDefault="00A12F6D" w:rsidP="006014CB">
            <w:pPr>
              <w:tabs>
                <w:tab w:val="decimal" w:pos="884"/>
              </w:tabs>
              <w:jc w:val="right"/>
              <w:rPr>
                <w:szCs w:val="24"/>
              </w:rPr>
            </w:pPr>
            <w:r w:rsidRPr="00A12F6D">
              <w:rPr>
                <w:szCs w:val="24"/>
              </w:rPr>
              <w:t>(28,350)</w:t>
            </w:r>
          </w:p>
        </w:tc>
      </w:tr>
      <w:tr w:rsidR="006014CB" w:rsidRPr="00D948C1" w14:paraId="405F2482" w14:textId="77777777" w:rsidTr="00611673">
        <w:tc>
          <w:tcPr>
            <w:tcW w:w="3294" w:type="dxa"/>
          </w:tcPr>
          <w:p w14:paraId="1EA3789A" w14:textId="77777777" w:rsidR="006014CB" w:rsidRPr="00D948C1" w:rsidRDefault="006014CB" w:rsidP="006014CB">
            <w:pPr>
              <w:rPr>
                <w:szCs w:val="24"/>
              </w:rPr>
            </w:pPr>
            <w:r w:rsidRPr="00D948C1">
              <w:rPr>
                <w:szCs w:val="24"/>
              </w:rPr>
              <w:t>Capital grants unapplied</w:t>
            </w:r>
          </w:p>
        </w:tc>
        <w:tc>
          <w:tcPr>
            <w:tcW w:w="1701" w:type="dxa"/>
            <w:vAlign w:val="center"/>
          </w:tcPr>
          <w:p w14:paraId="109C959C" w14:textId="73AF029B" w:rsidR="006014CB" w:rsidRPr="00DF39E9" w:rsidRDefault="006014CB" w:rsidP="006014CB">
            <w:pPr>
              <w:tabs>
                <w:tab w:val="decimal" w:pos="884"/>
              </w:tabs>
              <w:jc w:val="right"/>
              <w:rPr>
                <w:szCs w:val="24"/>
              </w:rPr>
            </w:pPr>
            <w:r w:rsidRPr="00DF39E9">
              <w:rPr>
                <w:szCs w:val="24"/>
              </w:rPr>
              <w:t>-</w:t>
            </w:r>
          </w:p>
        </w:tc>
        <w:tc>
          <w:tcPr>
            <w:tcW w:w="1701" w:type="dxa"/>
            <w:vAlign w:val="center"/>
          </w:tcPr>
          <w:p w14:paraId="2525AFAB" w14:textId="5EC81756" w:rsidR="006014CB" w:rsidRPr="00DF39E9" w:rsidRDefault="006014CB" w:rsidP="006014CB">
            <w:pPr>
              <w:tabs>
                <w:tab w:val="decimal" w:pos="884"/>
              </w:tabs>
              <w:jc w:val="right"/>
              <w:rPr>
                <w:szCs w:val="24"/>
              </w:rPr>
            </w:pPr>
            <w:r w:rsidRPr="00294859">
              <w:rPr>
                <w:szCs w:val="24"/>
              </w:rPr>
              <w:t>-</w:t>
            </w:r>
          </w:p>
        </w:tc>
        <w:tc>
          <w:tcPr>
            <w:tcW w:w="1701" w:type="dxa"/>
            <w:vAlign w:val="center"/>
          </w:tcPr>
          <w:p w14:paraId="3B0DB4FF" w14:textId="1386C40D" w:rsidR="006014CB" w:rsidRPr="00DF39E9" w:rsidRDefault="006014CB" w:rsidP="006014CB">
            <w:pPr>
              <w:tabs>
                <w:tab w:val="decimal" w:pos="884"/>
              </w:tabs>
              <w:jc w:val="right"/>
              <w:rPr>
                <w:szCs w:val="24"/>
              </w:rPr>
            </w:pPr>
            <w:r w:rsidRPr="00294859">
              <w:rPr>
                <w:szCs w:val="24"/>
              </w:rPr>
              <w:t>-</w:t>
            </w:r>
          </w:p>
        </w:tc>
        <w:tc>
          <w:tcPr>
            <w:tcW w:w="1701" w:type="dxa"/>
            <w:vAlign w:val="center"/>
          </w:tcPr>
          <w:p w14:paraId="5A308CCA" w14:textId="2F405DA7" w:rsidR="006014CB" w:rsidRPr="00DF39E9" w:rsidRDefault="006014CB" w:rsidP="006014CB">
            <w:pPr>
              <w:tabs>
                <w:tab w:val="decimal" w:pos="884"/>
              </w:tabs>
              <w:jc w:val="right"/>
              <w:rPr>
                <w:szCs w:val="24"/>
              </w:rPr>
            </w:pPr>
            <w:r w:rsidRPr="00294859">
              <w:rPr>
                <w:szCs w:val="24"/>
              </w:rPr>
              <w:t>-</w:t>
            </w:r>
          </w:p>
        </w:tc>
        <w:tc>
          <w:tcPr>
            <w:tcW w:w="1701" w:type="dxa"/>
            <w:vAlign w:val="center"/>
          </w:tcPr>
          <w:p w14:paraId="13961620" w14:textId="6A313E42" w:rsidR="006014CB" w:rsidRPr="00294859" w:rsidRDefault="00A12F6D" w:rsidP="006014CB">
            <w:pPr>
              <w:tabs>
                <w:tab w:val="decimal" w:pos="884"/>
              </w:tabs>
              <w:jc w:val="right"/>
              <w:rPr>
                <w:szCs w:val="24"/>
              </w:rPr>
            </w:pPr>
            <w:r>
              <w:rPr>
                <w:szCs w:val="24"/>
              </w:rPr>
              <w:t>-</w:t>
            </w:r>
          </w:p>
        </w:tc>
        <w:tc>
          <w:tcPr>
            <w:tcW w:w="1701" w:type="dxa"/>
            <w:vAlign w:val="center"/>
          </w:tcPr>
          <w:p w14:paraId="7FDB7CF3" w14:textId="7E2E605C" w:rsidR="006014CB" w:rsidRPr="00294859" w:rsidRDefault="00A12F6D" w:rsidP="006014CB">
            <w:pPr>
              <w:tabs>
                <w:tab w:val="decimal" w:pos="884"/>
              </w:tabs>
              <w:jc w:val="right"/>
              <w:rPr>
                <w:szCs w:val="24"/>
              </w:rPr>
            </w:pPr>
            <w:r>
              <w:rPr>
                <w:szCs w:val="24"/>
              </w:rPr>
              <w:t>-</w:t>
            </w:r>
          </w:p>
        </w:tc>
        <w:tc>
          <w:tcPr>
            <w:tcW w:w="1701" w:type="dxa"/>
            <w:vAlign w:val="center"/>
          </w:tcPr>
          <w:p w14:paraId="22556061" w14:textId="5433A953" w:rsidR="006014CB" w:rsidRPr="00294859" w:rsidRDefault="00A12F6D" w:rsidP="006014CB">
            <w:pPr>
              <w:tabs>
                <w:tab w:val="decimal" w:pos="884"/>
              </w:tabs>
              <w:jc w:val="right"/>
              <w:rPr>
                <w:szCs w:val="24"/>
              </w:rPr>
            </w:pPr>
            <w:r>
              <w:rPr>
                <w:szCs w:val="24"/>
              </w:rPr>
              <w:t>-</w:t>
            </w:r>
          </w:p>
        </w:tc>
      </w:tr>
      <w:tr w:rsidR="006014CB" w:rsidRPr="00D948C1" w14:paraId="5F0C74C2" w14:textId="77777777" w:rsidTr="00611673">
        <w:tc>
          <w:tcPr>
            <w:tcW w:w="3294" w:type="dxa"/>
          </w:tcPr>
          <w:p w14:paraId="1D085CB4" w14:textId="77777777" w:rsidR="006014CB" w:rsidRPr="00D948C1" w:rsidRDefault="006014CB" w:rsidP="006014CB">
            <w:pPr>
              <w:rPr>
                <w:szCs w:val="24"/>
              </w:rPr>
            </w:pPr>
            <w:r w:rsidRPr="00D948C1">
              <w:rPr>
                <w:szCs w:val="24"/>
              </w:rPr>
              <w:t>Usable capital receipts</w:t>
            </w:r>
          </w:p>
        </w:tc>
        <w:tc>
          <w:tcPr>
            <w:tcW w:w="1701" w:type="dxa"/>
            <w:vAlign w:val="center"/>
          </w:tcPr>
          <w:p w14:paraId="7C4D5842" w14:textId="164C694F" w:rsidR="006014CB" w:rsidRPr="00DF39E9" w:rsidRDefault="006014CB" w:rsidP="006014CB">
            <w:pPr>
              <w:tabs>
                <w:tab w:val="decimal" w:pos="884"/>
              </w:tabs>
              <w:jc w:val="right"/>
              <w:rPr>
                <w:szCs w:val="24"/>
              </w:rPr>
            </w:pPr>
            <w:r w:rsidRPr="00DF39E9">
              <w:rPr>
                <w:szCs w:val="24"/>
              </w:rPr>
              <w:t>(71)</w:t>
            </w:r>
          </w:p>
        </w:tc>
        <w:tc>
          <w:tcPr>
            <w:tcW w:w="1701" w:type="dxa"/>
            <w:vAlign w:val="center"/>
          </w:tcPr>
          <w:p w14:paraId="336D1CC5" w14:textId="5C786670" w:rsidR="006014CB" w:rsidRPr="00DF39E9" w:rsidRDefault="006014CB" w:rsidP="006014CB">
            <w:pPr>
              <w:tabs>
                <w:tab w:val="decimal" w:pos="884"/>
              </w:tabs>
              <w:jc w:val="right"/>
              <w:rPr>
                <w:szCs w:val="24"/>
              </w:rPr>
            </w:pPr>
            <w:r w:rsidRPr="00294859">
              <w:rPr>
                <w:szCs w:val="24"/>
              </w:rPr>
              <w:t>(123)</w:t>
            </w:r>
          </w:p>
        </w:tc>
        <w:tc>
          <w:tcPr>
            <w:tcW w:w="1701" w:type="dxa"/>
            <w:vAlign w:val="center"/>
          </w:tcPr>
          <w:p w14:paraId="12BEAB50" w14:textId="74340C4A" w:rsidR="006014CB" w:rsidRPr="00DF39E9" w:rsidRDefault="006014CB" w:rsidP="006014CB">
            <w:pPr>
              <w:tabs>
                <w:tab w:val="decimal" w:pos="884"/>
              </w:tabs>
              <w:jc w:val="right"/>
              <w:rPr>
                <w:szCs w:val="24"/>
              </w:rPr>
            </w:pPr>
            <w:r w:rsidRPr="00294859">
              <w:rPr>
                <w:szCs w:val="24"/>
              </w:rPr>
              <w:t>-</w:t>
            </w:r>
          </w:p>
        </w:tc>
        <w:tc>
          <w:tcPr>
            <w:tcW w:w="1701" w:type="dxa"/>
            <w:vAlign w:val="center"/>
          </w:tcPr>
          <w:p w14:paraId="31A7CAB7" w14:textId="2030EFFE" w:rsidR="006014CB" w:rsidRPr="00DF39E9" w:rsidRDefault="006014CB" w:rsidP="006014CB">
            <w:pPr>
              <w:tabs>
                <w:tab w:val="decimal" w:pos="884"/>
              </w:tabs>
              <w:jc w:val="right"/>
              <w:rPr>
                <w:szCs w:val="24"/>
              </w:rPr>
            </w:pPr>
            <w:r w:rsidRPr="00294859">
              <w:rPr>
                <w:szCs w:val="24"/>
              </w:rPr>
              <w:t>(194)</w:t>
            </w:r>
          </w:p>
        </w:tc>
        <w:tc>
          <w:tcPr>
            <w:tcW w:w="1701" w:type="dxa"/>
            <w:vAlign w:val="center"/>
          </w:tcPr>
          <w:p w14:paraId="0D189C56" w14:textId="148A1D0D" w:rsidR="006014CB" w:rsidRPr="00294859" w:rsidRDefault="00A12F6D" w:rsidP="006014CB">
            <w:pPr>
              <w:tabs>
                <w:tab w:val="decimal" w:pos="884"/>
              </w:tabs>
              <w:jc w:val="right"/>
              <w:rPr>
                <w:szCs w:val="24"/>
              </w:rPr>
            </w:pPr>
            <w:r>
              <w:rPr>
                <w:szCs w:val="24"/>
              </w:rPr>
              <w:t>(78)</w:t>
            </w:r>
          </w:p>
        </w:tc>
        <w:tc>
          <w:tcPr>
            <w:tcW w:w="1701" w:type="dxa"/>
            <w:vAlign w:val="center"/>
          </w:tcPr>
          <w:p w14:paraId="04323828" w14:textId="118949E0" w:rsidR="006014CB" w:rsidRPr="00294859" w:rsidRDefault="00A12F6D" w:rsidP="006014CB">
            <w:pPr>
              <w:tabs>
                <w:tab w:val="decimal" w:pos="884"/>
              </w:tabs>
              <w:jc w:val="right"/>
              <w:rPr>
                <w:szCs w:val="24"/>
              </w:rPr>
            </w:pPr>
            <w:r>
              <w:rPr>
                <w:szCs w:val="24"/>
              </w:rPr>
              <w:t>-</w:t>
            </w:r>
          </w:p>
        </w:tc>
        <w:tc>
          <w:tcPr>
            <w:tcW w:w="1701" w:type="dxa"/>
            <w:vAlign w:val="center"/>
          </w:tcPr>
          <w:p w14:paraId="15A110C1" w14:textId="15214664" w:rsidR="006014CB" w:rsidRPr="00294859" w:rsidRDefault="00A12F6D" w:rsidP="006014CB">
            <w:pPr>
              <w:tabs>
                <w:tab w:val="decimal" w:pos="884"/>
              </w:tabs>
              <w:jc w:val="right"/>
              <w:rPr>
                <w:szCs w:val="24"/>
              </w:rPr>
            </w:pPr>
            <w:r>
              <w:rPr>
                <w:szCs w:val="24"/>
              </w:rPr>
              <w:t>(</w:t>
            </w:r>
            <w:r w:rsidR="00DB6E16">
              <w:rPr>
                <w:szCs w:val="24"/>
              </w:rPr>
              <w:t>272)</w:t>
            </w:r>
          </w:p>
        </w:tc>
      </w:tr>
      <w:tr w:rsidR="006014CB" w:rsidRPr="00D948C1" w14:paraId="36ECB758" w14:textId="77777777" w:rsidTr="00611673">
        <w:tc>
          <w:tcPr>
            <w:tcW w:w="3294" w:type="dxa"/>
          </w:tcPr>
          <w:p w14:paraId="0047BC0B" w14:textId="77777777" w:rsidR="006014CB" w:rsidRPr="00D948C1" w:rsidRDefault="006014CB" w:rsidP="006014CB">
            <w:pPr>
              <w:rPr>
                <w:szCs w:val="24"/>
              </w:rPr>
            </w:pPr>
            <w:r w:rsidRPr="00D948C1">
              <w:rPr>
                <w:szCs w:val="24"/>
              </w:rPr>
              <w:t>Total Usable Reserves</w:t>
            </w:r>
          </w:p>
        </w:tc>
        <w:tc>
          <w:tcPr>
            <w:tcW w:w="1701" w:type="dxa"/>
            <w:vAlign w:val="center"/>
          </w:tcPr>
          <w:p w14:paraId="0430D30C" w14:textId="3D45B71B" w:rsidR="006014CB" w:rsidRPr="00DF39E9" w:rsidRDefault="006014CB" w:rsidP="006014CB">
            <w:pPr>
              <w:tabs>
                <w:tab w:val="decimal" w:pos="884"/>
              </w:tabs>
              <w:jc w:val="right"/>
              <w:rPr>
                <w:szCs w:val="24"/>
              </w:rPr>
            </w:pPr>
            <w:r w:rsidRPr="00DF39E9">
              <w:rPr>
                <w:szCs w:val="24"/>
              </w:rPr>
              <w:t>(33,768)</w:t>
            </w:r>
          </w:p>
        </w:tc>
        <w:tc>
          <w:tcPr>
            <w:tcW w:w="1701" w:type="dxa"/>
            <w:vAlign w:val="center"/>
          </w:tcPr>
          <w:p w14:paraId="57FD81B5" w14:textId="0B951AB8" w:rsidR="006014CB" w:rsidRPr="00DF39E9" w:rsidRDefault="006014CB" w:rsidP="006014CB">
            <w:pPr>
              <w:tabs>
                <w:tab w:val="decimal" w:pos="884"/>
              </w:tabs>
              <w:jc w:val="right"/>
              <w:rPr>
                <w:szCs w:val="24"/>
              </w:rPr>
            </w:pPr>
            <w:r w:rsidRPr="00294859">
              <w:rPr>
                <w:szCs w:val="24"/>
              </w:rPr>
              <w:t>(6,775)</w:t>
            </w:r>
          </w:p>
        </w:tc>
        <w:tc>
          <w:tcPr>
            <w:tcW w:w="1701" w:type="dxa"/>
            <w:vAlign w:val="center"/>
          </w:tcPr>
          <w:p w14:paraId="67E8B43B" w14:textId="04621EFA" w:rsidR="006014CB" w:rsidRPr="00DF39E9" w:rsidRDefault="006014CB" w:rsidP="006014CB">
            <w:pPr>
              <w:tabs>
                <w:tab w:val="decimal" w:pos="884"/>
              </w:tabs>
              <w:jc w:val="right"/>
              <w:rPr>
                <w:szCs w:val="24"/>
              </w:rPr>
            </w:pPr>
            <w:r w:rsidRPr="00294859">
              <w:rPr>
                <w:szCs w:val="24"/>
              </w:rPr>
              <w:t>4,772</w:t>
            </w:r>
          </w:p>
        </w:tc>
        <w:tc>
          <w:tcPr>
            <w:tcW w:w="1701" w:type="dxa"/>
            <w:vAlign w:val="center"/>
          </w:tcPr>
          <w:p w14:paraId="59FD22E9" w14:textId="2F27E307" w:rsidR="006014CB" w:rsidRPr="00DF39E9" w:rsidRDefault="006014CB" w:rsidP="006014CB">
            <w:pPr>
              <w:tabs>
                <w:tab w:val="decimal" w:pos="884"/>
              </w:tabs>
              <w:jc w:val="right"/>
              <w:rPr>
                <w:szCs w:val="24"/>
              </w:rPr>
            </w:pPr>
            <w:r w:rsidRPr="00294859">
              <w:rPr>
                <w:szCs w:val="24"/>
              </w:rPr>
              <w:t>(35,770)</w:t>
            </w:r>
          </w:p>
        </w:tc>
        <w:tc>
          <w:tcPr>
            <w:tcW w:w="1701" w:type="dxa"/>
            <w:vAlign w:val="center"/>
          </w:tcPr>
          <w:p w14:paraId="5F311FAE" w14:textId="0C4F8FF1" w:rsidR="006014CB" w:rsidRPr="00294859" w:rsidRDefault="00DB6E16" w:rsidP="006014CB">
            <w:pPr>
              <w:tabs>
                <w:tab w:val="decimal" w:pos="884"/>
              </w:tabs>
              <w:jc w:val="right"/>
              <w:rPr>
                <w:szCs w:val="24"/>
              </w:rPr>
            </w:pPr>
            <w:r>
              <w:rPr>
                <w:szCs w:val="24"/>
              </w:rPr>
              <w:t>(6,181)</w:t>
            </w:r>
          </w:p>
        </w:tc>
        <w:tc>
          <w:tcPr>
            <w:tcW w:w="1701" w:type="dxa"/>
            <w:vAlign w:val="center"/>
          </w:tcPr>
          <w:p w14:paraId="7A994AA5" w14:textId="1560EF9E" w:rsidR="006014CB" w:rsidRPr="00294859" w:rsidRDefault="002C2554" w:rsidP="006014CB">
            <w:pPr>
              <w:tabs>
                <w:tab w:val="decimal" w:pos="884"/>
              </w:tabs>
              <w:jc w:val="right"/>
              <w:rPr>
                <w:szCs w:val="24"/>
              </w:rPr>
            </w:pPr>
            <w:r>
              <w:rPr>
                <w:szCs w:val="24"/>
              </w:rPr>
              <w:t>6,406</w:t>
            </w:r>
          </w:p>
        </w:tc>
        <w:tc>
          <w:tcPr>
            <w:tcW w:w="1701" w:type="dxa"/>
            <w:vAlign w:val="center"/>
          </w:tcPr>
          <w:p w14:paraId="65D1A67B" w14:textId="6C02CB7D" w:rsidR="006014CB" w:rsidRPr="00294859" w:rsidRDefault="002C2554" w:rsidP="006014CB">
            <w:pPr>
              <w:tabs>
                <w:tab w:val="decimal" w:pos="884"/>
              </w:tabs>
              <w:jc w:val="right"/>
              <w:rPr>
                <w:szCs w:val="24"/>
              </w:rPr>
            </w:pPr>
            <w:r>
              <w:rPr>
                <w:szCs w:val="24"/>
              </w:rPr>
              <w:t>(35,545)</w:t>
            </w:r>
          </w:p>
        </w:tc>
      </w:tr>
    </w:tbl>
    <w:p w14:paraId="5B54E759" w14:textId="77777777" w:rsidR="002F0329" w:rsidRDefault="002F0329" w:rsidP="002F0329">
      <w:pPr>
        <w:ind w:left="720"/>
        <w:rPr>
          <w:szCs w:val="24"/>
        </w:rPr>
      </w:pPr>
      <w:r>
        <w:rPr>
          <w:szCs w:val="24"/>
        </w:rPr>
        <w:t>*</w:t>
      </w:r>
      <w:proofErr w:type="gramStart"/>
      <w:r>
        <w:rPr>
          <w:szCs w:val="24"/>
        </w:rPr>
        <w:t>see</w:t>
      </w:r>
      <w:proofErr w:type="gramEnd"/>
      <w:r>
        <w:rPr>
          <w:szCs w:val="24"/>
        </w:rPr>
        <w:t xml:space="preserve"> </w:t>
      </w:r>
      <w:hyperlink w:anchor="_31_Prior_Period" w:history="1">
        <w:r w:rsidRPr="008A52B6">
          <w:rPr>
            <w:rStyle w:val="Hyperlink"/>
            <w:szCs w:val="24"/>
          </w:rPr>
          <w:t>Note 31</w:t>
        </w:r>
      </w:hyperlink>
      <w:r>
        <w:t>, Prior Year Adjustments</w:t>
      </w:r>
      <w:r>
        <w:rPr>
          <w:szCs w:val="24"/>
        </w:rPr>
        <w:t xml:space="preserve"> for restatement details.</w:t>
      </w:r>
    </w:p>
    <w:p w14:paraId="49E6BC6D" w14:textId="77777777" w:rsidR="002F0329" w:rsidRPr="00D948C1" w:rsidRDefault="002F0329" w:rsidP="002F0329">
      <w:pPr>
        <w:ind w:left="1429" w:hanging="709"/>
        <w:rPr>
          <w:b/>
          <w:szCs w:val="24"/>
        </w:rPr>
        <w:sectPr w:rsidR="002F0329" w:rsidRPr="00D948C1" w:rsidSect="000C442C">
          <w:pgSz w:w="16840" w:h="11907" w:orient="landscape" w:code="9"/>
          <w:pgMar w:top="567" w:right="454" w:bottom="567" w:left="397" w:header="720" w:footer="720" w:gutter="0"/>
          <w:cols w:space="720"/>
          <w:docGrid w:linePitch="326"/>
        </w:sectPr>
      </w:pPr>
    </w:p>
    <w:p w14:paraId="392AD632" w14:textId="13DE8C65" w:rsidR="00D90216" w:rsidRPr="00D948C1" w:rsidRDefault="001C592E" w:rsidP="006563F1">
      <w:pPr>
        <w:pStyle w:val="Heading2"/>
        <w:jc w:val="left"/>
        <w:rPr>
          <w:sz w:val="24"/>
          <w:szCs w:val="24"/>
        </w:rPr>
      </w:pPr>
      <w:bookmarkStart w:id="61" w:name="_19_Unusable_Reserves"/>
      <w:bookmarkStart w:id="62" w:name="_Toc233717538"/>
      <w:bookmarkEnd w:id="61"/>
      <w:r w:rsidRPr="00D948C1">
        <w:rPr>
          <w:sz w:val="24"/>
          <w:szCs w:val="24"/>
        </w:rPr>
        <w:lastRenderedPageBreak/>
        <w:t>1</w:t>
      </w:r>
      <w:r w:rsidR="00B62A26">
        <w:rPr>
          <w:sz w:val="24"/>
          <w:szCs w:val="24"/>
        </w:rPr>
        <w:t>9</w:t>
      </w:r>
      <w:r w:rsidR="00D90216" w:rsidRPr="00D948C1">
        <w:rPr>
          <w:sz w:val="24"/>
          <w:szCs w:val="24"/>
        </w:rPr>
        <w:tab/>
      </w:r>
      <w:bookmarkStart w:id="63" w:name="N18"/>
      <w:bookmarkEnd w:id="63"/>
      <w:r w:rsidR="00D90216" w:rsidRPr="00D948C1">
        <w:rPr>
          <w:sz w:val="24"/>
          <w:szCs w:val="24"/>
        </w:rPr>
        <w:t>Unusable Reserves</w:t>
      </w:r>
      <w:bookmarkEnd w:id="62"/>
    </w:p>
    <w:p w14:paraId="3B681508" w14:textId="77777777" w:rsidR="00D90216" w:rsidRPr="00D948C1" w:rsidRDefault="00D90216" w:rsidP="000C442C">
      <w:pPr>
        <w:ind w:left="360"/>
        <w:rPr>
          <w:szCs w:val="24"/>
        </w:rPr>
      </w:pPr>
    </w:p>
    <w:p w14:paraId="22FB97B8" w14:textId="2473A193" w:rsidR="00D90216" w:rsidRPr="00D948C1" w:rsidRDefault="00D90216" w:rsidP="000C442C">
      <w:pPr>
        <w:ind w:left="709"/>
        <w:rPr>
          <w:szCs w:val="24"/>
        </w:rPr>
      </w:pPr>
      <w:r w:rsidRPr="003C6AA4">
        <w:rPr>
          <w:szCs w:val="24"/>
        </w:rPr>
        <w:t>The total Unusable Reserves are shown in the Movement in Reserves Statement, and details of each reserve and the movements are shown in the following tables:</w:t>
      </w:r>
    </w:p>
    <w:p w14:paraId="28F83015" w14:textId="77777777" w:rsidR="00D90216" w:rsidRPr="00D948C1" w:rsidRDefault="00D90216" w:rsidP="00D90216">
      <w:pPr>
        <w:ind w:left="360"/>
        <w:rPr>
          <w:szCs w:val="24"/>
        </w:rPr>
      </w:pPr>
    </w:p>
    <w:tbl>
      <w:tblPr>
        <w:tblW w:w="83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1536"/>
      </w:tblGrid>
      <w:tr w:rsidR="0010066C" w:rsidRPr="00D948C1" w14:paraId="05553C57" w14:textId="77777777" w:rsidTr="0010066C">
        <w:trPr>
          <w:tblHeader/>
        </w:trPr>
        <w:tc>
          <w:tcPr>
            <w:tcW w:w="5245" w:type="dxa"/>
            <w:shd w:val="clear" w:color="auto" w:fill="BD2716"/>
          </w:tcPr>
          <w:p w14:paraId="54595EFC" w14:textId="77777777" w:rsidR="0010066C" w:rsidRPr="00D948C1" w:rsidRDefault="0010066C" w:rsidP="0010066C">
            <w:pPr>
              <w:rPr>
                <w:color w:val="FFFFFF" w:themeColor="background1"/>
                <w:szCs w:val="24"/>
              </w:rPr>
            </w:pPr>
          </w:p>
        </w:tc>
        <w:tc>
          <w:tcPr>
            <w:tcW w:w="1559" w:type="dxa"/>
            <w:shd w:val="clear" w:color="auto" w:fill="BD2716"/>
            <w:vAlign w:val="center"/>
          </w:tcPr>
          <w:p w14:paraId="396997DF" w14:textId="2D8C7D44" w:rsidR="0010066C" w:rsidRPr="00D948C1" w:rsidRDefault="001A42DD" w:rsidP="0010066C">
            <w:pPr>
              <w:jc w:val="right"/>
              <w:rPr>
                <w:color w:val="FFFFFF" w:themeColor="background1"/>
                <w:szCs w:val="24"/>
              </w:rPr>
            </w:pPr>
            <w:r>
              <w:rPr>
                <w:color w:val="FFFFFF" w:themeColor="background1"/>
                <w:szCs w:val="24"/>
              </w:rPr>
              <w:t>2025-26</w:t>
            </w:r>
          </w:p>
          <w:p w14:paraId="039DBCB9" w14:textId="419E768B" w:rsidR="0010066C" w:rsidRPr="00D948C1" w:rsidRDefault="0010066C" w:rsidP="0010066C">
            <w:pPr>
              <w:jc w:val="right"/>
              <w:rPr>
                <w:color w:val="FFFFFF" w:themeColor="background1"/>
                <w:szCs w:val="24"/>
              </w:rPr>
            </w:pPr>
            <w:r w:rsidRPr="00D948C1">
              <w:rPr>
                <w:color w:val="FFFFFF" w:themeColor="background1"/>
                <w:szCs w:val="24"/>
              </w:rPr>
              <w:t>£000</w:t>
            </w:r>
          </w:p>
        </w:tc>
        <w:tc>
          <w:tcPr>
            <w:tcW w:w="1536" w:type="dxa"/>
            <w:shd w:val="clear" w:color="auto" w:fill="BD2716"/>
            <w:vAlign w:val="center"/>
          </w:tcPr>
          <w:p w14:paraId="49DC768E" w14:textId="43284ECB" w:rsidR="006D0657" w:rsidRPr="00D948C1" w:rsidRDefault="001A42DD" w:rsidP="006D0657">
            <w:pPr>
              <w:jc w:val="right"/>
              <w:rPr>
                <w:color w:val="FFFFFF" w:themeColor="background1"/>
                <w:szCs w:val="24"/>
              </w:rPr>
            </w:pPr>
            <w:r>
              <w:rPr>
                <w:color w:val="FFFFFF" w:themeColor="background1"/>
                <w:szCs w:val="24"/>
              </w:rPr>
              <w:t>2024-25</w:t>
            </w:r>
          </w:p>
          <w:p w14:paraId="0F822697" w14:textId="29BD130F" w:rsidR="0010066C" w:rsidRPr="00D948C1" w:rsidRDefault="006D0657" w:rsidP="006D0657">
            <w:pPr>
              <w:jc w:val="right"/>
              <w:rPr>
                <w:color w:val="FFFFFF" w:themeColor="background1"/>
                <w:szCs w:val="24"/>
              </w:rPr>
            </w:pPr>
            <w:r w:rsidRPr="00D948C1">
              <w:rPr>
                <w:color w:val="FFFFFF" w:themeColor="background1"/>
                <w:szCs w:val="24"/>
              </w:rPr>
              <w:t>£000</w:t>
            </w:r>
          </w:p>
        </w:tc>
      </w:tr>
      <w:tr w:rsidR="006D0657" w:rsidRPr="00D948C1" w14:paraId="6471EE77" w14:textId="77777777" w:rsidTr="0010066C">
        <w:tc>
          <w:tcPr>
            <w:tcW w:w="5245" w:type="dxa"/>
          </w:tcPr>
          <w:p w14:paraId="6260B46C"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Revaluation Reserve</w:t>
            </w:r>
          </w:p>
        </w:tc>
        <w:tc>
          <w:tcPr>
            <w:tcW w:w="1559" w:type="dxa"/>
            <w:vAlign w:val="center"/>
          </w:tcPr>
          <w:p w14:paraId="32F67218" w14:textId="49B3E167" w:rsidR="006D0657" w:rsidRPr="00294859" w:rsidRDefault="00EF497C" w:rsidP="006D0657">
            <w:pPr>
              <w:tabs>
                <w:tab w:val="decimal" w:pos="1220"/>
              </w:tabs>
              <w:jc w:val="right"/>
              <w:rPr>
                <w:szCs w:val="24"/>
              </w:rPr>
            </w:pPr>
            <w:r>
              <w:rPr>
                <w:szCs w:val="24"/>
              </w:rPr>
              <w:t>(69,226)</w:t>
            </w:r>
          </w:p>
        </w:tc>
        <w:tc>
          <w:tcPr>
            <w:tcW w:w="1536" w:type="dxa"/>
            <w:vAlign w:val="center"/>
          </w:tcPr>
          <w:p w14:paraId="533D41B2" w14:textId="72B1B8A7" w:rsidR="006D0657" w:rsidRPr="00DF39E9" w:rsidRDefault="006D0657" w:rsidP="006D0657">
            <w:pPr>
              <w:tabs>
                <w:tab w:val="decimal" w:pos="1220"/>
              </w:tabs>
              <w:jc w:val="right"/>
              <w:rPr>
                <w:szCs w:val="24"/>
              </w:rPr>
            </w:pPr>
            <w:r w:rsidRPr="00294859">
              <w:rPr>
                <w:szCs w:val="24"/>
              </w:rPr>
              <w:t>(73,745)</w:t>
            </w:r>
          </w:p>
        </w:tc>
      </w:tr>
      <w:tr w:rsidR="006D0657" w:rsidRPr="00D948C1" w14:paraId="63D08073" w14:textId="77777777" w:rsidTr="0010066C">
        <w:tc>
          <w:tcPr>
            <w:tcW w:w="5245" w:type="dxa"/>
          </w:tcPr>
          <w:p w14:paraId="01D63290"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Capital Adjustment Account</w:t>
            </w:r>
          </w:p>
        </w:tc>
        <w:tc>
          <w:tcPr>
            <w:tcW w:w="1559" w:type="dxa"/>
            <w:vAlign w:val="center"/>
          </w:tcPr>
          <w:p w14:paraId="115E5DEF" w14:textId="217DB043" w:rsidR="006D0657" w:rsidRPr="00294859" w:rsidRDefault="00EF497C" w:rsidP="006D0657">
            <w:pPr>
              <w:tabs>
                <w:tab w:val="decimal" w:pos="1220"/>
              </w:tabs>
              <w:jc w:val="right"/>
              <w:rPr>
                <w:szCs w:val="24"/>
              </w:rPr>
            </w:pPr>
            <w:r>
              <w:rPr>
                <w:szCs w:val="24"/>
              </w:rPr>
              <w:t>(4</w:t>
            </w:r>
            <w:r w:rsidR="00C11C64">
              <w:rPr>
                <w:szCs w:val="24"/>
              </w:rPr>
              <w:t>6</w:t>
            </w:r>
            <w:r>
              <w:rPr>
                <w:szCs w:val="24"/>
              </w:rPr>
              <w:t>,</w:t>
            </w:r>
            <w:r w:rsidR="002C0148">
              <w:rPr>
                <w:szCs w:val="24"/>
              </w:rPr>
              <w:t>898</w:t>
            </w:r>
            <w:r>
              <w:rPr>
                <w:szCs w:val="24"/>
              </w:rPr>
              <w:t>)</w:t>
            </w:r>
          </w:p>
        </w:tc>
        <w:tc>
          <w:tcPr>
            <w:tcW w:w="1536" w:type="dxa"/>
            <w:vAlign w:val="center"/>
          </w:tcPr>
          <w:p w14:paraId="6B26EA01" w14:textId="2763816A" w:rsidR="006D0657" w:rsidRPr="00DF39E9" w:rsidRDefault="006D0657" w:rsidP="006D0657">
            <w:pPr>
              <w:tabs>
                <w:tab w:val="decimal" w:pos="1220"/>
              </w:tabs>
              <w:jc w:val="right"/>
              <w:rPr>
                <w:szCs w:val="24"/>
              </w:rPr>
            </w:pPr>
            <w:r w:rsidRPr="00294859">
              <w:rPr>
                <w:szCs w:val="24"/>
              </w:rPr>
              <w:t>(43,858)</w:t>
            </w:r>
          </w:p>
        </w:tc>
      </w:tr>
      <w:tr w:rsidR="006D0657" w:rsidRPr="00D948C1" w14:paraId="3E25F287" w14:textId="77777777" w:rsidTr="0010066C">
        <w:tc>
          <w:tcPr>
            <w:tcW w:w="5245" w:type="dxa"/>
          </w:tcPr>
          <w:p w14:paraId="50DCB72F"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Pensions Reserve</w:t>
            </w:r>
          </w:p>
        </w:tc>
        <w:tc>
          <w:tcPr>
            <w:tcW w:w="1559" w:type="dxa"/>
            <w:vAlign w:val="center"/>
          </w:tcPr>
          <w:p w14:paraId="3E6C6622" w14:textId="0C36305F" w:rsidR="006D0657" w:rsidRPr="00294859" w:rsidRDefault="008F5CC3" w:rsidP="006D0657">
            <w:pPr>
              <w:tabs>
                <w:tab w:val="decimal" w:pos="1220"/>
              </w:tabs>
              <w:jc w:val="right"/>
              <w:rPr>
                <w:szCs w:val="24"/>
              </w:rPr>
            </w:pPr>
            <w:r>
              <w:rPr>
                <w:szCs w:val="24"/>
              </w:rPr>
              <w:t>576,571</w:t>
            </w:r>
          </w:p>
        </w:tc>
        <w:tc>
          <w:tcPr>
            <w:tcW w:w="1536" w:type="dxa"/>
            <w:vAlign w:val="center"/>
          </w:tcPr>
          <w:p w14:paraId="5389E3AF" w14:textId="560A13F7" w:rsidR="006D0657" w:rsidRPr="00DF39E9" w:rsidRDefault="006D0657" w:rsidP="006D0657">
            <w:pPr>
              <w:tabs>
                <w:tab w:val="decimal" w:pos="1220"/>
              </w:tabs>
              <w:jc w:val="right"/>
              <w:rPr>
                <w:szCs w:val="24"/>
              </w:rPr>
            </w:pPr>
            <w:r w:rsidRPr="00294859">
              <w:rPr>
                <w:szCs w:val="24"/>
              </w:rPr>
              <w:t>588,430</w:t>
            </w:r>
          </w:p>
        </w:tc>
      </w:tr>
      <w:tr w:rsidR="006D0657" w:rsidRPr="00D948C1" w14:paraId="06A2D2EC" w14:textId="77777777" w:rsidTr="0010066C">
        <w:tc>
          <w:tcPr>
            <w:tcW w:w="5245" w:type="dxa"/>
          </w:tcPr>
          <w:p w14:paraId="50D5EC00"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Collection Fund Adjustment Account</w:t>
            </w:r>
          </w:p>
        </w:tc>
        <w:tc>
          <w:tcPr>
            <w:tcW w:w="1559" w:type="dxa"/>
            <w:vAlign w:val="center"/>
          </w:tcPr>
          <w:p w14:paraId="39CB965D" w14:textId="099F7043" w:rsidR="006D0657" w:rsidRPr="00294859" w:rsidRDefault="008F5CC3" w:rsidP="006D0657">
            <w:pPr>
              <w:tabs>
                <w:tab w:val="decimal" w:pos="1220"/>
              </w:tabs>
              <w:jc w:val="right"/>
              <w:rPr>
                <w:szCs w:val="24"/>
              </w:rPr>
            </w:pPr>
            <w:r>
              <w:rPr>
                <w:szCs w:val="24"/>
              </w:rPr>
              <w:t>(550)</w:t>
            </w:r>
          </w:p>
        </w:tc>
        <w:tc>
          <w:tcPr>
            <w:tcW w:w="1536" w:type="dxa"/>
            <w:vAlign w:val="center"/>
          </w:tcPr>
          <w:p w14:paraId="0517C066" w14:textId="11AF9C2A" w:rsidR="006D0657" w:rsidRPr="00DF39E9" w:rsidRDefault="006D0657" w:rsidP="006D0657">
            <w:pPr>
              <w:tabs>
                <w:tab w:val="decimal" w:pos="1220"/>
              </w:tabs>
              <w:jc w:val="right"/>
              <w:rPr>
                <w:szCs w:val="24"/>
              </w:rPr>
            </w:pPr>
            <w:r w:rsidRPr="00294859">
              <w:rPr>
                <w:szCs w:val="24"/>
              </w:rPr>
              <w:t>(591)</w:t>
            </w:r>
          </w:p>
        </w:tc>
      </w:tr>
      <w:tr w:rsidR="006D0657" w:rsidRPr="00D948C1" w14:paraId="44B79B53" w14:textId="77777777" w:rsidTr="0010066C">
        <w:tc>
          <w:tcPr>
            <w:tcW w:w="5245" w:type="dxa"/>
          </w:tcPr>
          <w:p w14:paraId="2F825238"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Accumulated Absences Adjustment Account</w:t>
            </w:r>
          </w:p>
        </w:tc>
        <w:tc>
          <w:tcPr>
            <w:tcW w:w="1559" w:type="dxa"/>
            <w:vAlign w:val="center"/>
          </w:tcPr>
          <w:p w14:paraId="359907CF" w14:textId="050B03DD" w:rsidR="006D0657" w:rsidRPr="00294859" w:rsidRDefault="008F5CC3" w:rsidP="006D0657">
            <w:pPr>
              <w:tabs>
                <w:tab w:val="decimal" w:pos="1220"/>
              </w:tabs>
              <w:jc w:val="right"/>
              <w:rPr>
                <w:szCs w:val="24"/>
              </w:rPr>
            </w:pPr>
            <w:r>
              <w:rPr>
                <w:szCs w:val="24"/>
              </w:rPr>
              <w:t>653</w:t>
            </w:r>
          </w:p>
        </w:tc>
        <w:tc>
          <w:tcPr>
            <w:tcW w:w="1536" w:type="dxa"/>
            <w:vAlign w:val="center"/>
          </w:tcPr>
          <w:p w14:paraId="66D6DF85" w14:textId="3388352A" w:rsidR="006D0657" w:rsidRPr="00DF39E9" w:rsidRDefault="006D0657" w:rsidP="006D0657">
            <w:pPr>
              <w:tabs>
                <w:tab w:val="decimal" w:pos="1220"/>
              </w:tabs>
              <w:jc w:val="right"/>
              <w:rPr>
                <w:szCs w:val="24"/>
              </w:rPr>
            </w:pPr>
            <w:r w:rsidRPr="00294859">
              <w:rPr>
                <w:szCs w:val="24"/>
              </w:rPr>
              <w:t>696</w:t>
            </w:r>
          </w:p>
        </w:tc>
      </w:tr>
      <w:tr w:rsidR="006D0657" w:rsidRPr="00D948C1" w14:paraId="4C138615" w14:textId="77777777" w:rsidTr="0010066C">
        <w:tc>
          <w:tcPr>
            <w:tcW w:w="5245" w:type="dxa"/>
          </w:tcPr>
          <w:p w14:paraId="2035F9A6" w14:textId="77777777" w:rsidR="006D0657" w:rsidRPr="00D948C1" w:rsidRDefault="006D0657" w:rsidP="006D0657">
            <w:pPr>
              <w:pStyle w:val="Footer"/>
              <w:tabs>
                <w:tab w:val="clear" w:pos="4153"/>
                <w:tab w:val="clear" w:pos="8306"/>
                <w:tab w:val="left" w:pos="720"/>
                <w:tab w:val="center" w:pos="6930"/>
              </w:tabs>
              <w:ind w:left="-108"/>
              <w:rPr>
                <w:szCs w:val="24"/>
              </w:rPr>
            </w:pPr>
            <w:r w:rsidRPr="00D948C1">
              <w:rPr>
                <w:szCs w:val="24"/>
              </w:rPr>
              <w:t>Total Unusable Reserves</w:t>
            </w:r>
          </w:p>
        </w:tc>
        <w:tc>
          <w:tcPr>
            <w:tcW w:w="1559" w:type="dxa"/>
            <w:vAlign w:val="center"/>
          </w:tcPr>
          <w:p w14:paraId="51B714FE" w14:textId="2237F38B" w:rsidR="006D0657" w:rsidRPr="00294859" w:rsidRDefault="008F5CC3" w:rsidP="006D0657">
            <w:pPr>
              <w:tabs>
                <w:tab w:val="decimal" w:pos="1220"/>
              </w:tabs>
              <w:jc w:val="right"/>
              <w:rPr>
                <w:szCs w:val="24"/>
              </w:rPr>
            </w:pPr>
            <w:r>
              <w:rPr>
                <w:szCs w:val="24"/>
              </w:rPr>
              <w:t>4</w:t>
            </w:r>
            <w:r w:rsidR="002C0148">
              <w:rPr>
                <w:szCs w:val="24"/>
              </w:rPr>
              <w:t>60</w:t>
            </w:r>
            <w:r>
              <w:rPr>
                <w:szCs w:val="24"/>
              </w:rPr>
              <w:t>,</w:t>
            </w:r>
            <w:r w:rsidR="002C0148">
              <w:rPr>
                <w:szCs w:val="24"/>
              </w:rPr>
              <w:t>550</w:t>
            </w:r>
          </w:p>
        </w:tc>
        <w:tc>
          <w:tcPr>
            <w:tcW w:w="1536" w:type="dxa"/>
            <w:vAlign w:val="center"/>
          </w:tcPr>
          <w:p w14:paraId="1A815B7A" w14:textId="55512463" w:rsidR="006D0657" w:rsidRPr="00DF39E9" w:rsidRDefault="006D0657" w:rsidP="006D0657">
            <w:pPr>
              <w:tabs>
                <w:tab w:val="decimal" w:pos="1220"/>
              </w:tabs>
              <w:jc w:val="right"/>
              <w:rPr>
                <w:szCs w:val="24"/>
              </w:rPr>
            </w:pPr>
            <w:r w:rsidRPr="00294859">
              <w:rPr>
                <w:szCs w:val="24"/>
              </w:rPr>
              <w:t>470,932</w:t>
            </w:r>
          </w:p>
        </w:tc>
      </w:tr>
    </w:tbl>
    <w:p w14:paraId="240BB88F" w14:textId="77777777" w:rsidR="00D90216" w:rsidRPr="00D948C1" w:rsidRDefault="00D90216" w:rsidP="00D90216">
      <w:pPr>
        <w:rPr>
          <w:szCs w:val="24"/>
        </w:rPr>
      </w:pPr>
    </w:p>
    <w:p w14:paraId="70B4131F" w14:textId="77777777" w:rsidR="00D90216" w:rsidRPr="00D948C1" w:rsidRDefault="00D90216" w:rsidP="00D90216">
      <w:pPr>
        <w:ind w:left="709"/>
        <w:rPr>
          <w:b/>
          <w:szCs w:val="24"/>
        </w:rPr>
      </w:pPr>
      <w:r w:rsidRPr="00D948C1">
        <w:rPr>
          <w:b/>
          <w:szCs w:val="24"/>
        </w:rPr>
        <w:t>Revaluation Reserve</w:t>
      </w:r>
    </w:p>
    <w:p w14:paraId="474E8FE9" w14:textId="77777777" w:rsidR="00D90216" w:rsidRPr="00D948C1" w:rsidRDefault="00D90216" w:rsidP="00D90216">
      <w:pPr>
        <w:pStyle w:val="Footer"/>
        <w:tabs>
          <w:tab w:val="clear" w:pos="4153"/>
          <w:tab w:val="clear" w:pos="8306"/>
        </w:tabs>
        <w:ind w:left="720"/>
        <w:rPr>
          <w:szCs w:val="24"/>
        </w:rPr>
      </w:pP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1559"/>
        <w:gridCol w:w="1559"/>
      </w:tblGrid>
      <w:tr w:rsidR="007407CC" w:rsidRPr="00D948C1" w14:paraId="188BE008" w14:textId="77777777" w:rsidTr="00611673">
        <w:trPr>
          <w:trHeight w:hRule="exact" w:val="610"/>
        </w:trPr>
        <w:tc>
          <w:tcPr>
            <w:tcW w:w="5342" w:type="dxa"/>
            <w:shd w:val="clear" w:color="auto" w:fill="BD2716"/>
          </w:tcPr>
          <w:p w14:paraId="2BF3BD08" w14:textId="77777777" w:rsidR="007407CC" w:rsidRPr="00D948C1" w:rsidRDefault="007407CC" w:rsidP="007407CC">
            <w:pPr>
              <w:tabs>
                <w:tab w:val="left" w:pos="720"/>
                <w:tab w:val="center" w:pos="6930"/>
              </w:tabs>
              <w:rPr>
                <w:color w:val="FFFFFF" w:themeColor="background1"/>
                <w:szCs w:val="24"/>
              </w:rPr>
            </w:pPr>
          </w:p>
        </w:tc>
        <w:tc>
          <w:tcPr>
            <w:tcW w:w="1559" w:type="dxa"/>
            <w:shd w:val="clear" w:color="auto" w:fill="BD2716"/>
            <w:vAlign w:val="center"/>
          </w:tcPr>
          <w:p w14:paraId="7D2B25FC" w14:textId="1923D4BF" w:rsidR="007407CC" w:rsidRPr="00D948C1" w:rsidRDefault="001A42DD" w:rsidP="007407CC">
            <w:pPr>
              <w:jc w:val="right"/>
              <w:rPr>
                <w:color w:val="FFFFFF" w:themeColor="background1"/>
                <w:szCs w:val="24"/>
              </w:rPr>
            </w:pPr>
            <w:r>
              <w:rPr>
                <w:color w:val="FFFFFF" w:themeColor="background1"/>
                <w:szCs w:val="24"/>
              </w:rPr>
              <w:t>2025-26</w:t>
            </w:r>
          </w:p>
          <w:p w14:paraId="40A79826" w14:textId="7B5D40BC" w:rsidR="007407CC" w:rsidRPr="00D948C1" w:rsidRDefault="007407CC" w:rsidP="007407CC">
            <w:pPr>
              <w:jc w:val="right"/>
              <w:rPr>
                <w:color w:val="FFFFFF" w:themeColor="background1"/>
                <w:szCs w:val="24"/>
              </w:rPr>
            </w:pPr>
            <w:r w:rsidRPr="00D948C1">
              <w:rPr>
                <w:color w:val="FFFFFF" w:themeColor="background1"/>
                <w:szCs w:val="24"/>
              </w:rPr>
              <w:t>£000</w:t>
            </w:r>
          </w:p>
        </w:tc>
        <w:tc>
          <w:tcPr>
            <w:tcW w:w="1559" w:type="dxa"/>
            <w:shd w:val="clear" w:color="auto" w:fill="BD2716"/>
            <w:vAlign w:val="center"/>
          </w:tcPr>
          <w:p w14:paraId="1BA4F633" w14:textId="154BD00C" w:rsidR="006D0657" w:rsidRPr="00D948C1" w:rsidRDefault="001A42DD" w:rsidP="006D0657">
            <w:pPr>
              <w:jc w:val="right"/>
              <w:rPr>
                <w:color w:val="FFFFFF" w:themeColor="background1"/>
                <w:szCs w:val="24"/>
              </w:rPr>
            </w:pPr>
            <w:r>
              <w:rPr>
                <w:color w:val="FFFFFF" w:themeColor="background1"/>
                <w:szCs w:val="24"/>
              </w:rPr>
              <w:t>2024-25</w:t>
            </w:r>
          </w:p>
          <w:p w14:paraId="1537AE7F" w14:textId="2285CAFC" w:rsidR="007407CC" w:rsidRPr="00D948C1" w:rsidRDefault="006D0657" w:rsidP="006D0657">
            <w:pPr>
              <w:jc w:val="right"/>
              <w:rPr>
                <w:color w:val="FFFFFF" w:themeColor="background1"/>
                <w:szCs w:val="24"/>
              </w:rPr>
            </w:pPr>
            <w:r w:rsidRPr="00D948C1">
              <w:rPr>
                <w:color w:val="FFFFFF" w:themeColor="background1"/>
                <w:szCs w:val="24"/>
              </w:rPr>
              <w:t>£000</w:t>
            </w:r>
          </w:p>
        </w:tc>
      </w:tr>
      <w:tr w:rsidR="006D0657" w:rsidRPr="00D948C1" w14:paraId="0D84917E" w14:textId="77777777" w:rsidTr="00DD63D7">
        <w:trPr>
          <w:trHeight w:hRule="exact" w:val="300"/>
        </w:trPr>
        <w:tc>
          <w:tcPr>
            <w:tcW w:w="5342" w:type="dxa"/>
          </w:tcPr>
          <w:p w14:paraId="1B59E530" w14:textId="77777777" w:rsidR="006D0657" w:rsidRPr="00D948C1" w:rsidRDefault="006D0657" w:rsidP="006D0657">
            <w:pPr>
              <w:pStyle w:val="Footer"/>
              <w:tabs>
                <w:tab w:val="clear" w:pos="4153"/>
                <w:tab w:val="clear" w:pos="8306"/>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559" w:type="dxa"/>
            <w:vAlign w:val="center"/>
          </w:tcPr>
          <w:p w14:paraId="62BA2D4A" w14:textId="4ADD35CA" w:rsidR="006D0657" w:rsidRPr="00294859" w:rsidRDefault="00892F77" w:rsidP="006D0657">
            <w:pPr>
              <w:tabs>
                <w:tab w:val="decimal" w:pos="1026"/>
              </w:tabs>
              <w:jc w:val="right"/>
              <w:rPr>
                <w:szCs w:val="24"/>
              </w:rPr>
            </w:pPr>
            <w:r>
              <w:rPr>
                <w:szCs w:val="24"/>
              </w:rPr>
              <w:t>(73,745)</w:t>
            </w:r>
          </w:p>
        </w:tc>
        <w:tc>
          <w:tcPr>
            <w:tcW w:w="1559" w:type="dxa"/>
            <w:vAlign w:val="center"/>
          </w:tcPr>
          <w:p w14:paraId="0302C917" w14:textId="11FC84DC" w:rsidR="006D0657" w:rsidRPr="00DF39E9" w:rsidRDefault="006D0657" w:rsidP="006D0657">
            <w:pPr>
              <w:tabs>
                <w:tab w:val="decimal" w:pos="1026"/>
              </w:tabs>
              <w:jc w:val="right"/>
              <w:rPr>
                <w:szCs w:val="24"/>
              </w:rPr>
            </w:pPr>
            <w:r w:rsidRPr="00294859">
              <w:rPr>
                <w:szCs w:val="24"/>
              </w:rPr>
              <w:t>(73,418)</w:t>
            </w:r>
          </w:p>
        </w:tc>
      </w:tr>
      <w:tr w:rsidR="006D0657" w:rsidRPr="00D948C1" w14:paraId="5DA97C49" w14:textId="77777777" w:rsidTr="00DD63D7">
        <w:trPr>
          <w:trHeight w:hRule="exact" w:val="300"/>
        </w:trPr>
        <w:tc>
          <w:tcPr>
            <w:tcW w:w="5342" w:type="dxa"/>
          </w:tcPr>
          <w:p w14:paraId="31CE386F" w14:textId="77777777" w:rsidR="006D0657" w:rsidRPr="00D948C1" w:rsidRDefault="006D0657" w:rsidP="006D0657">
            <w:pPr>
              <w:pStyle w:val="Footer"/>
              <w:tabs>
                <w:tab w:val="clear" w:pos="4153"/>
                <w:tab w:val="clear" w:pos="8306"/>
                <w:tab w:val="left" w:pos="720"/>
                <w:tab w:val="center" w:pos="6930"/>
              </w:tabs>
              <w:rPr>
                <w:szCs w:val="24"/>
              </w:rPr>
            </w:pPr>
            <w:r w:rsidRPr="00D948C1">
              <w:rPr>
                <w:szCs w:val="24"/>
              </w:rPr>
              <w:t>Upward revaluation of assets</w:t>
            </w:r>
          </w:p>
        </w:tc>
        <w:tc>
          <w:tcPr>
            <w:tcW w:w="1559" w:type="dxa"/>
            <w:vAlign w:val="center"/>
          </w:tcPr>
          <w:p w14:paraId="4F57D3DD" w14:textId="32519326" w:rsidR="006D0657" w:rsidRPr="00294859" w:rsidRDefault="00892F77" w:rsidP="006D0657">
            <w:pPr>
              <w:tabs>
                <w:tab w:val="decimal" w:pos="1026"/>
              </w:tabs>
              <w:jc w:val="right"/>
              <w:rPr>
                <w:szCs w:val="24"/>
              </w:rPr>
            </w:pPr>
            <w:r>
              <w:rPr>
                <w:szCs w:val="24"/>
              </w:rPr>
              <w:t>(2,961)</w:t>
            </w:r>
          </w:p>
        </w:tc>
        <w:tc>
          <w:tcPr>
            <w:tcW w:w="1559" w:type="dxa"/>
            <w:vAlign w:val="center"/>
          </w:tcPr>
          <w:p w14:paraId="38847A66" w14:textId="4C370D6E" w:rsidR="006D0657" w:rsidRPr="00DF39E9" w:rsidRDefault="006D0657" w:rsidP="006D0657">
            <w:pPr>
              <w:tabs>
                <w:tab w:val="decimal" w:pos="1026"/>
              </w:tabs>
              <w:jc w:val="right"/>
              <w:rPr>
                <w:szCs w:val="24"/>
              </w:rPr>
            </w:pPr>
            <w:r w:rsidRPr="00DF39E9">
              <w:rPr>
                <w:szCs w:val="24"/>
              </w:rPr>
              <w:t>(5,579)</w:t>
            </w:r>
          </w:p>
        </w:tc>
      </w:tr>
      <w:tr w:rsidR="006D0657" w:rsidRPr="00D948C1" w14:paraId="1FFFAEAE" w14:textId="77777777" w:rsidTr="00DD63D7">
        <w:trPr>
          <w:trHeight w:hRule="exact" w:val="635"/>
        </w:trPr>
        <w:tc>
          <w:tcPr>
            <w:tcW w:w="5342" w:type="dxa"/>
          </w:tcPr>
          <w:p w14:paraId="4A11EFAF" w14:textId="77777777" w:rsidR="006D0657" w:rsidRPr="00D948C1" w:rsidRDefault="006D0657" w:rsidP="006D0657">
            <w:pPr>
              <w:pStyle w:val="Footer"/>
              <w:tabs>
                <w:tab w:val="clear" w:pos="4153"/>
                <w:tab w:val="clear" w:pos="8306"/>
                <w:tab w:val="left" w:pos="720"/>
                <w:tab w:val="center" w:pos="6930"/>
              </w:tabs>
              <w:rPr>
                <w:szCs w:val="24"/>
              </w:rPr>
            </w:pPr>
            <w:r w:rsidRPr="00D948C1">
              <w:rPr>
                <w:szCs w:val="24"/>
              </w:rPr>
              <w:t>Downward revaluation of assets and impairment losses not charged to Net cost of Services</w:t>
            </w:r>
          </w:p>
        </w:tc>
        <w:tc>
          <w:tcPr>
            <w:tcW w:w="1559" w:type="dxa"/>
            <w:vAlign w:val="center"/>
          </w:tcPr>
          <w:p w14:paraId="2D24ED62" w14:textId="10D5AEEA" w:rsidR="006D0657" w:rsidRPr="00294859" w:rsidRDefault="00892F77" w:rsidP="006D0657">
            <w:pPr>
              <w:tabs>
                <w:tab w:val="decimal" w:pos="1026"/>
              </w:tabs>
              <w:jc w:val="right"/>
              <w:rPr>
                <w:szCs w:val="24"/>
              </w:rPr>
            </w:pPr>
            <w:r>
              <w:rPr>
                <w:szCs w:val="24"/>
              </w:rPr>
              <w:t>4,418</w:t>
            </w:r>
          </w:p>
        </w:tc>
        <w:tc>
          <w:tcPr>
            <w:tcW w:w="1559" w:type="dxa"/>
            <w:vAlign w:val="center"/>
          </w:tcPr>
          <w:p w14:paraId="53EE395B" w14:textId="00DE8225" w:rsidR="006D0657" w:rsidRPr="00DF39E9" w:rsidRDefault="006D0657" w:rsidP="006D0657">
            <w:pPr>
              <w:tabs>
                <w:tab w:val="decimal" w:pos="1026"/>
              </w:tabs>
              <w:jc w:val="right"/>
              <w:rPr>
                <w:szCs w:val="24"/>
              </w:rPr>
            </w:pPr>
            <w:r w:rsidRPr="00DF39E9">
              <w:rPr>
                <w:szCs w:val="24"/>
              </w:rPr>
              <w:t>1,933</w:t>
            </w:r>
          </w:p>
        </w:tc>
      </w:tr>
      <w:tr w:rsidR="006D0657" w:rsidRPr="00D948C1" w14:paraId="500F1E2C" w14:textId="77777777" w:rsidTr="00DD63D7">
        <w:trPr>
          <w:trHeight w:hRule="exact" w:val="561"/>
        </w:trPr>
        <w:tc>
          <w:tcPr>
            <w:tcW w:w="5342" w:type="dxa"/>
          </w:tcPr>
          <w:p w14:paraId="2EDD0E4C" w14:textId="77777777" w:rsidR="006D0657" w:rsidRPr="00D948C1" w:rsidRDefault="006D0657" w:rsidP="006D0657">
            <w:pPr>
              <w:pStyle w:val="Footer"/>
              <w:tabs>
                <w:tab w:val="clear" w:pos="4153"/>
                <w:tab w:val="clear" w:pos="8306"/>
                <w:tab w:val="left" w:pos="720"/>
                <w:tab w:val="center" w:pos="6930"/>
              </w:tabs>
              <w:rPr>
                <w:szCs w:val="24"/>
              </w:rPr>
            </w:pPr>
            <w:r w:rsidRPr="00D948C1">
              <w:rPr>
                <w:szCs w:val="24"/>
              </w:rPr>
              <w:t>Difference between fair value depreciation and historical cost depreciation</w:t>
            </w:r>
          </w:p>
        </w:tc>
        <w:tc>
          <w:tcPr>
            <w:tcW w:w="1559" w:type="dxa"/>
            <w:vAlign w:val="center"/>
          </w:tcPr>
          <w:p w14:paraId="717A3F37" w14:textId="0BF04956" w:rsidR="006D0657" w:rsidRPr="00294859" w:rsidRDefault="00892F77" w:rsidP="006D0657">
            <w:pPr>
              <w:tabs>
                <w:tab w:val="decimal" w:pos="1026"/>
              </w:tabs>
              <w:jc w:val="right"/>
              <w:rPr>
                <w:szCs w:val="24"/>
              </w:rPr>
            </w:pPr>
            <w:r>
              <w:rPr>
                <w:szCs w:val="24"/>
              </w:rPr>
              <w:t>3,061</w:t>
            </w:r>
          </w:p>
        </w:tc>
        <w:tc>
          <w:tcPr>
            <w:tcW w:w="1559" w:type="dxa"/>
            <w:vAlign w:val="center"/>
          </w:tcPr>
          <w:p w14:paraId="31589F14" w14:textId="191A1C64" w:rsidR="006D0657" w:rsidRPr="00DF39E9" w:rsidRDefault="006D0657" w:rsidP="006D0657">
            <w:pPr>
              <w:tabs>
                <w:tab w:val="decimal" w:pos="1026"/>
              </w:tabs>
              <w:jc w:val="right"/>
              <w:rPr>
                <w:szCs w:val="24"/>
              </w:rPr>
            </w:pPr>
            <w:r w:rsidRPr="00DF39E9">
              <w:rPr>
                <w:szCs w:val="24"/>
              </w:rPr>
              <w:t>3,318</w:t>
            </w:r>
          </w:p>
        </w:tc>
      </w:tr>
      <w:tr w:rsidR="006D0657" w:rsidRPr="00D948C1" w14:paraId="6BF6D864" w14:textId="77777777" w:rsidTr="0059772F">
        <w:trPr>
          <w:trHeight w:hRule="exact" w:val="635"/>
        </w:trPr>
        <w:tc>
          <w:tcPr>
            <w:tcW w:w="5342" w:type="dxa"/>
          </w:tcPr>
          <w:p w14:paraId="6F056EE6" w14:textId="77777777" w:rsidR="006D0657" w:rsidRPr="00D948C1" w:rsidRDefault="006D0657" w:rsidP="006D0657">
            <w:pPr>
              <w:pStyle w:val="Footer"/>
              <w:tabs>
                <w:tab w:val="clear" w:pos="4153"/>
                <w:tab w:val="clear" w:pos="8306"/>
                <w:tab w:val="left" w:pos="720"/>
                <w:tab w:val="center" w:pos="6930"/>
              </w:tabs>
              <w:rPr>
                <w:szCs w:val="24"/>
              </w:rPr>
            </w:pPr>
            <w:r w:rsidRPr="00D948C1">
              <w:rPr>
                <w:szCs w:val="24"/>
              </w:rPr>
              <w:t>Amount written off to the Capital Adjustment Account</w:t>
            </w:r>
          </w:p>
        </w:tc>
        <w:tc>
          <w:tcPr>
            <w:tcW w:w="1559" w:type="dxa"/>
            <w:vAlign w:val="center"/>
          </w:tcPr>
          <w:p w14:paraId="3E7C637E" w14:textId="1C3A24F0" w:rsidR="006D0657" w:rsidRPr="00294859" w:rsidRDefault="00892F77" w:rsidP="006D0657">
            <w:pPr>
              <w:tabs>
                <w:tab w:val="decimal" w:pos="1026"/>
              </w:tabs>
              <w:jc w:val="right"/>
              <w:rPr>
                <w:szCs w:val="24"/>
              </w:rPr>
            </w:pPr>
            <w:r>
              <w:rPr>
                <w:szCs w:val="24"/>
              </w:rPr>
              <w:t>-</w:t>
            </w:r>
          </w:p>
        </w:tc>
        <w:tc>
          <w:tcPr>
            <w:tcW w:w="1559" w:type="dxa"/>
            <w:vAlign w:val="center"/>
          </w:tcPr>
          <w:p w14:paraId="15A1D943" w14:textId="72CD2392" w:rsidR="006D0657" w:rsidRPr="00DF39E9" w:rsidRDefault="006D0657" w:rsidP="006D0657">
            <w:pPr>
              <w:tabs>
                <w:tab w:val="decimal" w:pos="1026"/>
              </w:tabs>
              <w:jc w:val="right"/>
              <w:rPr>
                <w:szCs w:val="24"/>
              </w:rPr>
            </w:pPr>
            <w:r w:rsidRPr="00DF39E9">
              <w:rPr>
                <w:szCs w:val="24"/>
              </w:rPr>
              <w:t>-</w:t>
            </w:r>
          </w:p>
        </w:tc>
      </w:tr>
      <w:tr w:rsidR="006D0657" w:rsidRPr="00D948C1" w14:paraId="440293EC" w14:textId="77777777" w:rsidTr="00DD63D7">
        <w:trPr>
          <w:trHeight w:hRule="exact" w:val="300"/>
        </w:trPr>
        <w:tc>
          <w:tcPr>
            <w:tcW w:w="5342" w:type="dxa"/>
          </w:tcPr>
          <w:p w14:paraId="61F56C70" w14:textId="4E068018" w:rsidR="006D0657" w:rsidRPr="00D948C1" w:rsidRDefault="006D0657" w:rsidP="006D0657">
            <w:pPr>
              <w:pStyle w:val="Footer"/>
              <w:tabs>
                <w:tab w:val="clear" w:pos="4153"/>
                <w:tab w:val="clear" w:pos="8306"/>
                <w:tab w:val="left" w:pos="720"/>
                <w:tab w:val="center" w:pos="6930"/>
              </w:tabs>
              <w:rPr>
                <w:szCs w:val="24"/>
              </w:rPr>
            </w:pPr>
            <w:r w:rsidRPr="00D948C1">
              <w:rPr>
                <w:szCs w:val="24"/>
              </w:rPr>
              <w:t>Total Revaluation Reserve</w:t>
            </w:r>
          </w:p>
        </w:tc>
        <w:tc>
          <w:tcPr>
            <w:tcW w:w="1559" w:type="dxa"/>
            <w:vAlign w:val="center"/>
          </w:tcPr>
          <w:p w14:paraId="1F4DE559" w14:textId="6A029CDB" w:rsidR="006D0657" w:rsidRPr="00294859" w:rsidRDefault="00892F77" w:rsidP="006D0657">
            <w:pPr>
              <w:tabs>
                <w:tab w:val="decimal" w:pos="1026"/>
              </w:tabs>
              <w:jc w:val="right"/>
              <w:rPr>
                <w:szCs w:val="24"/>
              </w:rPr>
            </w:pPr>
            <w:r>
              <w:rPr>
                <w:szCs w:val="24"/>
              </w:rPr>
              <w:t>(69,226</w:t>
            </w:r>
            <w:r w:rsidR="00343336">
              <w:rPr>
                <w:szCs w:val="24"/>
              </w:rPr>
              <w:t>)</w:t>
            </w:r>
          </w:p>
        </w:tc>
        <w:tc>
          <w:tcPr>
            <w:tcW w:w="1559" w:type="dxa"/>
            <w:vAlign w:val="center"/>
          </w:tcPr>
          <w:p w14:paraId="66F32B27" w14:textId="55D3227F" w:rsidR="006D0657" w:rsidRPr="00DF39E9" w:rsidRDefault="006D0657" w:rsidP="006D0657">
            <w:pPr>
              <w:tabs>
                <w:tab w:val="decimal" w:pos="1026"/>
              </w:tabs>
              <w:jc w:val="right"/>
              <w:rPr>
                <w:szCs w:val="24"/>
              </w:rPr>
            </w:pPr>
            <w:r w:rsidRPr="00DF39E9">
              <w:rPr>
                <w:szCs w:val="24"/>
              </w:rPr>
              <w:t>(73,745)</w:t>
            </w:r>
          </w:p>
        </w:tc>
      </w:tr>
    </w:tbl>
    <w:p w14:paraId="31F18EB1" w14:textId="77777777" w:rsidR="00D90216" w:rsidRPr="00D948C1" w:rsidRDefault="00D90216" w:rsidP="00D90216">
      <w:pPr>
        <w:ind w:left="720"/>
        <w:jc w:val="both"/>
        <w:rPr>
          <w:sz w:val="22"/>
        </w:rPr>
      </w:pPr>
    </w:p>
    <w:p w14:paraId="1AFBDA7E" w14:textId="030A4A2A" w:rsidR="00D90216" w:rsidRPr="003C6AA4" w:rsidRDefault="00D90216" w:rsidP="001A0743">
      <w:pPr>
        <w:ind w:left="720"/>
        <w:rPr>
          <w:rFonts w:cs="Arial"/>
          <w:szCs w:val="24"/>
        </w:rPr>
      </w:pPr>
      <w:r w:rsidRPr="003C6AA4">
        <w:rPr>
          <w:rFonts w:cs="Arial"/>
          <w:szCs w:val="24"/>
        </w:rPr>
        <w:t xml:space="preserve">The Revaluation Reserve </w:t>
      </w:r>
      <w:r w:rsidRPr="003C6AA4">
        <w:rPr>
          <w:szCs w:val="24"/>
        </w:rPr>
        <w:t>contains</w:t>
      </w:r>
      <w:r w:rsidRPr="003C6AA4">
        <w:rPr>
          <w:rFonts w:cs="Arial"/>
          <w:szCs w:val="24"/>
        </w:rPr>
        <w:t xml:space="preserve"> the gains made by the Authority arising from increases in the value of its Property, Plant and Equipment. The balance is reduced when assets with accumulated gains are:</w:t>
      </w:r>
    </w:p>
    <w:p w14:paraId="4AF9E479" w14:textId="1E40E434" w:rsidR="00D90216" w:rsidRPr="003C6AA4" w:rsidRDefault="00D90216" w:rsidP="001A0743">
      <w:pPr>
        <w:numPr>
          <w:ilvl w:val="0"/>
          <w:numId w:val="14"/>
        </w:numPr>
        <w:rPr>
          <w:rFonts w:cs="Arial"/>
          <w:szCs w:val="24"/>
        </w:rPr>
      </w:pPr>
      <w:r w:rsidRPr="003C6AA4">
        <w:rPr>
          <w:rFonts w:cs="Arial"/>
          <w:szCs w:val="24"/>
        </w:rPr>
        <w:t>Revalued downwards or impaired and the gains are lost</w:t>
      </w:r>
      <w:r w:rsidR="00375D1C" w:rsidRPr="003C6AA4">
        <w:rPr>
          <w:rFonts w:cs="Arial"/>
          <w:szCs w:val="24"/>
        </w:rPr>
        <w:t>.</w:t>
      </w:r>
    </w:p>
    <w:p w14:paraId="6FBEC17B" w14:textId="77777777" w:rsidR="00D90216" w:rsidRPr="003C6AA4" w:rsidRDefault="00D90216" w:rsidP="001A0743">
      <w:pPr>
        <w:numPr>
          <w:ilvl w:val="0"/>
          <w:numId w:val="14"/>
        </w:numPr>
        <w:rPr>
          <w:rFonts w:cs="Arial"/>
          <w:szCs w:val="24"/>
        </w:rPr>
      </w:pPr>
      <w:r w:rsidRPr="003C6AA4">
        <w:rPr>
          <w:rFonts w:cs="Arial"/>
          <w:szCs w:val="24"/>
        </w:rPr>
        <w:t>Used in the provision of services and the gains are consumed through depreciation, or</w:t>
      </w:r>
    </w:p>
    <w:p w14:paraId="04118F7D" w14:textId="77777777" w:rsidR="00D90216" w:rsidRPr="003C6AA4" w:rsidRDefault="00D90216" w:rsidP="001A0743">
      <w:pPr>
        <w:numPr>
          <w:ilvl w:val="0"/>
          <w:numId w:val="14"/>
        </w:numPr>
        <w:rPr>
          <w:rFonts w:cs="Arial"/>
          <w:szCs w:val="24"/>
        </w:rPr>
      </w:pPr>
      <w:r w:rsidRPr="003C6AA4">
        <w:rPr>
          <w:rFonts w:cs="Arial"/>
          <w:szCs w:val="24"/>
        </w:rPr>
        <w:t>Disposed of and the gains are realised.</w:t>
      </w:r>
    </w:p>
    <w:p w14:paraId="30BA4F01" w14:textId="77777777" w:rsidR="00D90216" w:rsidRPr="003C6AA4" w:rsidRDefault="00D90216" w:rsidP="001A0743">
      <w:pPr>
        <w:ind w:left="770"/>
        <w:rPr>
          <w:rFonts w:cs="Arial"/>
          <w:szCs w:val="24"/>
        </w:rPr>
      </w:pPr>
    </w:p>
    <w:p w14:paraId="7675B3B9" w14:textId="118732CD" w:rsidR="00D90216" w:rsidRPr="003C6AA4" w:rsidRDefault="00D90216" w:rsidP="001A0743">
      <w:pPr>
        <w:ind w:left="720"/>
        <w:rPr>
          <w:b/>
          <w:szCs w:val="24"/>
        </w:rPr>
      </w:pPr>
      <w:r w:rsidRPr="003C6AA4">
        <w:rPr>
          <w:rFonts w:cs="Arial"/>
          <w:szCs w:val="24"/>
        </w:rPr>
        <w:t xml:space="preserve">The Reserve contains only revaluation gains accumulated since 1 April 2007, the date that the Reserve was created. </w:t>
      </w:r>
      <w:r w:rsidRPr="003C6AA4">
        <w:rPr>
          <w:szCs w:val="24"/>
        </w:rPr>
        <w:t>Accumulated</w:t>
      </w:r>
      <w:r w:rsidRPr="003C6AA4">
        <w:rPr>
          <w:rFonts w:cs="Arial"/>
          <w:szCs w:val="24"/>
        </w:rPr>
        <w:t xml:space="preserve"> gains arising before that date are consolidated into the balance on the Capital Adjustment Account.</w:t>
      </w:r>
    </w:p>
    <w:p w14:paraId="1C7CC2A9" w14:textId="77777777" w:rsidR="00D90216" w:rsidRPr="00AD7578" w:rsidRDefault="00D90216" w:rsidP="001A0743">
      <w:pPr>
        <w:ind w:left="709" w:hanging="709"/>
        <w:rPr>
          <w:b/>
          <w:szCs w:val="24"/>
          <w:highlight w:val="green"/>
        </w:rPr>
      </w:pPr>
    </w:p>
    <w:p w14:paraId="79448A02" w14:textId="77777777" w:rsidR="00D90216" w:rsidRPr="003C6AA4" w:rsidRDefault="00D90216" w:rsidP="001A0743">
      <w:pPr>
        <w:pStyle w:val="BodyTextIndent"/>
        <w:ind w:left="709"/>
        <w:rPr>
          <w:b/>
          <w:szCs w:val="24"/>
          <w:lang w:val="en-GB"/>
        </w:rPr>
      </w:pPr>
      <w:r w:rsidRPr="003C6AA4">
        <w:rPr>
          <w:b/>
          <w:szCs w:val="24"/>
          <w:lang w:val="en-GB"/>
        </w:rPr>
        <w:t>Capital Adjustment Account</w:t>
      </w:r>
    </w:p>
    <w:p w14:paraId="556F6CE8" w14:textId="77777777" w:rsidR="00D90216" w:rsidRPr="003C6AA4" w:rsidRDefault="00D90216" w:rsidP="001A0743">
      <w:pPr>
        <w:pStyle w:val="BodyTextIndent"/>
        <w:ind w:left="709"/>
        <w:rPr>
          <w:szCs w:val="24"/>
          <w:lang w:val="en-GB"/>
        </w:rPr>
      </w:pPr>
    </w:p>
    <w:p w14:paraId="2EB1D5A0" w14:textId="68838052" w:rsidR="00D90216" w:rsidRPr="003C6AA4" w:rsidRDefault="00D90216" w:rsidP="001A0743">
      <w:pPr>
        <w:ind w:left="720"/>
        <w:rPr>
          <w:szCs w:val="24"/>
        </w:rPr>
      </w:pPr>
      <w:r w:rsidRPr="003C6AA4">
        <w:rPr>
          <w:szCs w:val="24"/>
        </w:rPr>
        <w:t>The Capital Adjustment Account absorbs the timing differences arising from the different arrangements for accounting for the consumption of non-current assets and for financing the acquisition under statutory provisions. The account is debited with the cost of acquisition as depreciation, impairment losses</w:t>
      </w:r>
      <w:r w:rsidR="002118B4" w:rsidRPr="003C6AA4">
        <w:rPr>
          <w:szCs w:val="24"/>
        </w:rPr>
        <w:t>,</w:t>
      </w:r>
      <w:r w:rsidRPr="003C6AA4">
        <w:rPr>
          <w:szCs w:val="24"/>
        </w:rPr>
        <w:t xml:space="preserve"> and amortisations are charged to the Comprehensive Income and Expenditure Statement. The Account is credited with the amounts set aside by the Authority as finance for the costs of acquisition.</w:t>
      </w:r>
    </w:p>
    <w:p w14:paraId="775D30B1" w14:textId="77777777" w:rsidR="00D90216" w:rsidRPr="00AD7578" w:rsidRDefault="00D90216" w:rsidP="00D90216">
      <w:pPr>
        <w:ind w:left="709"/>
        <w:rPr>
          <w:sz w:val="22"/>
          <w:szCs w:val="22"/>
          <w:highlight w:val="green"/>
        </w:rPr>
      </w:pPr>
    </w:p>
    <w:p w14:paraId="27B8EA1E" w14:textId="39A9C660" w:rsidR="00D90216" w:rsidRPr="00D948C1" w:rsidRDefault="00BC6640" w:rsidP="000C442C">
      <w:pPr>
        <w:ind w:left="720"/>
        <w:rPr>
          <w:szCs w:val="24"/>
        </w:rPr>
      </w:pPr>
      <w:r w:rsidRPr="00AD7578">
        <w:rPr>
          <w:sz w:val="22"/>
          <w:szCs w:val="22"/>
          <w:highlight w:val="green"/>
        </w:rPr>
        <w:br w:type="page"/>
      </w:r>
      <w:r w:rsidR="0050693C" w:rsidRPr="003C6AA4">
        <w:rPr>
          <w:szCs w:val="24"/>
        </w:rPr>
        <w:lastRenderedPageBreak/>
        <w:t>In addition, t</w:t>
      </w:r>
      <w:r w:rsidR="00D90216" w:rsidRPr="003C6AA4">
        <w:rPr>
          <w:szCs w:val="24"/>
        </w:rPr>
        <w:t xml:space="preserve">he </w:t>
      </w:r>
      <w:r w:rsidR="0050693C" w:rsidRPr="003C6AA4">
        <w:rPr>
          <w:szCs w:val="24"/>
        </w:rPr>
        <w:t>a</w:t>
      </w:r>
      <w:r w:rsidR="00D90216" w:rsidRPr="003C6AA4">
        <w:rPr>
          <w:szCs w:val="24"/>
        </w:rPr>
        <w:t>ccount contains revaluation gains accumulated on Property, Plant and Equipment before 1 April 2007, the date the Revaluation Reserve was created to hold such gains.</w:t>
      </w:r>
    </w:p>
    <w:p w14:paraId="7BFA40BC" w14:textId="77777777" w:rsidR="00B753AF" w:rsidRPr="00D948C1" w:rsidRDefault="00B753AF" w:rsidP="002000FC">
      <w:pPr>
        <w:ind w:left="720"/>
        <w:jc w:val="both"/>
        <w:rPr>
          <w:sz w:val="22"/>
          <w:szCs w:val="22"/>
        </w:rPr>
      </w:pPr>
    </w:p>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AD7578" w:rsidRPr="00D948C1" w14:paraId="729CEAFF" w14:textId="77777777" w:rsidTr="00611673">
        <w:trPr>
          <w:trHeight w:hRule="exact" w:val="576"/>
        </w:trPr>
        <w:tc>
          <w:tcPr>
            <w:tcW w:w="4350" w:type="dxa"/>
            <w:shd w:val="clear" w:color="auto" w:fill="BD2716"/>
          </w:tcPr>
          <w:p w14:paraId="4A926335" w14:textId="77777777" w:rsidR="00AD7578" w:rsidRPr="00D948C1" w:rsidRDefault="00AD7578" w:rsidP="00AD7578">
            <w:pPr>
              <w:tabs>
                <w:tab w:val="left" w:pos="720"/>
                <w:tab w:val="center" w:pos="6930"/>
              </w:tabs>
              <w:rPr>
                <w:color w:val="FFFFFF" w:themeColor="background1"/>
                <w:szCs w:val="24"/>
              </w:rPr>
            </w:pPr>
          </w:p>
        </w:tc>
        <w:tc>
          <w:tcPr>
            <w:tcW w:w="1134" w:type="dxa"/>
            <w:shd w:val="clear" w:color="auto" w:fill="BD2716"/>
            <w:vAlign w:val="center"/>
          </w:tcPr>
          <w:p w14:paraId="49AB6664" w14:textId="77334E45" w:rsidR="00AD7578" w:rsidRPr="00D948C1" w:rsidRDefault="001A42DD" w:rsidP="00AD7578">
            <w:pPr>
              <w:jc w:val="right"/>
              <w:rPr>
                <w:color w:val="FFFFFF" w:themeColor="background1"/>
                <w:szCs w:val="24"/>
              </w:rPr>
            </w:pPr>
            <w:r>
              <w:rPr>
                <w:color w:val="FFFFFF" w:themeColor="background1"/>
                <w:szCs w:val="24"/>
              </w:rPr>
              <w:t>2025-26</w:t>
            </w:r>
          </w:p>
          <w:p w14:paraId="35100580" w14:textId="3AC50BB4"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81241B2" w14:textId="106603C1" w:rsidR="00AD7578" w:rsidRPr="00D948C1" w:rsidRDefault="001A42DD" w:rsidP="00AD7578">
            <w:pPr>
              <w:jc w:val="right"/>
              <w:rPr>
                <w:color w:val="FFFFFF" w:themeColor="background1"/>
                <w:szCs w:val="24"/>
              </w:rPr>
            </w:pPr>
            <w:r>
              <w:rPr>
                <w:color w:val="FFFFFF" w:themeColor="background1"/>
                <w:szCs w:val="24"/>
              </w:rPr>
              <w:t>2025-26</w:t>
            </w:r>
          </w:p>
          <w:p w14:paraId="6CF4CC48" w14:textId="2F6F186A"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557AD6BA" w14:textId="75F166F7" w:rsidR="00AD7578" w:rsidRPr="00D948C1" w:rsidRDefault="001A42DD" w:rsidP="00AD7578">
            <w:pPr>
              <w:jc w:val="right"/>
              <w:rPr>
                <w:color w:val="FFFFFF" w:themeColor="background1"/>
                <w:szCs w:val="24"/>
              </w:rPr>
            </w:pPr>
            <w:r>
              <w:rPr>
                <w:color w:val="FFFFFF" w:themeColor="background1"/>
                <w:szCs w:val="24"/>
              </w:rPr>
              <w:t>2024-25</w:t>
            </w:r>
          </w:p>
          <w:p w14:paraId="7213143E" w14:textId="648C8040"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7512A269" w14:textId="5423A0E6" w:rsidR="00AD7578" w:rsidRPr="00D948C1" w:rsidRDefault="001A42DD" w:rsidP="00AD7578">
            <w:pPr>
              <w:jc w:val="right"/>
              <w:rPr>
                <w:color w:val="FFFFFF" w:themeColor="background1"/>
                <w:szCs w:val="24"/>
              </w:rPr>
            </w:pPr>
            <w:r>
              <w:rPr>
                <w:color w:val="FFFFFF" w:themeColor="background1"/>
                <w:szCs w:val="24"/>
              </w:rPr>
              <w:t>2024-25</w:t>
            </w:r>
          </w:p>
          <w:p w14:paraId="064DD2CE" w14:textId="66ED90A6" w:rsidR="00AD7578" w:rsidRPr="00D948C1" w:rsidRDefault="00AD7578" w:rsidP="00AD7578">
            <w:pPr>
              <w:jc w:val="right"/>
              <w:rPr>
                <w:color w:val="FFFFFF" w:themeColor="background1"/>
                <w:szCs w:val="24"/>
              </w:rPr>
            </w:pPr>
            <w:r w:rsidRPr="00D948C1">
              <w:rPr>
                <w:color w:val="FFFFFF" w:themeColor="background1"/>
                <w:szCs w:val="24"/>
              </w:rPr>
              <w:t>£000</w:t>
            </w:r>
          </w:p>
        </w:tc>
      </w:tr>
      <w:tr w:rsidR="005666C0" w:rsidRPr="00D948C1" w14:paraId="04BCADAE" w14:textId="77777777" w:rsidTr="00DD63D7">
        <w:trPr>
          <w:trHeight w:hRule="exact" w:val="300"/>
        </w:trPr>
        <w:tc>
          <w:tcPr>
            <w:tcW w:w="4350" w:type="dxa"/>
          </w:tcPr>
          <w:p w14:paraId="1E79C4E1" w14:textId="77777777" w:rsidR="005666C0" w:rsidRPr="00D948C1" w:rsidRDefault="005666C0" w:rsidP="005666C0">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134" w:type="dxa"/>
            <w:vAlign w:val="center"/>
          </w:tcPr>
          <w:p w14:paraId="4082AC40" w14:textId="77777777" w:rsidR="005666C0" w:rsidRPr="00D948C1" w:rsidRDefault="005666C0" w:rsidP="005666C0">
            <w:pPr>
              <w:tabs>
                <w:tab w:val="decimal" w:pos="1080"/>
              </w:tabs>
              <w:jc w:val="right"/>
              <w:rPr>
                <w:szCs w:val="24"/>
              </w:rPr>
            </w:pPr>
          </w:p>
        </w:tc>
        <w:tc>
          <w:tcPr>
            <w:tcW w:w="1134" w:type="dxa"/>
            <w:vAlign w:val="center"/>
          </w:tcPr>
          <w:p w14:paraId="7016FC26" w14:textId="767F73E4" w:rsidR="005666C0" w:rsidRPr="00DF39E9" w:rsidRDefault="00AD7578" w:rsidP="005666C0">
            <w:pPr>
              <w:tabs>
                <w:tab w:val="decimal" w:pos="884"/>
              </w:tabs>
              <w:jc w:val="right"/>
              <w:rPr>
                <w:szCs w:val="24"/>
              </w:rPr>
            </w:pPr>
            <w:r w:rsidRPr="00DF39E9">
              <w:rPr>
                <w:szCs w:val="24"/>
              </w:rPr>
              <w:t>(43,858)</w:t>
            </w:r>
          </w:p>
        </w:tc>
        <w:tc>
          <w:tcPr>
            <w:tcW w:w="1134" w:type="dxa"/>
            <w:vAlign w:val="center"/>
          </w:tcPr>
          <w:p w14:paraId="01490F09" w14:textId="307E6C02" w:rsidR="005666C0" w:rsidRPr="00DF39E9" w:rsidRDefault="005666C0" w:rsidP="005666C0">
            <w:pPr>
              <w:tabs>
                <w:tab w:val="decimal" w:pos="1080"/>
              </w:tabs>
              <w:jc w:val="right"/>
              <w:rPr>
                <w:szCs w:val="24"/>
              </w:rPr>
            </w:pPr>
          </w:p>
          <w:p w14:paraId="3CD42309" w14:textId="128184E1" w:rsidR="00286E5C" w:rsidRPr="00DF39E9" w:rsidRDefault="00286E5C" w:rsidP="005666C0">
            <w:pPr>
              <w:tabs>
                <w:tab w:val="decimal" w:pos="1080"/>
              </w:tabs>
              <w:jc w:val="right"/>
              <w:rPr>
                <w:szCs w:val="24"/>
              </w:rPr>
            </w:pPr>
          </w:p>
        </w:tc>
        <w:tc>
          <w:tcPr>
            <w:tcW w:w="1134" w:type="dxa"/>
            <w:vAlign w:val="center"/>
          </w:tcPr>
          <w:p w14:paraId="3150D308" w14:textId="44FF0EB7" w:rsidR="005666C0" w:rsidRPr="00DF39E9" w:rsidRDefault="00AD7578" w:rsidP="005666C0">
            <w:pPr>
              <w:tabs>
                <w:tab w:val="decimal" w:pos="884"/>
              </w:tabs>
              <w:jc w:val="right"/>
              <w:rPr>
                <w:szCs w:val="24"/>
              </w:rPr>
            </w:pPr>
            <w:r w:rsidRPr="00294859">
              <w:rPr>
                <w:szCs w:val="24"/>
              </w:rPr>
              <w:t>(42,618)</w:t>
            </w:r>
          </w:p>
        </w:tc>
      </w:tr>
    </w:tbl>
    <w:p w14:paraId="03B03271" w14:textId="77777777" w:rsidR="00EC3487" w:rsidRPr="00D948C1" w:rsidRDefault="00EC3487"/>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EC3487" w:rsidRPr="00D948C1" w14:paraId="18F5F964" w14:textId="77777777" w:rsidTr="00C42769">
        <w:trPr>
          <w:trHeight w:hRule="exact" w:val="624"/>
        </w:trPr>
        <w:tc>
          <w:tcPr>
            <w:tcW w:w="8886" w:type="dxa"/>
            <w:gridSpan w:val="5"/>
            <w:shd w:val="clear" w:color="auto" w:fill="D9D9D9" w:themeFill="background1" w:themeFillShade="D9"/>
          </w:tcPr>
          <w:p w14:paraId="16857569" w14:textId="53203D8D" w:rsidR="00EC3487" w:rsidRPr="00D948C1" w:rsidRDefault="00EC3487" w:rsidP="00EC3487">
            <w:pPr>
              <w:tabs>
                <w:tab w:val="decimal" w:pos="885"/>
              </w:tabs>
              <w:rPr>
                <w:b/>
                <w:bCs/>
                <w:szCs w:val="24"/>
              </w:rPr>
            </w:pPr>
            <w:r w:rsidRPr="00D948C1">
              <w:rPr>
                <w:b/>
                <w:bCs/>
                <w:szCs w:val="24"/>
              </w:rPr>
              <w:t>Reversal of items relating to capital expenditure debited or credited to the Comprehensive Income and Expenditure Statement:</w:t>
            </w:r>
          </w:p>
        </w:tc>
      </w:tr>
      <w:tr w:rsidR="00AD7578" w:rsidRPr="00D948C1" w14:paraId="60080373" w14:textId="77777777" w:rsidTr="00C42769">
        <w:trPr>
          <w:trHeight w:hRule="exact" w:val="624"/>
        </w:trPr>
        <w:tc>
          <w:tcPr>
            <w:tcW w:w="4350" w:type="dxa"/>
          </w:tcPr>
          <w:p w14:paraId="2F6D264E" w14:textId="77777777" w:rsidR="00AD7578" w:rsidRPr="00D948C1" w:rsidRDefault="00AD7578" w:rsidP="00AD7578">
            <w:pPr>
              <w:numPr>
                <w:ilvl w:val="0"/>
                <w:numId w:val="15"/>
              </w:numPr>
              <w:tabs>
                <w:tab w:val="center" w:pos="6930"/>
              </w:tabs>
              <w:rPr>
                <w:szCs w:val="24"/>
              </w:rPr>
            </w:pPr>
            <w:r w:rsidRPr="00D948C1">
              <w:rPr>
                <w:szCs w:val="24"/>
              </w:rPr>
              <w:t>Charges for depreciation and impairment of non-current assets</w:t>
            </w:r>
          </w:p>
        </w:tc>
        <w:tc>
          <w:tcPr>
            <w:tcW w:w="1134" w:type="dxa"/>
            <w:vAlign w:val="center"/>
          </w:tcPr>
          <w:p w14:paraId="096341ED" w14:textId="017DCEF0" w:rsidR="00AD7578" w:rsidRPr="00294859" w:rsidRDefault="005C05C1" w:rsidP="00AD7578">
            <w:pPr>
              <w:tabs>
                <w:tab w:val="decimal" w:pos="884"/>
              </w:tabs>
              <w:jc w:val="right"/>
              <w:rPr>
                <w:szCs w:val="24"/>
              </w:rPr>
            </w:pPr>
            <w:r>
              <w:rPr>
                <w:szCs w:val="24"/>
              </w:rPr>
              <w:t>3,596</w:t>
            </w:r>
          </w:p>
        </w:tc>
        <w:tc>
          <w:tcPr>
            <w:tcW w:w="1134" w:type="dxa"/>
            <w:vAlign w:val="center"/>
          </w:tcPr>
          <w:p w14:paraId="3FE4CE6E" w14:textId="77777777" w:rsidR="00AD7578" w:rsidRPr="00294859" w:rsidRDefault="00AD7578" w:rsidP="00AD7578">
            <w:pPr>
              <w:tabs>
                <w:tab w:val="decimal" w:pos="885"/>
              </w:tabs>
              <w:jc w:val="right"/>
              <w:rPr>
                <w:szCs w:val="24"/>
              </w:rPr>
            </w:pPr>
          </w:p>
        </w:tc>
        <w:tc>
          <w:tcPr>
            <w:tcW w:w="1134" w:type="dxa"/>
            <w:vAlign w:val="center"/>
          </w:tcPr>
          <w:p w14:paraId="178F1043" w14:textId="4A6E2B92" w:rsidR="00AD7578" w:rsidRPr="00DF39E9" w:rsidRDefault="00AD7578" w:rsidP="00AD7578">
            <w:pPr>
              <w:tabs>
                <w:tab w:val="decimal" w:pos="884"/>
              </w:tabs>
              <w:jc w:val="right"/>
              <w:rPr>
                <w:szCs w:val="24"/>
              </w:rPr>
            </w:pPr>
            <w:r w:rsidRPr="00DF39E9">
              <w:rPr>
                <w:szCs w:val="24"/>
              </w:rPr>
              <w:t>3,330</w:t>
            </w:r>
          </w:p>
        </w:tc>
        <w:tc>
          <w:tcPr>
            <w:tcW w:w="1134" w:type="dxa"/>
            <w:vAlign w:val="center"/>
          </w:tcPr>
          <w:p w14:paraId="666F89D8" w14:textId="77777777" w:rsidR="00AD7578" w:rsidRPr="00DF39E9" w:rsidRDefault="00AD7578" w:rsidP="00AD7578">
            <w:pPr>
              <w:tabs>
                <w:tab w:val="decimal" w:pos="885"/>
              </w:tabs>
              <w:jc w:val="right"/>
              <w:rPr>
                <w:szCs w:val="24"/>
              </w:rPr>
            </w:pPr>
          </w:p>
        </w:tc>
      </w:tr>
      <w:tr w:rsidR="00AD7578" w:rsidRPr="00D948C1" w14:paraId="0027C3E2" w14:textId="77777777" w:rsidTr="00C42769">
        <w:trPr>
          <w:trHeight w:hRule="exact" w:val="624"/>
        </w:trPr>
        <w:tc>
          <w:tcPr>
            <w:tcW w:w="4350" w:type="dxa"/>
          </w:tcPr>
          <w:p w14:paraId="2E7946C5" w14:textId="77777777" w:rsidR="00AD7578" w:rsidRPr="00D948C1" w:rsidRDefault="00AD7578" w:rsidP="00AD7578">
            <w:pPr>
              <w:numPr>
                <w:ilvl w:val="0"/>
                <w:numId w:val="15"/>
              </w:numPr>
              <w:tabs>
                <w:tab w:val="center" w:pos="6930"/>
              </w:tabs>
              <w:rPr>
                <w:szCs w:val="24"/>
              </w:rPr>
            </w:pPr>
            <w:r w:rsidRPr="00D948C1">
              <w:rPr>
                <w:szCs w:val="24"/>
              </w:rPr>
              <w:t>Revaluation losses on Property, Plant &amp; Equipment</w:t>
            </w:r>
          </w:p>
        </w:tc>
        <w:tc>
          <w:tcPr>
            <w:tcW w:w="1134" w:type="dxa"/>
            <w:vAlign w:val="center"/>
          </w:tcPr>
          <w:p w14:paraId="7D9CADEF" w14:textId="7223BFFE" w:rsidR="00AD7578" w:rsidRPr="00294859" w:rsidRDefault="005C05C1" w:rsidP="00AD7578">
            <w:pPr>
              <w:tabs>
                <w:tab w:val="decimal" w:pos="884"/>
              </w:tabs>
              <w:jc w:val="right"/>
              <w:rPr>
                <w:szCs w:val="24"/>
              </w:rPr>
            </w:pPr>
            <w:r>
              <w:rPr>
                <w:szCs w:val="24"/>
              </w:rPr>
              <w:t>25</w:t>
            </w:r>
          </w:p>
        </w:tc>
        <w:tc>
          <w:tcPr>
            <w:tcW w:w="1134" w:type="dxa"/>
            <w:vAlign w:val="center"/>
          </w:tcPr>
          <w:p w14:paraId="7EC996C4" w14:textId="77777777" w:rsidR="00AD7578" w:rsidRPr="00294859" w:rsidRDefault="00AD7578" w:rsidP="00AD7578">
            <w:pPr>
              <w:tabs>
                <w:tab w:val="decimal" w:pos="885"/>
              </w:tabs>
              <w:jc w:val="right"/>
              <w:rPr>
                <w:szCs w:val="24"/>
              </w:rPr>
            </w:pPr>
          </w:p>
        </w:tc>
        <w:tc>
          <w:tcPr>
            <w:tcW w:w="1134" w:type="dxa"/>
            <w:vAlign w:val="center"/>
          </w:tcPr>
          <w:p w14:paraId="0E40A94A" w14:textId="7BE8A46A" w:rsidR="00AD7578" w:rsidRPr="00DF39E9" w:rsidRDefault="00AD7578" w:rsidP="00AD7578">
            <w:pPr>
              <w:tabs>
                <w:tab w:val="decimal" w:pos="884"/>
              </w:tabs>
              <w:jc w:val="right"/>
              <w:rPr>
                <w:szCs w:val="24"/>
              </w:rPr>
            </w:pPr>
            <w:r w:rsidRPr="00DF39E9">
              <w:rPr>
                <w:szCs w:val="24"/>
              </w:rPr>
              <w:t>71</w:t>
            </w:r>
          </w:p>
        </w:tc>
        <w:tc>
          <w:tcPr>
            <w:tcW w:w="1134" w:type="dxa"/>
            <w:vAlign w:val="center"/>
          </w:tcPr>
          <w:p w14:paraId="61AB3547" w14:textId="77777777" w:rsidR="00AD7578" w:rsidRPr="00DF39E9" w:rsidRDefault="00AD7578" w:rsidP="00AD7578">
            <w:pPr>
              <w:tabs>
                <w:tab w:val="decimal" w:pos="885"/>
              </w:tabs>
              <w:jc w:val="right"/>
              <w:rPr>
                <w:szCs w:val="24"/>
              </w:rPr>
            </w:pPr>
          </w:p>
        </w:tc>
      </w:tr>
      <w:tr w:rsidR="00AD7578" w:rsidRPr="00D948C1" w14:paraId="3869953C" w14:textId="77777777" w:rsidTr="00DD63D7">
        <w:trPr>
          <w:trHeight w:hRule="exact" w:val="300"/>
        </w:trPr>
        <w:tc>
          <w:tcPr>
            <w:tcW w:w="4350" w:type="dxa"/>
          </w:tcPr>
          <w:p w14:paraId="10925579" w14:textId="77777777" w:rsidR="00AD7578" w:rsidRPr="00D948C1" w:rsidRDefault="00AD7578" w:rsidP="00AD7578">
            <w:pPr>
              <w:numPr>
                <w:ilvl w:val="0"/>
                <w:numId w:val="15"/>
              </w:numPr>
              <w:tabs>
                <w:tab w:val="center" w:pos="6930"/>
              </w:tabs>
              <w:rPr>
                <w:szCs w:val="24"/>
              </w:rPr>
            </w:pPr>
            <w:r w:rsidRPr="00D948C1">
              <w:rPr>
                <w:szCs w:val="24"/>
              </w:rPr>
              <w:t>Amortisation of intangible assets</w:t>
            </w:r>
          </w:p>
        </w:tc>
        <w:tc>
          <w:tcPr>
            <w:tcW w:w="1134" w:type="dxa"/>
            <w:vAlign w:val="center"/>
          </w:tcPr>
          <w:p w14:paraId="58E5C86A" w14:textId="14EC24F6" w:rsidR="00AD7578" w:rsidRPr="00294859" w:rsidRDefault="005C05C1" w:rsidP="00AD7578">
            <w:pPr>
              <w:tabs>
                <w:tab w:val="decimal" w:pos="884"/>
              </w:tabs>
              <w:jc w:val="right"/>
              <w:rPr>
                <w:szCs w:val="24"/>
              </w:rPr>
            </w:pPr>
            <w:r>
              <w:rPr>
                <w:szCs w:val="24"/>
              </w:rPr>
              <w:t>111</w:t>
            </w:r>
          </w:p>
        </w:tc>
        <w:tc>
          <w:tcPr>
            <w:tcW w:w="1134" w:type="dxa"/>
            <w:vAlign w:val="center"/>
          </w:tcPr>
          <w:p w14:paraId="02468154" w14:textId="77777777" w:rsidR="00AD7578" w:rsidRPr="00294859" w:rsidRDefault="00AD7578" w:rsidP="00AD7578">
            <w:pPr>
              <w:tabs>
                <w:tab w:val="decimal" w:pos="885"/>
              </w:tabs>
              <w:jc w:val="right"/>
              <w:rPr>
                <w:szCs w:val="24"/>
              </w:rPr>
            </w:pPr>
          </w:p>
        </w:tc>
        <w:tc>
          <w:tcPr>
            <w:tcW w:w="1134" w:type="dxa"/>
            <w:vAlign w:val="center"/>
          </w:tcPr>
          <w:p w14:paraId="65DC3201" w14:textId="21799DB3" w:rsidR="00AD7578" w:rsidRPr="00DF39E9" w:rsidRDefault="00AD7578" w:rsidP="00AD7578">
            <w:pPr>
              <w:tabs>
                <w:tab w:val="decimal" w:pos="884"/>
              </w:tabs>
              <w:jc w:val="right"/>
              <w:rPr>
                <w:szCs w:val="24"/>
              </w:rPr>
            </w:pPr>
            <w:r w:rsidRPr="00DF39E9">
              <w:rPr>
                <w:szCs w:val="24"/>
              </w:rPr>
              <w:t>219</w:t>
            </w:r>
          </w:p>
        </w:tc>
        <w:tc>
          <w:tcPr>
            <w:tcW w:w="1134" w:type="dxa"/>
            <w:vAlign w:val="center"/>
          </w:tcPr>
          <w:p w14:paraId="4B773CF0" w14:textId="77777777" w:rsidR="00AD7578" w:rsidRPr="00DF39E9" w:rsidRDefault="00AD7578" w:rsidP="00AD7578">
            <w:pPr>
              <w:tabs>
                <w:tab w:val="decimal" w:pos="885"/>
              </w:tabs>
              <w:jc w:val="right"/>
              <w:rPr>
                <w:szCs w:val="24"/>
              </w:rPr>
            </w:pPr>
          </w:p>
        </w:tc>
      </w:tr>
      <w:tr w:rsidR="00AD7578" w:rsidRPr="00D948C1" w14:paraId="25EDFDDE" w14:textId="77777777" w:rsidTr="00DD63D7">
        <w:trPr>
          <w:trHeight w:hRule="exact" w:val="300"/>
        </w:trPr>
        <w:tc>
          <w:tcPr>
            <w:tcW w:w="4350" w:type="dxa"/>
          </w:tcPr>
          <w:p w14:paraId="458EF4AA" w14:textId="53006645" w:rsidR="00AD7578" w:rsidRPr="00D948C1" w:rsidRDefault="00AD7578" w:rsidP="00AD7578">
            <w:pPr>
              <w:tabs>
                <w:tab w:val="left" w:pos="720"/>
                <w:tab w:val="center" w:pos="6930"/>
              </w:tabs>
              <w:rPr>
                <w:szCs w:val="24"/>
              </w:rPr>
            </w:pPr>
            <w:r w:rsidRPr="00D948C1">
              <w:rPr>
                <w:szCs w:val="24"/>
              </w:rPr>
              <w:t>Sub-total</w:t>
            </w:r>
          </w:p>
        </w:tc>
        <w:tc>
          <w:tcPr>
            <w:tcW w:w="1134" w:type="dxa"/>
            <w:vAlign w:val="center"/>
          </w:tcPr>
          <w:p w14:paraId="184CFDBE" w14:textId="77777777" w:rsidR="00AD7578" w:rsidRPr="00294859" w:rsidRDefault="00AD7578" w:rsidP="00AD7578">
            <w:pPr>
              <w:tabs>
                <w:tab w:val="decimal" w:pos="1080"/>
              </w:tabs>
              <w:jc w:val="right"/>
              <w:rPr>
                <w:szCs w:val="24"/>
              </w:rPr>
            </w:pPr>
          </w:p>
        </w:tc>
        <w:tc>
          <w:tcPr>
            <w:tcW w:w="1134" w:type="dxa"/>
            <w:vAlign w:val="center"/>
          </w:tcPr>
          <w:p w14:paraId="5CAF2FA6" w14:textId="721A115A" w:rsidR="00AD7578" w:rsidRPr="00294859" w:rsidRDefault="005C05C1" w:rsidP="00AD7578">
            <w:pPr>
              <w:tabs>
                <w:tab w:val="decimal" w:pos="885"/>
              </w:tabs>
              <w:jc w:val="right"/>
              <w:rPr>
                <w:szCs w:val="24"/>
              </w:rPr>
            </w:pPr>
            <w:r>
              <w:rPr>
                <w:szCs w:val="24"/>
              </w:rPr>
              <w:t>3,732</w:t>
            </w:r>
          </w:p>
        </w:tc>
        <w:tc>
          <w:tcPr>
            <w:tcW w:w="1134" w:type="dxa"/>
            <w:vAlign w:val="center"/>
          </w:tcPr>
          <w:p w14:paraId="47C3D409" w14:textId="77777777" w:rsidR="00AD7578" w:rsidRPr="00DF39E9" w:rsidRDefault="00AD7578" w:rsidP="00AD7578">
            <w:pPr>
              <w:tabs>
                <w:tab w:val="decimal" w:pos="1080"/>
              </w:tabs>
              <w:jc w:val="right"/>
              <w:rPr>
                <w:szCs w:val="24"/>
              </w:rPr>
            </w:pPr>
          </w:p>
        </w:tc>
        <w:tc>
          <w:tcPr>
            <w:tcW w:w="1134" w:type="dxa"/>
            <w:vAlign w:val="center"/>
          </w:tcPr>
          <w:p w14:paraId="3EAA4A37" w14:textId="0C3DA899" w:rsidR="00AD7578" w:rsidRPr="00DF39E9" w:rsidRDefault="00AD7578" w:rsidP="00AD7578">
            <w:pPr>
              <w:tabs>
                <w:tab w:val="decimal" w:pos="885"/>
              </w:tabs>
              <w:jc w:val="right"/>
              <w:rPr>
                <w:szCs w:val="24"/>
              </w:rPr>
            </w:pPr>
            <w:r w:rsidRPr="00DF39E9">
              <w:rPr>
                <w:szCs w:val="24"/>
              </w:rPr>
              <w:t>3,619</w:t>
            </w:r>
          </w:p>
        </w:tc>
      </w:tr>
      <w:tr w:rsidR="00AD7578" w:rsidRPr="00D948C1" w14:paraId="35225D5F" w14:textId="77777777" w:rsidTr="00C42769">
        <w:trPr>
          <w:trHeight w:hRule="exact" w:val="856"/>
        </w:trPr>
        <w:tc>
          <w:tcPr>
            <w:tcW w:w="4350" w:type="dxa"/>
          </w:tcPr>
          <w:p w14:paraId="3630F7FA" w14:textId="77777777" w:rsidR="00AD7578" w:rsidRPr="00D948C1" w:rsidRDefault="00AD7578" w:rsidP="00AD7578">
            <w:pPr>
              <w:rPr>
                <w:rFonts w:cs="Arial"/>
                <w:szCs w:val="24"/>
              </w:rPr>
            </w:pPr>
            <w:r w:rsidRPr="00D948C1">
              <w:rPr>
                <w:rFonts w:cs="Arial"/>
                <w:szCs w:val="24"/>
              </w:rPr>
              <w:t>Disposal of assets via the Comprehensive Income &amp; Expenditure Statement</w:t>
            </w:r>
          </w:p>
        </w:tc>
        <w:tc>
          <w:tcPr>
            <w:tcW w:w="1134" w:type="dxa"/>
            <w:vAlign w:val="center"/>
          </w:tcPr>
          <w:p w14:paraId="0FA612DB" w14:textId="77777777" w:rsidR="00AD7578" w:rsidRPr="00294859" w:rsidRDefault="00AD7578" w:rsidP="00AD7578">
            <w:pPr>
              <w:tabs>
                <w:tab w:val="decimal" w:pos="1080"/>
              </w:tabs>
              <w:jc w:val="right"/>
              <w:rPr>
                <w:szCs w:val="24"/>
              </w:rPr>
            </w:pPr>
          </w:p>
        </w:tc>
        <w:tc>
          <w:tcPr>
            <w:tcW w:w="1134" w:type="dxa"/>
            <w:vAlign w:val="center"/>
          </w:tcPr>
          <w:p w14:paraId="712E17A6" w14:textId="6D18949E" w:rsidR="00AD7578" w:rsidRPr="00294859" w:rsidRDefault="005C05C1" w:rsidP="00AD7578">
            <w:pPr>
              <w:tabs>
                <w:tab w:val="decimal" w:pos="885"/>
              </w:tabs>
              <w:jc w:val="right"/>
              <w:rPr>
                <w:szCs w:val="24"/>
              </w:rPr>
            </w:pPr>
            <w:r>
              <w:rPr>
                <w:szCs w:val="24"/>
              </w:rPr>
              <w:t>4</w:t>
            </w:r>
          </w:p>
        </w:tc>
        <w:tc>
          <w:tcPr>
            <w:tcW w:w="1134" w:type="dxa"/>
            <w:vAlign w:val="center"/>
          </w:tcPr>
          <w:p w14:paraId="104E2F12" w14:textId="77777777" w:rsidR="00AD7578" w:rsidRPr="00DF39E9" w:rsidRDefault="00AD7578" w:rsidP="00AD7578">
            <w:pPr>
              <w:tabs>
                <w:tab w:val="decimal" w:pos="1080"/>
              </w:tabs>
              <w:jc w:val="right"/>
              <w:rPr>
                <w:szCs w:val="24"/>
              </w:rPr>
            </w:pPr>
          </w:p>
        </w:tc>
        <w:tc>
          <w:tcPr>
            <w:tcW w:w="1134" w:type="dxa"/>
            <w:vAlign w:val="center"/>
          </w:tcPr>
          <w:p w14:paraId="538875F7" w14:textId="39DBDBAF" w:rsidR="00AD7578" w:rsidRPr="00DF39E9" w:rsidRDefault="00AD7578" w:rsidP="00AD7578">
            <w:pPr>
              <w:tabs>
                <w:tab w:val="decimal" w:pos="885"/>
              </w:tabs>
              <w:jc w:val="right"/>
              <w:rPr>
                <w:szCs w:val="24"/>
              </w:rPr>
            </w:pPr>
            <w:r w:rsidRPr="00DF39E9">
              <w:rPr>
                <w:szCs w:val="24"/>
              </w:rPr>
              <w:t>7</w:t>
            </w:r>
          </w:p>
        </w:tc>
      </w:tr>
      <w:tr w:rsidR="00AD7578" w:rsidRPr="00D948C1" w14:paraId="5AEA2F21" w14:textId="77777777" w:rsidTr="00C42769">
        <w:trPr>
          <w:trHeight w:hRule="exact" w:val="624"/>
        </w:trPr>
        <w:tc>
          <w:tcPr>
            <w:tcW w:w="4350" w:type="dxa"/>
          </w:tcPr>
          <w:p w14:paraId="0264DAC9" w14:textId="77777777" w:rsidR="00AD7578" w:rsidRPr="00D948C1" w:rsidRDefault="00AD7578" w:rsidP="00AD7578">
            <w:pPr>
              <w:rPr>
                <w:rFonts w:cs="Arial"/>
                <w:szCs w:val="24"/>
              </w:rPr>
            </w:pPr>
            <w:r w:rsidRPr="00D948C1">
              <w:rPr>
                <w:rFonts w:cs="Arial"/>
                <w:szCs w:val="24"/>
              </w:rPr>
              <w:t>Adjusting amounts written out of the Revaluation Reserve</w:t>
            </w:r>
          </w:p>
          <w:p w14:paraId="7229F941" w14:textId="77777777" w:rsidR="00AD7578" w:rsidRPr="00D948C1" w:rsidRDefault="00AD7578" w:rsidP="00AD7578">
            <w:pPr>
              <w:tabs>
                <w:tab w:val="left" w:pos="720"/>
                <w:tab w:val="center" w:pos="6930"/>
              </w:tabs>
              <w:rPr>
                <w:szCs w:val="24"/>
              </w:rPr>
            </w:pPr>
          </w:p>
        </w:tc>
        <w:tc>
          <w:tcPr>
            <w:tcW w:w="1134" w:type="dxa"/>
            <w:vAlign w:val="center"/>
          </w:tcPr>
          <w:p w14:paraId="4F4C2136" w14:textId="77777777" w:rsidR="00AD7578" w:rsidRPr="00294859" w:rsidRDefault="00AD7578" w:rsidP="00AD7578">
            <w:pPr>
              <w:tabs>
                <w:tab w:val="decimal" w:pos="1080"/>
              </w:tabs>
              <w:jc w:val="right"/>
              <w:rPr>
                <w:szCs w:val="24"/>
              </w:rPr>
            </w:pPr>
          </w:p>
        </w:tc>
        <w:tc>
          <w:tcPr>
            <w:tcW w:w="1134" w:type="dxa"/>
            <w:vAlign w:val="center"/>
          </w:tcPr>
          <w:p w14:paraId="36A2E311" w14:textId="630A5307" w:rsidR="00AD7578" w:rsidRPr="00294859" w:rsidRDefault="005C05C1" w:rsidP="00AD7578">
            <w:pPr>
              <w:tabs>
                <w:tab w:val="decimal" w:pos="885"/>
              </w:tabs>
              <w:jc w:val="right"/>
              <w:rPr>
                <w:szCs w:val="24"/>
              </w:rPr>
            </w:pPr>
            <w:r>
              <w:rPr>
                <w:szCs w:val="24"/>
              </w:rPr>
              <w:t>-</w:t>
            </w:r>
          </w:p>
        </w:tc>
        <w:tc>
          <w:tcPr>
            <w:tcW w:w="1134" w:type="dxa"/>
            <w:vAlign w:val="center"/>
          </w:tcPr>
          <w:p w14:paraId="21EDE3D6" w14:textId="77777777" w:rsidR="00AD7578" w:rsidRPr="00DF39E9" w:rsidRDefault="00AD7578" w:rsidP="00AD7578">
            <w:pPr>
              <w:tabs>
                <w:tab w:val="decimal" w:pos="1080"/>
              </w:tabs>
              <w:jc w:val="right"/>
              <w:rPr>
                <w:szCs w:val="24"/>
              </w:rPr>
            </w:pPr>
          </w:p>
        </w:tc>
        <w:tc>
          <w:tcPr>
            <w:tcW w:w="1134" w:type="dxa"/>
            <w:vAlign w:val="center"/>
          </w:tcPr>
          <w:p w14:paraId="42C6AD11" w14:textId="662CC82C" w:rsidR="00AD7578" w:rsidRPr="00DF39E9" w:rsidRDefault="00AD7578" w:rsidP="00AD7578">
            <w:pPr>
              <w:tabs>
                <w:tab w:val="decimal" w:pos="885"/>
              </w:tabs>
              <w:jc w:val="right"/>
              <w:rPr>
                <w:szCs w:val="24"/>
              </w:rPr>
            </w:pPr>
            <w:r w:rsidRPr="00DF39E9">
              <w:rPr>
                <w:szCs w:val="24"/>
              </w:rPr>
              <w:t>-</w:t>
            </w:r>
          </w:p>
        </w:tc>
      </w:tr>
      <w:tr w:rsidR="00AD7578" w:rsidRPr="00D948C1" w14:paraId="1910D956" w14:textId="77777777" w:rsidTr="0059772F">
        <w:trPr>
          <w:trHeight w:hRule="exact" w:val="856"/>
        </w:trPr>
        <w:tc>
          <w:tcPr>
            <w:tcW w:w="4350" w:type="dxa"/>
          </w:tcPr>
          <w:p w14:paraId="651EE98A" w14:textId="77777777" w:rsidR="00AD7578" w:rsidRPr="00D948C1" w:rsidRDefault="00AD7578" w:rsidP="00AD7578">
            <w:pPr>
              <w:tabs>
                <w:tab w:val="left" w:pos="720"/>
                <w:tab w:val="center" w:pos="6930"/>
              </w:tabs>
              <w:rPr>
                <w:szCs w:val="24"/>
              </w:rPr>
            </w:pPr>
            <w:r w:rsidRPr="00D948C1">
              <w:rPr>
                <w:szCs w:val="24"/>
              </w:rPr>
              <w:t>Net amount written out of the cost of non-current assets consumed in the year</w:t>
            </w:r>
          </w:p>
        </w:tc>
        <w:tc>
          <w:tcPr>
            <w:tcW w:w="1134" w:type="dxa"/>
            <w:vAlign w:val="center"/>
          </w:tcPr>
          <w:p w14:paraId="6DF24A31" w14:textId="77777777" w:rsidR="00AD7578" w:rsidRPr="00294859" w:rsidRDefault="00AD7578" w:rsidP="00AD7578">
            <w:pPr>
              <w:tabs>
                <w:tab w:val="decimal" w:pos="1080"/>
              </w:tabs>
              <w:jc w:val="right"/>
              <w:rPr>
                <w:szCs w:val="24"/>
              </w:rPr>
            </w:pPr>
          </w:p>
        </w:tc>
        <w:tc>
          <w:tcPr>
            <w:tcW w:w="1134" w:type="dxa"/>
            <w:vAlign w:val="center"/>
          </w:tcPr>
          <w:p w14:paraId="03152BB2" w14:textId="2DC66E1E" w:rsidR="00AD7578" w:rsidRPr="00294859" w:rsidRDefault="005C05C1" w:rsidP="00AD7578">
            <w:pPr>
              <w:tabs>
                <w:tab w:val="decimal" w:pos="885"/>
              </w:tabs>
              <w:jc w:val="right"/>
              <w:rPr>
                <w:szCs w:val="24"/>
              </w:rPr>
            </w:pPr>
            <w:r>
              <w:rPr>
                <w:szCs w:val="24"/>
              </w:rPr>
              <w:t>3,735</w:t>
            </w:r>
          </w:p>
        </w:tc>
        <w:tc>
          <w:tcPr>
            <w:tcW w:w="1134" w:type="dxa"/>
            <w:vAlign w:val="center"/>
          </w:tcPr>
          <w:p w14:paraId="5E3A02BC" w14:textId="77777777" w:rsidR="00AD7578" w:rsidRPr="00DF39E9" w:rsidRDefault="00AD7578" w:rsidP="00AD7578">
            <w:pPr>
              <w:tabs>
                <w:tab w:val="decimal" w:pos="1080"/>
              </w:tabs>
              <w:jc w:val="right"/>
              <w:rPr>
                <w:szCs w:val="24"/>
              </w:rPr>
            </w:pPr>
          </w:p>
        </w:tc>
        <w:tc>
          <w:tcPr>
            <w:tcW w:w="1134" w:type="dxa"/>
            <w:vAlign w:val="center"/>
          </w:tcPr>
          <w:p w14:paraId="5FCB65E5" w14:textId="58293EEA" w:rsidR="00AD7578" w:rsidRPr="00DF39E9" w:rsidRDefault="00AD7578" w:rsidP="00AD7578">
            <w:pPr>
              <w:tabs>
                <w:tab w:val="decimal" w:pos="885"/>
              </w:tabs>
              <w:jc w:val="right"/>
              <w:rPr>
                <w:szCs w:val="24"/>
              </w:rPr>
            </w:pPr>
            <w:r w:rsidRPr="00DF39E9">
              <w:rPr>
                <w:szCs w:val="24"/>
              </w:rPr>
              <w:t>3,627</w:t>
            </w:r>
          </w:p>
        </w:tc>
      </w:tr>
    </w:tbl>
    <w:p w14:paraId="4A43E92F" w14:textId="77777777" w:rsidR="00EC3487" w:rsidRPr="00D948C1" w:rsidRDefault="00EC3487"/>
    <w:tbl>
      <w:tblPr>
        <w:tblW w:w="8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0"/>
        <w:gridCol w:w="1134"/>
        <w:gridCol w:w="1134"/>
        <w:gridCol w:w="1134"/>
        <w:gridCol w:w="1134"/>
      </w:tblGrid>
      <w:tr w:rsidR="00982FEC" w:rsidRPr="00D948C1" w14:paraId="327BFF78" w14:textId="77777777" w:rsidTr="00982FEC">
        <w:trPr>
          <w:trHeight w:hRule="exact" w:val="300"/>
        </w:trPr>
        <w:tc>
          <w:tcPr>
            <w:tcW w:w="8886" w:type="dxa"/>
            <w:gridSpan w:val="5"/>
            <w:shd w:val="clear" w:color="auto" w:fill="D9D9D9" w:themeFill="background1" w:themeFillShade="D9"/>
          </w:tcPr>
          <w:p w14:paraId="5A9C1FC7" w14:textId="662BDBAE" w:rsidR="00982FEC" w:rsidRPr="00D948C1" w:rsidRDefault="00982FEC" w:rsidP="00982FEC">
            <w:pPr>
              <w:tabs>
                <w:tab w:val="decimal" w:pos="885"/>
              </w:tabs>
              <w:rPr>
                <w:b/>
                <w:bCs/>
                <w:szCs w:val="24"/>
              </w:rPr>
            </w:pPr>
            <w:r w:rsidRPr="00D948C1">
              <w:rPr>
                <w:b/>
                <w:bCs/>
                <w:szCs w:val="24"/>
              </w:rPr>
              <w:t>Capital financing applied in the year:</w:t>
            </w:r>
          </w:p>
        </w:tc>
      </w:tr>
      <w:tr w:rsidR="00AD7578" w:rsidRPr="00D948C1" w14:paraId="313618B4" w14:textId="77777777" w:rsidTr="00C42769">
        <w:trPr>
          <w:trHeight w:hRule="exact" w:val="624"/>
        </w:trPr>
        <w:tc>
          <w:tcPr>
            <w:tcW w:w="4350" w:type="dxa"/>
          </w:tcPr>
          <w:p w14:paraId="5A0460D4" w14:textId="5E467E9B" w:rsidR="00AD7578" w:rsidRPr="00D948C1" w:rsidRDefault="00AD7578" w:rsidP="00AD7578">
            <w:pPr>
              <w:numPr>
                <w:ilvl w:val="0"/>
                <w:numId w:val="15"/>
              </w:numPr>
              <w:tabs>
                <w:tab w:val="center" w:pos="6930"/>
              </w:tabs>
              <w:rPr>
                <w:szCs w:val="24"/>
              </w:rPr>
            </w:pPr>
            <w:r>
              <w:rPr>
                <w:szCs w:val="24"/>
              </w:rPr>
              <w:t>Prior year financing of NWFC capital assets</w:t>
            </w:r>
          </w:p>
        </w:tc>
        <w:tc>
          <w:tcPr>
            <w:tcW w:w="1134" w:type="dxa"/>
            <w:vAlign w:val="center"/>
          </w:tcPr>
          <w:p w14:paraId="4D1B782B" w14:textId="0EC75418" w:rsidR="00AD7578" w:rsidRPr="00294859" w:rsidRDefault="005F40E0" w:rsidP="00AD7578">
            <w:pPr>
              <w:tabs>
                <w:tab w:val="decimal" w:pos="885"/>
              </w:tabs>
              <w:jc w:val="right"/>
              <w:rPr>
                <w:szCs w:val="24"/>
              </w:rPr>
            </w:pPr>
            <w:r>
              <w:rPr>
                <w:szCs w:val="24"/>
              </w:rPr>
              <w:t>-</w:t>
            </w:r>
          </w:p>
        </w:tc>
        <w:tc>
          <w:tcPr>
            <w:tcW w:w="1134" w:type="dxa"/>
            <w:vAlign w:val="center"/>
          </w:tcPr>
          <w:p w14:paraId="31DDEAA8" w14:textId="77777777" w:rsidR="00AD7578" w:rsidRPr="00294859" w:rsidRDefault="00AD7578" w:rsidP="00AD7578">
            <w:pPr>
              <w:tabs>
                <w:tab w:val="decimal" w:pos="885"/>
              </w:tabs>
              <w:jc w:val="right"/>
              <w:rPr>
                <w:szCs w:val="24"/>
              </w:rPr>
            </w:pPr>
          </w:p>
        </w:tc>
        <w:tc>
          <w:tcPr>
            <w:tcW w:w="1134" w:type="dxa"/>
            <w:vAlign w:val="center"/>
          </w:tcPr>
          <w:p w14:paraId="315F4844" w14:textId="42A361B4" w:rsidR="00AD7578" w:rsidRPr="00DF39E9" w:rsidRDefault="00AD7578" w:rsidP="00AD7578">
            <w:pPr>
              <w:tabs>
                <w:tab w:val="decimal" w:pos="885"/>
              </w:tabs>
              <w:jc w:val="right"/>
              <w:rPr>
                <w:szCs w:val="24"/>
              </w:rPr>
            </w:pPr>
            <w:r w:rsidRPr="00DF39E9">
              <w:rPr>
                <w:szCs w:val="24"/>
              </w:rPr>
              <w:t>-</w:t>
            </w:r>
          </w:p>
        </w:tc>
        <w:tc>
          <w:tcPr>
            <w:tcW w:w="1134" w:type="dxa"/>
            <w:vAlign w:val="center"/>
          </w:tcPr>
          <w:p w14:paraId="2F642D99" w14:textId="77777777" w:rsidR="00AD7578" w:rsidRPr="00DF39E9" w:rsidRDefault="00AD7578" w:rsidP="00AD7578">
            <w:pPr>
              <w:tabs>
                <w:tab w:val="decimal" w:pos="885"/>
              </w:tabs>
              <w:jc w:val="right"/>
              <w:rPr>
                <w:szCs w:val="24"/>
              </w:rPr>
            </w:pPr>
          </w:p>
        </w:tc>
      </w:tr>
      <w:tr w:rsidR="00AD7578" w:rsidRPr="00D948C1" w14:paraId="189BDEA3" w14:textId="77777777" w:rsidTr="00746F3D">
        <w:trPr>
          <w:trHeight w:hRule="exact" w:val="857"/>
        </w:trPr>
        <w:tc>
          <w:tcPr>
            <w:tcW w:w="4350" w:type="dxa"/>
          </w:tcPr>
          <w:p w14:paraId="035E8E3B" w14:textId="77777777" w:rsidR="00AD7578" w:rsidRPr="00D948C1" w:rsidRDefault="00AD7578" w:rsidP="00AD7578">
            <w:pPr>
              <w:numPr>
                <w:ilvl w:val="0"/>
                <w:numId w:val="15"/>
              </w:numPr>
              <w:tabs>
                <w:tab w:val="center" w:pos="6930"/>
              </w:tabs>
              <w:rPr>
                <w:szCs w:val="24"/>
              </w:rPr>
            </w:pPr>
            <w:r w:rsidRPr="00D948C1">
              <w:rPr>
                <w:szCs w:val="24"/>
              </w:rPr>
              <w:t>Statutory provision for financing of capital investment charged against General Fund</w:t>
            </w:r>
          </w:p>
        </w:tc>
        <w:tc>
          <w:tcPr>
            <w:tcW w:w="1134" w:type="dxa"/>
            <w:vAlign w:val="center"/>
          </w:tcPr>
          <w:p w14:paraId="5D8322EE" w14:textId="4201D6B1" w:rsidR="00AD7578" w:rsidRPr="00294859" w:rsidRDefault="005F40E0" w:rsidP="00AD7578">
            <w:pPr>
              <w:tabs>
                <w:tab w:val="decimal" w:pos="885"/>
              </w:tabs>
              <w:jc w:val="right"/>
              <w:rPr>
                <w:szCs w:val="24"/>
              </w:rPr>
            </w:pPr>
            <w:r>
              <w:rPr>
                <w:szCs w:val="24"/>
              </w:rPr>
              <w:t>(670)</w:t>
            </w:r>
          </w:p>
        </w:tc>
        <w:tc>
          <w:tcPr>
            <w:tcW w:w="1134" w:type="dxa"/>
            <w:vAlign w:val="center"/>
          </w:tcPr>
          <w:p w14:paraId="0ADFF8D4" w14:textId="77777777" w:rsidR="00AD7578" w:rsidRPr="00294859" w:rsidRDefault="00AD7578" w:rsidP="00AD7578">
            <w:pPr>
              <w:tabs>
                <w:tab w:val="decimal" w:pos="885"/>
              </w:tabs>
              <w:jc w:val="right"/>
              <w:rPr>
                <w:szCs w:val="24"/>
              </w:rPr>
            </w:pPr>
          </w:p>
        </w:tc>
        <w:tc>
          <w:tcPr>
            <w:tcW w:w="1134" w:type="dxa"/>
            <w:vAlign w:val="center"/>
          </w:tcPr>
          <w:p w14:paraId="5736A2E2" w14:textId="3067A8C1" w:rsidR="00AD7578" w:rsidRPr="00DF39E9" w:rsidRDefault="00AD7578" w:rsidP="00AD7578">
            <w:pPr>
              <w:tabs>
                <w:tab w:val="decimal" w:pos="885"/>
              </w:tabs>
              <w:jc w:val="right"/>
              <w:rPr>
                <w:szCs w:val="24"/>
              </w:rPr>
            </w:pPr>
            <w:r w:rsidRPr="00DF39E9">
              <w:rPr>
                <w:szCs w:val="24"/>
              </w:rPr>
              <w:t>(606)</w:t>
            </w:r>
          </w:p>
        </w:tc>
        <w:tc>
          <w:tcPr>
            <w:tcW w:w="1134" w:type="dxa"/>
            <w:vAlign w:val="center"/>
          </w:tcPr>
          <w:p w14:paraId="6613972F" w14:textId="77777777" w:rsidR="00AD7578" w:rsidRPr="00DF39E9" w:rsidRDefault="00AD7578" w:rsidP="00AD7578">
            <w:pPr>
              <w:tabs>
                <w:tab w:val="decimal" w:pos="885"/>
              </w:tabs>
              <w:jc w:val="right"/>
              <w:rPr>
                <w:szCs w:val="24"/>
              </w:rPr>
            </w:pPr>
          </w:p>
        </w:tc>
      </w:tr>
      <w:tr w:rsidR="00AD7578" w:rsidRPr="00D948C1" w14:paraId="12070B1F" w14:textId="77777777" w:rsidTr="00746F3D">
        <w:trPr>
          <w:trHeight w:hRule="exact" w:val="624"/>
        </w:trPr>
        <w:tc>
          <w:tcPr>
            <w:tcW w:w="4350" w:type="dxa"/>
          </w:tcPr>
          <w:p w14:paraId="55969B01" w14:textId="77777777" w:rsidR="00AD7578" w:rsidRPr="00D948C1" w:rsidRDefault="00AD7578" w:rsidP="00AD7578">
            <w:pPr>
              <w:numPr>
                <w:ilvl w:val="0"/>
                <w:numId w:val="15"/>
              </w:numPr>
              <w:tabs>
                <w:tab w:val="center" w:pos="6930"/>
              </w:tabs>
              <w:rPr>
                <w:szCs w:val="24"/>
              </w:rPr>
            </w:pPr>
            <w:r w:rsidRPr="00D948C1">
              <w:rPr>
                <w:szCs w:val="24"/>
              </w:rPr>
              <w:t>Use of capital reserves to fund expenditure</w:t>
            </w:r>
          </w:p>
          <w:p w14:paraId="0DC55281" w14:textId="77777777" w:rsidR="00AD7578" w:rsidRPr="00D948C1" w:rsidRDefault="00AD7578" w:rsidP="00AD7578">
            <w:pPr>
              <w:tabs>
                <w:tab w:val="center" w:pos="6930"/>
              </w:tabs>
              <w:ind w:left="360"/>
              <w:rPr>
                <w:szCs w:val="24"/>
              </w:rPr>
            </w:pPr>
          </w:p>
        </w:tc>
        <w:tc>
          <w:tcPr>
            <w:tcW w:w="1134" w:type="dxa"/>
            <w:vAlign w:val="center"/>
          </w:tcPr>
          <w:p w14:paraId="65FAC9DF" w14:textId="745915B7" w:rsidR="00AD7578" w:rsidRPr="00294859" w:rsidRDefault="005F40E0" w:rsidP="00AD7578">
            <w:pPr>
              <w:tabs>
                <w:tab w:val="decimal" w:pos="885"/>
              </w:tabs>
              <w:jc w:val="right"/>
              <w:rPr>
                <w:szCs w:val="24"/>
              </w:rPr>
            </w:pPr>
            <w:r>
              <w:rPr>
                <w:szCs w:val="24"/>
              </w:rPr>
              <w:t>(3,026)</w:t>
            </w:r>
          </w:p>
        </w:tc>
        <w:tc>
          <w:tcPr>
            <w:tcW w:w="1134" w:type="dxa"/>
            <w:vAlign w:val="center"/>
          </w:tcPr>
          <w:p w14:paraId="611F53E4" w14:textId="77777777" w:rsidR="00AD7578" w:rsidRPr="00294859" w:rsidRDefault="00AD7578" w:rsidP="00AD7578">
            <w:pPr>
              <w:tabs>
                <w:tab w:val="decimal" w:pos="885"/>
              </w:tabs>
              <w:jc w:val="right"/>
              <w:rPr>
                <w:szCs w:val="24"/>
              </w:rPr>
            </w:pPr>
          </w:p>
        </w:tc>
        <w:tc>
          <w:tcPr>
            <w:tcW w:w="1134" w:type="dxa"/>
            <w:vAlign w:val="center"/>
          </w:tcPr>
          <w:p w14:paraId="456CE863" w14:textId="0CF2BC39" w:rsidR="00AD7578" w:rsidRPr="00DF39E9" w:rsidRDefault="00AD7578" w:rsidP="00AD7578">
            <w:pPr>
              <w:tabs>
                <w:tab w:val="decimal" w:pos="885"/>
              </w:tabs>
              <w:jc w:val="right"/>
              <w:rPr>
                <w:szCs w:val="24"/>
              </w:rPr>
            </w:pPr>
            <w:r w:rsidRPr="00DF39E9">
              <w:rPr>
                <w:szCs w:val="24"/>
              </w:rPr>
              <w:t>(1,261)</w:t>
            </w:r>
          </w:p>
        </w:tc>
        <w:tc>
          <w:tcPr>
            <w:tcW w:w="1134" w:type="dxa"/>
            <w:vAlign w:val="center"/>
          </w:tcPr>
          <w:p w14:paraId="7E1BF806" w14:textId="77777777" w:rsidR="00AD7578" w:rsidRPr="00DF39E9" w:rsidRDefault="00AD7578" w:rsidP="00AD7578">
            <w:pPr>
              <w:tabs>
                <w:tab w:val="decimal" w:pos="885"/>
              </w:tabs>
              <w:jc w:val="right"/>
              <w:rPr>
                <w:szCs w:val="24"/>
              </w:rPr>
            </w:pPr>
          </w:p>
        </w:tc>
      </w:tr>
      <w:tr w:rsidR="00AD7578" w:rsidRPr="00D948C1" w14:paraId="4188D6D4" w14:textId="77777777" w:rsidTr="00C42769">
        <w:trPr>
          <w:trHeight w:hRule="exact" w:val="624"/>
        </w:trPr>
        <w:tc>
          <w:tcPr>
            <w:tcW w:w="4350" w:type="dxa"/>
          </w:tcPr>
          <w:p w14:paraId="71E5B69C" w14:textId="77777777" w:rsidR="00AD7578" w:rsidRPr="00D948C1" w:rsidRDefault="00AD7578" w:rsidP="00AD7578">
            <w:pPr>
              <w:numPr>
                <w:ilvl w:val="0"/>
                <w:numId w:val="15"/>
              </w:numPr>
              <w:tabs>
                <w:tab w:val="center" w:pos="6930"/>
              </w:tabs>
              <w:rPr>
                <w:szCs w:val="24"/>
              </w:rPr>
            </w:pPr>
            <w:r w:rsidRPr="00D948C1">
              <w:rPr>
                <w:szCs w:val="24"/>
              </w:rPr>
              <w:t>Capital expenditure charged to General Fund Balance</w:t>
            </w:r>
          </w:p>
        </w:tc>
        <w:tc>
          <w:tcPr>
            <w:tcW w:w="1134" w:type="dxa"/>
            <w:vAlign w:val="center"/>
          </w:tcPr>
          <w:p w14:paraId="149B6926" w14:textId="04444055" w:rsidR="00AD7578" w:rsidRPr="00294859" w:rsidRDefault="005F40E0" w:rsidP="00AD7578">
            <w:pPr>
              <w:tabs>
                <w:tab w:val="decimal" w:pos="885"/>
              </w:tabs>
              <w:jc w:val="right"/>
              <w:rPr>
                <w:szCs w:val="24"/>
              </w:rPr>
            </w:pPr>
            <w:r>
              <w:rPr>
                <w:szCs w:val="24"/>
              </w:rPr>
              <w:t>(3,080)</w:t>
            </w:r>
          </w:p>
        </w:tc>
        <w:tc>
          <w:tcPr>
            <w:tcW w:w="1134" w:type="dxa"/>
            <w:vAlign w:val="center"/>
          </w:tcPr>
          <w:p w14:paraId="291D8EA1" w14:textId="77777777" w:rsidR="00AD7578" w:rsidRPr="00294859" w:rsidRDefault="00AD7578" w:rsidP="00AD7578">
            <w:pPr>
              <w:tabs>
                <w:tab w:val="decimal" w:pos="885"/>
              </w:tabs>
              <w:jc w:val="right"/>
              <w:rPr>
                <w:szCs w:val="24"/>
              </w:rPr>
            </w:pPr>
          </w:p>
        </w:tc>
        <w:tc>
          <w:tcPr>
            <w:tcW w:w="1134" w:type="dxa"/>
            <w:vAlign w:val="center"/>
          </w:tcPr>
          <w:p w14:paraId="7CC9450F" w14:textId="3AE2AFF2" w:rsidR="00AD7578" w:rsidRPr="00DF39E9" w:rsidRDefault="00AD7578" w:rsidP="00AD7578">
            <w:pPr>
              <w:tabs>
                <w:tab w:val="decimal" w:pos="885"/>
              </w:tabs>
              <w:jc w:val="right"/>
              <w:rPr>
                <w:szCs w:val="24"/>
              </w:rPr>
            </w:pPr>
            <w:r w:rsidRPr="00DF39E9">
              <w:rPr>
                <w:szCs w:val="24"/>
              </w:rPr>
              <w:t>(3,000)</w:t>
            </w:r>
          </w:p>
        </w:tc>
        <w:tc>
          <w:tcPr>
            <w:tcW w:w="1134" w:type="dxa"/>
            <w:vAlign w:val="center"/>
          </w:tcPr>
          <w:p w14:paraId="506B5AD7" w14:textId="77777777" w:rsidR="00AD7578" w:rsidRPr="00DF39E9" w:rsidRDefault="00AD7578" w:rsidP="00AD7578">
            <w:pPr>
              <w:tabs>
                <w:tab w:val="decimal" w:pos="885"/>
              </w:tabs>
              <w:jc w:val="right"/>
              <w:rPr>
                <w:szCs w:val="24"/>
              </w:rPr>
            </w:pPr>
          </w:p>
        </w:tc>
      </w:tr>
      <w:tr w:rsidR="00AD7578" w:rsidRPr="00D948C1" w14:paraId="7E89F1CC" w14:textId="77777777" w:rsidTr="00C42769">
        <w:trPr>
          <w:trHeight w:hRule="exact" w:val="300"/>
        </w:trPr>
        <w:tc>
          <w:tcPr>
            <w:tcW w:w="4350" w:type="dxa"/>
          </w:tcPr>
          <w:p w14:paraId="39A64BFF" w14:textId="50286463" w:rsidR="00AD7578" w:rsidRPr="00D948C1" w:rsidRDefault="00AD7578" w:rsidP="00AD7578">
            <w:pPr>
              <w:tabs>
                <w:tab w:val="left" w:pos="720"/>
                <w:tab w:val="center" w:pos="6930"/>
              </w:tabs>
              <w:rPr>
                <w:szCs w:val="24"/>
              </w:rPr>
            </w:pPr>
            <w:r w:rsidRPr="00D948C1">
              <w:rPr>
                <w:szCs w:val="24"/>
              </w:rPr>
              <w:t>Sub-total</w:t>
            </w:r>
          </w:p>
        </w:tc>
        <w:tc>
          <w:tcPr>
            <w:tcW w:w="1134" w:type="dxa"/>
            <w:vAlign w:val="center"/>
          </w:tcPr>
          <w:p w14:paraId="3BBE4C54" w14:textId="77777777" w:rsidR="00AD7578" w:rsidRPr="00294859" w:rsidRDefault="00AD7578" w:rsidP="00AD7578">
            <w:pPr>
              <w:tabs>
                <w:tab w:val="decimal" w:pos="1080"/>
              </w:tabs>
              <w:jc w:val="right"/>
              <w:rPr>
                <w:szCs w:val="24"/>
              </w:rPr>
            </w:pPr>
          </w:p>
        </w:tc>
        <w:tc>
          <w:tcPr>
            <w:tcW w:w="1134" w:type="dxa"/>
            <w:vAlign w:val="center"/>
          </w:tcPr>
          <w:p w14:paraId="0E83126D" w14:textId="6BF93808" w:rsidR="00AD7578" w:rsidRPr="00294859" w:rsidRDefault="00F25D02" w:rsidP="00AD7578">
            <w:pPr>
              <w:tabs>
                <w:tab w:val="decimal" w:pos="885"/>
              </w:tabs>
              <w:jc w:val="right"/>
              <w:rPr>
                <w:szCs w:val="24"/>
              </w:rPr>
            </w:pPr>
            <w:r>
              <w:rPr>
                <w:szCs w:val="24"/>
              </w:rPr>
              <w:t>(6,775)</w:t>
            </w:r>
          </w:p>
        </w:tc>
        <w:tc>
          <w:tcPr>
            <w:tcW w:w="1134" w:type="dxa"/>
            <w:vAlign w:val="center"/>
          </w:tcPr>
          <w:p w14:paraId="5566A641" w14:textId="77777777" w:rsidR="00AD7578" w:rsidRPr="00DF39E9" w:rsidRDefault="00AD7578" w:rsidP="00AD7578">
            <w:pPr>
              <w:tabs>
                <w:tab w:val="decimal" w:pos="1080"/>
              </w:tabs>
              <w:jc w:val="right"/>
              <w:rPr>
                <w:szCs w:val="24"/>
              </w:rPr>
            </w:pPr>
          </w:p>
        </w:tc>
        <w:tc>
          <w:tcPr>
            <w:tcW w:w="1134" w:type="dxa"/>
            <w:vAlign w:val="center"/>
          </w:tcPr>
          <w:p w14:paraId="5E04F077" w14:textId="7012FB8C" w:rsidR="00AD7578" w:rsidRPr="00DF39E9" w:rsidRDefault="00AD7578" w:rsidP="00AD7578">
            <w:pPr>
              <w:tabs>
                <w:tab w:val="decimal" w:pos="885"/>
              </w:tabs>
              <w:jc w:val="right"/>
              <w:rPr>
                <w:szCs w:val="24"/>
              </w:rPr>
            </w:pPr>
            <w:r w:rsidRPr="00DF39E9">
              <w:rPr>
                <w:szCs w:val="24"/>
              </w:rPr>
              <w:t>(4,867)</w:t>
            </w:r>
          </w:p>
        </w:tc>
      </w:tr>
      <w:tr w:rsidR="00AD7578" w:rsidRPr="00D948C1" w14:paraId="57B5CB58" w14:textId="77777777" w:rsidTr="00746F3D">
        <w:trPr>
          <w:trHeight w:hRule="exact" w:val="300"/>
        </w:trPr>
        <w:tc>
          <w:tcPr>
            <w:tcW w:w="4350" w:type="dxa"/>
          </w:tcPr>
          <w:p w14:paraId="0D0E26E2" w14:textId="77777777" w:rsidR="00AD7578" w:rsidRPr="00D948C1" w:rsidRDefault="00AD7578" w:rsidP="00AD7578">
            <w:pPr>
              <w:tabs>
                <w:tab w:val="left" w:pos="720"/>
                <w:tab w:val="center" w:pos="6930"/>
              </w:tabs>
              <w:rPr>
                <w:szCs w:val="24"/>
              </w:rPr>
            </w:pPr>
            <w:r w:rsidRPr="00D948C1">
              <w:rPr>
                <w:szCs w:val="24"/>
              </w:rPr>
              <w:t xml:space="preserve">Balance as </w:t>
            </w:r>
            <w:proofErr w:type="gramStart"/>
            <w:r w:rsidRPr="00D948C1">
              <w:rPr>
                <w:szCs w:val="24"/>
              </w:rPr>
              <w:t>at</w:t>
            </w:r>
            <w:proofErr w:type="gramEnd"/>
            <w:r w:rsidRPr="00D948C1">
              <w:rPr>
                <w:szCs w:val="24"/>
              </w:rPr>
              <w:t xml:space="preserve"> 31 March</w:t>
            </w:r>
          </w:p>
        </w:tc>
        <w:tc>
          <w:tcPr>
            <w:tcW w:w="1134" w:type="dxa"/>
            <w:vAlign w:val="center"/>
          </w:tcPr>
          <w:p w14:paraId="72F664AB" w14:textId="77777777" w:rsidR="00AD7578" w:rsidRPr="00294859" w:rsidRDefault="00AD7578" w:rsidP="00AD7578">
            <w:pPr>
              <w:tabs>
                <w:tab w:val="decimal" w:pos="1080"/>
              </w:tabs>
              <w:jc w:val="right"/>
              <w:rPr>
                <w:szCs w:val="24"/>
              </w:rPr>
            </w:pPr>
          </w:p>
        </w:tc>
        <w:tc>
          <w:tcPr>
            <w:tcW w:w="1134" w:type="dxa"/>
            <w:vAlign w:val="center"/>
          </w:tcPr>
          <w:p w14:paraId="7180F9A4" w14:textId="1F246463" w:rsidR="00AD7578" w:rsidRPr="00294859" w:rsidRDefault="00F25D02" w:rsidP="00AD7578">
            <w:pPr>
              <w:tabs>
                <w:tab w:val="decimal" w:pos="885"/>
              </w:tabs>
              <w:jc w:val="right"/>
              <w:rPr>
                <w:szCs w:val="24"/>
              </w:rPr>
            </w:pPr>
            <w:r>
              <w:rPr>
                <w:szCs w:val="24"/>
              </w:rPr>
              <w:t>(46,898)</w:t>
            </w:r>
          </w:p>
        </w:tc>
        <w:tc>
          <w:tcPr>
            <w:tcW w:w="1134" w:type="dxa"/>
            <w:vAlign w:val="center"/>
          </w:tcPr>
          <w:p w14:paraId="7BF5FCCA" w14:textId="77777777" w:rsidR="00AD7578" w:rsidRPr="00DF39E9" w:rsidRDefault="00AD7578" w:rsidP="00AD7578">
            <w:pPr>
              <w:tabs>
                <w:tab w:val="decimal" w:pos="1080"/>
              </w:tabs>
              <w:jc w:val="right"/>
              <w:rPr>
                <w:szCs w:val="24"/>
              </w:rPr>
            </w:pPr>
          </w:p>
        </w:tc>
        <w:tc>
          <w:tcPr>
            <w:tcW w:w="1134" w:type="dxa"/>
            <w:vAlign w:val="center"/>
          </w:tcPr>
          <w:p w14:paraId="26EFC719" w14:textId="47F6A41C" w:rsidR="00AD7578" w:rsidRPr="00DF39E9" w:rsidRDefault="00AD7578" w:rsidP="00AD7578">
            <w:pPr>
              <w:tabs>
                <w:tab w:val="decimal" w:pos="885"/>
              </w:tabs>
              <w:jc w:val="right"/>
              <w:rPr>
                <w:szCs w:val="24"/>
              </w:rPr>
            </w:pPr>
            <w:r w:rsidRPr="00DF39E9">
              <w:rPr>
                <w:szCs w:val="24"/>
              </w:rPr>
              <w:t>(43,858)</w:t>
            </w:r>
          </w:p>
        </w:tc>
      </w:tr>
    </w:tbl>
    <w:p w14:paraId="7446D0D2" w14:textId="77777777" w:rsidR="004B46CF" w:rsidRPr="00D948C1" w:rsidRDefault="00D90216" w:rsidP="00D90216">
      <w:pPr>
        <w:rPr>
          <w:b/>
          <w:sz w:val="22"/>
        </w:rPr>
      </w:pPr>
      <w:r w:rsidRPr="00D948C1">
        <w:rPr>
          <w:b/>
          <w:sz w:val="22"/>
        </w:rPr>
        <w:tab/>
      </w:r>
    </w:p>
    <w:p w14:paraId="5BC61108" w14:textId="77777777" w:rsidR="00D90216" w:rsidRPr="0052402F" w:rsidRDefault="006F0BBE" w:rsidP="001931F4">
      <w:pPr>
        <w:ind w:left="709"/>
        <w:rPr>
          <w:b/>
          <w:szCs w:val="24"/>
        </w:rPr>
      </w:pPr>
      <w:r w:rsidRPr="00D948C1">
        <w:rPr>
          <w:b/>
          <w:sz w:val="22"/>
        </w:rPr>
        <w:br w:type="page"/>
      </w:r>
      <w:r w:rsidR="00D90216" w:rsidRPr="0052402F">
        <w:rPr>
          <w:b/>
          <w:szCs w:val="24"/>
        </w:rPr>
        <w:lastRenderedPageBreak/>
        <w:t>Pensions Reserve</w:t>
      </w:r>
    </w:p>
    <w:p w14:paraId="58884CC7" w14:textId="77777777" w:rsidR="00D90216" w:rsidRPr="0052402F" w:rsidRDefault="00D90216" w:rsidP="001931F4">
      <w:pPr>
        <w:ind w:left="709"/>
        <w:rPr>
          <w:szCs w:val="24"/>
        </w:rPr>
      </w:pPr>
    </w:p>
    <w:p w14:paraId="7FF64535" w14:textId="039AECC8" w:rsidR="00D90216" w:rsidRPr="00D948C1" w:rsidRDefault="00D90216" w:rsidP="001931F4">
      <w:pPr>
        <w:ind w:left="709"/>
        <w:rPr>
          <w:szCs w:val="24"/>
        </w:rPr>
      </w:pPr>
      <w:r w:rsidRPr="0052402F">
        <w:rPr>
          <w:szCs w:val="24"/>
        </w:rPr>
        <w:t xml:space="preserve">The Pensions Reserve absorbs the timing differences arising from the different arrangements for accounting for </w:t>
      </w:r>
      <w:r w:rsidR="00AD7578" w:rsidRPr="0052402F">
        <w:rPr>
          <w:szCs w:val="24"/>
        </w:rPr>
        <w:t>post-employment</w:t>
      </w:r>
      <w:r w:rsidRPr="0052402F">
        <w:rPr>
          <w:szCs w:val="24"/>
        </w:rPr>
        <w:t xml:space="preserve"> benefits and for funding benefits in accordance with statutory provisions.</w:t>
      </w:r>
      <w:r w:rsidR="009D6B29" w:rsidRPr="0052402F">
        <w:rPr>
          <w:szCs w:val="24"/>
        </w:rPr>
        <w:t xml:space="preserve"> The reserve relates to both the LGPS and Firefighters pension schemes, and the large negative value of the reserve reflects the unfunded nature of the Firefighters pension scheme.</w:t>
      </w:r>
    </w:p>
    <w:p w14:paraId="25C9F712" w14:textId="77777777" w:rsidR="00D90216" w:rsidRPr="00D948C1" w:rsidRDefault="00D90216" w:rsidP="00D90216">
      <w:pPr>
        <w:ind w:left="709"/>
        <w:jc w:val="both"/>
        <w:rPr>
          <w:szCs w:val="24"/>
        </w:rPr>
      </w:pPr>
    </w:p>
    <w:tbl>
      <w:tblPr>
        <w:tblW w:w="87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57"/>
        <w:gridCol w:w="1533"/>
      </w:tblGrid>
      <w:tr w:rsidR="001931F4" w:rsidRPr="00D948C1" w14:paraId="5629D355" w14:textId="77777777" w:rsidTr="00611673">
        <w:trPr>
          <w:trHeight w:hRule="exact" w:val="592"/>
        </w:trPr>
        <w:tc>
          <w:tcPr>
            <w:tcW w:w="5670" w:type="dxa"/>
            <w:shd w:val="clear" w:color="auto" w:fill="BD2716"/>
          </w:tcPr>
          <w:p w14:paraId="501827E8" w14:textId="399F11EA" w:rsidR="001931F4" w:rsidRPr="00D948C1" w:rsidRDefault="001931F4" w:rsidP="00670DBF">
            <w:pPr>
              <w:tabs>
                <w:tab w:val="left" w:pos="720"/>
                <w:tab w:val="center" w:pos="6930"/>
              </w:tabs>
              <w:rPr>
                <w:color w:val="FFFFFF" w:themeColor="background1"/>
                <w:szCs w:val="24"/>
              </w:rPr>
            </w:pPr>
          </w:p>
        </w:tc>
        <w:tc>
          <w:tcPr>
            <w:tcW w:w="1557" w:type="dxa"/>
            <w:shd w:val="clear" w:color="auto" w:fill="BD2716"/>
            <w:vAlign w:val="center"/>
          </w:tcPr>
          <w:p w14:paraId="4B88BABD" w14:textId="158D20A0" w:rsidR="001931F4" w:rsidRPr="00D948C1" w:rsidRDefault="001A42DD" w:rsidP="00611673">
            <w:pPr>
              <w:jc w:val="right"/>
              <w:rPr>
                <w:color w:val="FFFFFF" w:themeColor="background1"/>
                <w:szCs w:val="24"/>
              </w:rPr>
            </w:pPr>
            <w:r>
              <w:rPr>
                <w:color w:val="FFFFFF" w:themeColor="background1"/>
                <w:szCs w:val="24"/>
              </w:rPr>
              <w:t>2025-26</w:t>
            </w:r>
          </w:p>
          <w:p w14:paraId="49BFDC3A" w14:textId="3F57E58A" w:rsidR="00021F7E" w:rsidRPr="00D948C1" w:rsidRDefault="00021F7E" w:rsidP="00611673">
            <w:pPr>
              <w:jc w:val="right"/>
              <w:rPr>
                <w:color w:val="FFFFFF" w:themeColor="background1"/>
                <w:szCs w:val="24"/>
              </w:rPr>
            </w:pPr>
            <w:r w:rsidRPr="00D948C1">
              <w:rPr>
                <w:color w:val="FFFFFF" w:themeColor="background1"/>
                <w:szCs w:val="24"/>
              </w:rPr>
              <w:t>£000</w:t>
            </w:r>
          </w:p>
        </w:tc>
        <w:tc>
          <w:tcPr>
            <w:tcW w:w="1533" w:type="dxa"/>
            <w:shd w:val="clear" w:color="auto" w:fill="BD2716"/>
            <w:vAlign w:val="center"/>
          </w:tcPr>
          <w:p w14:paraId="015F7845" w14:textId="41A9BBFD" w:rsidR="00AD7578" w:rsidRPr="00D948C1" w:rsidRDefault="001A42DD" w:rsidP="00AD7578">
            <w:pPr>
              <w:jc w:val="right"/>
              <w:rPr>
                <w:color w:val="FFFFFF" w:themeColor="background1"/>
                <w:szCs w:val="24"/>
              </w:rPr>
            </w:pPr>
            <w:r>
              <w:rPr>
                <w:color w:val="FFFFFF" w:themeColor="background1"/>
                <w:szCs w:val="24"/>
              </w:rPr>
              <w:t>2024-25</w:t>
            </w:r>
          </w:p>
          <w:p w14:paraId="0A3F2DF6" w14:textId="4695A829" w:rsidR="00021F7E" w:rsidRPr="00D948C1" w:rsidRDefault="00AD7578" w:rsidP="00AD7578">
            <w:pPr>
              <w:jc w:val="right"/>
              <w:rPr>
                <w:color w:val="FFFFFF" w:themeColor="background1"/>
                <w:szCs w:val="24"/>
              </w:rPr>
            </w:pPr>
            <w:r w:rsidRPr="00D948C1">
              <w:rPr>
                <w:color w:val="FFFFFF" w:themeColor="background1"/>
                <w:szCs w:val="24"/>
              </w:rPr>
              <w:t>£000</w:t>
            </w:r>
          </w:p>
        </w:tc>
      </w:tr>
      <w:tr w:rsidR="00AD7578" w:rsidRPr="00D948C1" w14:paraId="36094802" w14:textId="77777777" w:rsidTr="003572E5">
        <w:trPr>
          <w:trHeight w:hRule="exact" w:val="278"/>
        </w:trPr>
        <w:tc>
          <w:tcPr>
            <w:tcW w:w="5670" w:type="dxa"/>
          </w:tcPr>
          <w:p w14:paraId="60D97D57" w14:textId="77777777" w:rsidR="00AD7578" w:rsidRPr="00D948C1" w:rsidRDefault="00AD7578" w:rsidP="00AD7578">
            <w:pPr>
              <w:pStyle w:val="Footer"/>
              <w:tabs>
                <w:tab w:val="clear" w:pos="4153"/>
                <w:tab w:val="clear" w:pos="8306"/>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557" w:type="dxa"/>
            <w:vAlign w:val="center"/>
          </w:tcPr>
          <w:p w14:paraId="12AA4F72" w14:textId="196225E0" w:rsidR="00AD7578" w:rsidRPr="00294859" w:rsidRDefault="00AD7578" w:rsidP="00AD7578">
            <w:pPr>
              <w:tabs>
                <w:tab w:val="decimal" w:pos="885"/>
              </w:tabs>
              <w:jc w:val="right"/>
              <w:rPr>
                <w:szCs w:val="24"/>
              </w:rPr>
            </w:pPr>
            <w:r w:rsidRPr="00DF39E9">
              <w:rPr>
                <w:szCs w:val="24"/>
              </w:rPr>
              <w:t>588,430</w:t>
            </w:r>
          </w:p>
        </w:tc>
        <w:tc>
          <w:tcPr>
            <w:tcW w:w="1533" w:type="dxa"/>
            <w:vAlign w:val="center"/>
          </w:tcPr>
          <w:p w14:paraId="7B40B3BF" w14:textId="55F8EB52" w:rsidR="00AD7578" w:rsidRPr="00DF39E9" w:rsidRDefault="00AD7578" w:rsidP="00AD7578">
            <w:pPr>
              <w:tabs>
                <w:tab w:val="decimal" w:pos="885"/>
              </w:tabs>
              <w:jc w:val="right"/>
              <w:rPr>
                <w:szCs w:val="24"/>
              </w:rPr>
            </w:pPr>
            <w:r w:rsidRPr="00294859">
              <w:rPr>
                <w:szCs w:val="24"/>
              </w:rPr>
              <w:t>651,920</w:t>
            </w:r>
          </w:p>
        </w:tc>
      </w:tr>
      <w:tr w:rsidR="00AD7578" w:rsidRPr="00D948C1" w14:paraId="2709258F" w14:textId="77777777" w:rsidTr="003572E5">
        <w:trPr>
          <w:trHeight w:hRule="exact" w:val="556"/>
        </w:trPr>
        <w:tc>
          <w:tcPr>
            <w:tcW w:w="5670" w:type="dxa"/>
            <w:vAlign w:val="bottom"/>
          </w:tcPr>
          <w:p w14:paraId="1D1C51F1" w14:textId="77777777" w:rsidR="00AD7578" w:rsidRPr="00D948C1" w:rsidRDefault="00AD7578" w:rsidP="00AD7578">
            <w:pPr>
              <w:rPr>
                <w:rFonts w:cs="Arial"/>
                <w:szCs w:val="24"/>
              </w:rPr>
            </w:pPr>
            <w:r w:rsidRPr="00D948C1">
              <w:rPr>
                <w:rFonts w:cs="Arial"/>
                <w:szCs w:val="24"/>
              </w:rPr>
              <w:t>Actuarial (gains) or losses on pensions assets and liabilities</w:t>
            </w:r>
          </w:p>
        </w:tc>
        <w:tc>
          <w:tcPr>
            <w:tcW w:w="1557" w:type="dxa"/>
            <w:vAlign w:val="center"/>
          </w:tcPr>
          <w:p w14:paraId="62803C87" w14:textId="21C04D11" w:rsidR="00AD7578" w:rsidRPr="00294859" w:rsidRDefault="00043DA8" w:rsidP="00AD7578">
            <w:pPr>
              <w:tabs>
                <w:tab w:val="decimal" w:pos="885"/>
              </w:tabs>
              <w:jc w:val="right"/>
              <w:rPr>
                <w:szCs w:val="24"/>
              </w:rPr>
            </w:pPr>
            <w:r>
              <w:rPr>
                <w:szCs w:val="24"/>
              </w:rPr>
              <w:t>(14,448)</w:t>
            </w:r>
          </w:p>
        </w:tc>
        <w:tc>
          <w:tcPr>
            <w:tcW w:w="1533" w:type="dxa"/>
            <w:vAlign w:val="center"/>
          </w:tcPr>
          <w:p w14:paraId="3DDB4016" w14:textId="4831BA21" w:rsidR="00AD7578" w:rsidRPr="00DF39E9" w:rsidRDefault="00AD7578" w:rsidP="00AD7578">
            <w:pPr>
              <w:tabs>
                <w:tab w:val="decimal" w:pos="885"/>
              </w:tabs>
              <w:jc w:val="right"/>
              <w:rPr>
                <w:szCs w:val="24"/>
              </w:rPr>
            </w:pPr>
            <w:r w:rsidRPr="00294859">
              <w:rPr>
                <w:szCs w:val="24"/>
              </w:rPr>
              <w:t>(67,199)</w:t>
            </w:r>
          </w:p>
        </w:tc>
      </w:tr>
      <w:tr w:rsidR="00AD7578" w:rsidRPr="00D948C1" w14:paraId="300F140B" w14:textId="77777777" w:rsidTr="00746F3D">
        <w:trPr>
          <w:trHeight w:hRule="exact" w:val="847"/>
        </w:trPr>
        <w:tc>
          <w:tcPr>
            <w:tcW w:w="5670" w:type="dxa"/>
            <w:vAlign w:val="center"/>
          </w:tcPr>
          <w:p w14:paraId="24F2A5C2" w14:textId="77777777" w:rsidR="00AD7578" w:rsidRPr="00D948C1" w:rsidRDefault="00AD7578" w:rsidP="00AD7578">
            <w:pPr>
              <w:rPr>
                <w:rFonts w:cs="Arial"/>
                <w:szCs w:val="24"/>
              </w:rPr>
            </w:pPr>
            <w:r w:rsidRPr="00D948C1">
              <w:rPr>
                <w:rFonts w:cs="Arial"/>
                <w:szCs w:val="24"/>
              </w:rPr>
              <w:t>Reversal of items relating to retirement benefits debited or credited to Net Cost of Services in the Comprehensive Income &amp; Expenditure Statement</w:t>
            </w:r>
          </w:p>
        </w:tc>
        <w:tc>
          <w:tcPr>
            <w:tcW w:w="1557" w:type="dxa"/>
            <w:vAlign w:val="center"/>
          </w:tcPr>
          <w:p w14:paraId="0BCDCFE8" w14:textId="1B81A8DA" w:rsidR="00AD7578" w:rsidRPr="00294859" w:rsidRDefault="00043DA8" w:rsidP="00AD7578">
            <w:pPr>
              <w:tabs>
                <w:tab w:val="decimal" w:pos="885"/>
              </w:tabs>
              <w:jc w:val="right"/>
              <w:rPr>
                <w:szCs w:val="24"/>
              </w:rPr>
            </w:pPr>
            <w:r>
              <w:rPr>
                <w:szCs w:val="24"/>
              </w:rPr>
              <w:t>35,043</w:t>
            </w:r>
          </w:p>
        </w:tc>
        <w:tc>
          <w:tcPr>
            <w:tcW w:w="1533" w:type="dxa"/>
            <w:vAlign w:val="center"/>
          </w:tcPr>
          <w:p w14:paraId="0371FF20" w14:textId="3DC6BAD9" w:rsidR="00AD7578" w:rsidRPr="00DF39E9" w:rsidRDefault="00AD7578" w:rsidP="00AD7578">
            <w:pPr>
              <w:tabs>
                <w:tab w:val="decimal" w:pos="885"/>
              </w:tabs>
              <w:jc w:val="right"/>
              <w:rPr>
                <w:szCs w:val="24"/>
              </w:rPr>
            </w:pPr>
            <w:r w:rsidRPr="00294859">
              <w:rPr>
                <w:szCs w:val="24"/>
              </w:rPr>
              <w:t>35,145</w:t>
            </w:r>
          </w:p>
        </w:tc>
      </w:tr>
      <w:tr w:rsidR="00AD7578" w:rsidRPr="00D948C1" w14:paraId="14EAB9EB" w14:textId="77777777" w:rsidTr="003572E5">
        <w:trPr>
          <w:trHeight w:val="278"/>
        </w:trPr>
        <w:tc>
          <w:tcPr>
            <w:tcW w:w="5670" w:type="dxa"/>
            <w:vAlign w:val="center"/>
          </w:tcPr>
          <w:p w14:paraId="4D80C209" w14:textId="77777777" w:rsidR="00AD7578" w:rsidRPr="00D948C1" w:rsidRDefault="00AD7578" w:rsidP="00AD7578">
            <w:pPr>
              <w:rPr>
                <w:rFonts w:cs="Arial"/>
                <w:szCs w:val="24"/>
              </w:rPr>
            </w:pPr>
            <w:r w:rsidRPr="00D948C1">
              <w:rPr>
                <w:rFonts w:cs="Arial"/>
                <w:szCs w:val="24"/>
              </w:rPr>
              <w:t>Net payments to pensioners payable in the year</w:t>
            </w:r>
          </w:p>
        </w:tc>
        <w:tc>
          <w:tcPr>
            <w:tcW w:w="1557" w:type="dxa"/>
            <w:vAlign w:val="center"/>
          </w:tcPr>
          <w:p w14:paraId="5FA0BD84" w14:textId="5D656E63" w:rsidR="00AD7578" w:rsidRPr="00294859" w:rsidRDefault="00043DA8" w:rsidP="00AD7578">
            <w:pPr>
              <w:tabs>
                <w:tab w:val="decimal" w:pos="885"/>
              </w:tabs>
              <w:jc w:val="right"/>
              <w:rPr>
                <w:szCs w:val="24"/>
              </w:rPr>
            </w:pPr>
            <w:r>
              <w:rPr>
                <w:szCs w:val="24"/>
              </w:rPr>
              <w:t>(32,030)</w:t>
            </w:r>
          </w:p>
        </w:tc>
        <w:tc>
          <w:tcPr>
            <w:tcW w:w="1533" w:type="dxa"/>
            <w:vAlign w:val="center"/>
          </w:tcPr>
          <w:p w14:paraId="290145FF" w14:textId="3254E629" w:rsidR="00AD7578" w:rsidRPr="00DF39E9" w:rsidRDefault="00AD7578" w:rsidP="00AD7578">
            <w:pPr>
              <w:tabs>
                <w:tab w:val="decimal" w:pos="885"/>
              </w:tabs>
              <w:jc w:val="right"/>
              <w:rPr>
                <w:szCs w:val="24"/>
              </w:rPr>
            </w:pPr>
            <w:r w:rsidRPr="00294859">
              <w:rPr>
                <w:szCs w:val="24"/>
              </w:rPr>
              <w:t>(31,040</w:t>
            </w:r>
            <w:r w:rsidRPr="00456BDD">
              <w:rPr>
                <w:szCs w:val="24"/>
              </w:rPr>
              <w:t>)</w:t>
            </w:r>
          </w:p>
        </w:tc>
      </w:tr>
      <w:tr w:rsidR="00AD7578" w:rsidRPr="00D948C1" w14:paraId="197711CF" w14:textId="77777777" w:rsidTr="003572E5">
        <w:trPr>
          <w:trHeight w:val="278"/>
        </w:trPr>
        <w:tc>
          <w:tcPr>
            <w:tcW w:w="5670" w:type="dxa"/>
            <w:vAlign w:val="center"/>
          </w:tcPr>
          <w:p w14:paraId="0BEB198E" w14:textId="77777777" w:rsidR="00AD7578" w:rsidRPr="00D948C1" w:rsidRDefault="00AD7578" w:rsidP="00AD7578">
            <w:pPr>
              <w:rPr>
                <w:rFonts w:cs="Arial"/>
                <w:szCs w:val="24"/>
              </w:rPr>
            </w:pPr>
            <w:r w:rsidRPr="00D948C1">
              <w:rPr>
                <w:rFonts w:cs="Arial"/>
                <w:szCs w:val="24"/>
              </w:rPr>
              <w:t>Employers pension contributions</w:t>
            </w:r>
          </w:p>
        </w:tc>
        <w:tc>
          <w:tcPr>
            <w:tcW w:w="1557" w:type="dxa"/>
            <w:vAlign w:val="center"/>
          </w:tcPr>
          <w:p w14:paraId="5540245E" w14:textId="7F30EC56" w:rsidR="00AD7578" w:rsidRPr="00294859" w:rsidRDefault="00C92BBA" w:rsidP="00AD7578">
            <w:pPr>
              <w:tabs>
                <w:tab w:val="decimal" w:pos="885"/>
              </w:tabs>
              <w:jc w:val="right"/>
              <w:rPr>
                <w:szCs w:val="24"/>
              </w:rPr>
            </w:pPr>
            <w:r>
              <w:rPr>
                <w:szCs w:val="24"/>
              </w:rPr>
              <w:t>(424)</w:t>
            </w:r>
          </w:p>
        </w:tc>
        <w:tc>
          <w:tcPr>
            <w:tcW w:w="1533" w:type="dxa"/>
            <w:vAlign w:val="center"/>
          </w:tcPr>
          <w:p w14:paraId="2C8C278C" w14:textId="0EB59FEC" w:rsidR="00AD7578" w:rsidRPr="00DF39E9" w:rsidRDefault="00AD7578" w:rsidP="00AD7578">
            <w:pPr>
              <w:tabs>
                <w:tab w:val="decimal" w:pos="885"/>
              </w:tabs>
              <w:jc w:val="right"/>
              <w:rPr>
                <w:szCs w:val="24"/>
              </w:rPr>
            </w:pPr>
            <w:r w:rsidRPr="00294859">
              <w:rPr>
                <w:szCs w:val="24"/>
              </w:rPr>
              <w:t>(396)</w:t>
            </w:r>
          </w:p>
        </w:tc>
      </w:tr>
      <w:tr w:rsidR="00AD7578" w:rsidRPr="00D948C1" w14:paraId="6F6903AA" w14:textId="77777777" w:rsidTr="003572E5">
        <w:trPr>
          <w:trHeight w:val="278"/>
        </w:trPr>
        <w:tc>
          <w:tcPr>
            <w:tcW w:w="5670" w:type="dxa"/>
          </w:tcPr>
          <w:p w14:paraId="07F2F2DE" w14:textId="3307C432" w:rsidR="00AD7578" w:rsidRPr="00D948C1" w:rsidRDefault="00AD7578" w:rsidP="00AD7578">
            <w:pPr>
              <w:pStyle w:val="Footer"/>
              <w:tabs>
                <w:tab w:val="clear" w:pos="4153"/>
                <w:tab w:val="clear" w:pos="8306"/>
                <w:tab w:val="left" w:pos="720"/>
                <w:tab w:val="center" w:pos="6930"/>
              </w:tabs>
              <w:rPr>
                <w:szCs w:val="24"/>
              </w:rPr>
            </w:pPr>
            <w:r w:rsidRPr="00D948C1">
              <w:rPr>
                <w:szCs w:val="24"/>
              </w:rPr>
              <w:t>Total</w:t>
            </w:r>
          </w:p>
        </w:tc>
        <w:tc>
          <w:tcPr>
            <w:tcW w:w="1557" w:type="dxa"/>
            <w:vAlign w:val="center"/>
          </w:tcPr>
          <w:p w14:paraId="0E5BD8C3" w14:textId="22261EEE" w:rsidR="00AD7578" w:rsidRPr="00294859" w:rsidRDefault="00C92BBA" w:rsidP="00AD7578">
            <w:pPr>
              <w:tabs>
                <w:tab w:val="decimal" w:pos="885"/>
              </w:tabs>
              <w:jc w:val="right"/>
              <w:rPr>
                <w:szCs w:val="24"/>
              </w:rPr>
            </w:pPr>
            <w:r>
              <w:rPr>
                <w:szCs w:val="24"/>
              </w:rPr>
              <w:t>576,571</w:t>
            </w:r>
          </w:p>
        </w:tc>
        <w:tc>
          <w:tcPr>
            <w:tcW w:w="1533" w:type="dxa"/>
            <w:vAlign w:val="center"/>
          </w:tcPr>
          <w:p w14:paraId="063E1908" w14:textId="61A671F1" w:rsidR="00AD7578" w:rsidRPr="00DF39E9" w:rsidRDefault="00AD7578" w:rsidP="00AD7578">
            <w:pPr>
              <w:tabs>
                <w:tab w:val="decimal" w:pos="885"/>
              </w:tabs>
              <w:jc w:val="right"/>
              <w:rPr>
                <w:szCs w:val="24"/>
              </w:rPr>
            </w:pPr>
            <w:r w:rsidRPr="00DF39E9">
              <w:rPr>
                <w:szCs w:val="24"/>
              </w:rPr>
              <w:t>588,430</w:t>
            </w:r>
          </w:p>
        </w:tc>
      </w:tr>
    </w:tbl>
    <w:p w14:paraId="098262E7" w14:textId="445DD455" w:rsidR="000F5BFB" w:rsidRPr="00D948C1" w:rsidRDefault="000F5BFB">
      <w:pPr>
        <w:rPr>
          <w:rFonts w:cs="Arial"/>
          <w:b/>
          <w:szCs w:val="24"/>
          <w:lang w:val="en-US"/>
        </w:rPr>
      </w:pPr>
    </w:p>
    <w:p w14:paraId="68C9A1C5" w14:textId="10899769" w:rsidR="00D90216" w:rsidRPr="0052402F" w:rsidRDefault="00D90216" w:rsidP="00D90216">
      <w:pPr>
        <w:pStyle w:val="BodyTextIndent"/>
        <w:ind w:left="709"/>
        <w:jc w:val="both"/>
        <w:rPr>
          <w:rFonts w:cs="Arial"/>
          <w:b/>
          <w:szCs w:val="24"/>
        </w:rPr>
      </w:pPr>
      <w:r w:rsidRPr="0052402F">
        <w:rPr>
          <w:rFonts w:cs="Arial"/>
          <w:b/>
          <w:szCs w:val="24"/>
        </w:rPr>
        <w:t>Collection Fund Adjustment Account</w:t>
      </w:r>
    </w:p>
    <w:p w14:paraId="1A500133" w14:textId="77777777" w:rsidR="00D90216" w:rsidRPr="0052402F" w:rsidRDefault="00D90216" w:rsidP="00D90216">
      <w:pPr>
        <w:pStyle w:val="BodyTextIndent"/>
        <w:ind w:left="709"/>
        <w:jc w:val="both"/>
        <w:rPr>
          <w:rFonts w:cs="Arial"/>
          <w:szCs w:val="24"/>
        </w:rPr>
      </w:pPr>
    </w:p>
    <w:p w14:paraId="0A4AB3F5" w14:textId="77777777" w:rsidR="00D90216" w:rsidRPr="00D948C1" w:rsidRDefault="00D90216" w:rsidP="00D90216">
      <w:pPr>
        <w:pStyle w:val="BodyTextIndent"/>
        <w:ind w:left="709"/>
        <w:jc w:val="both"/>
        <w:rPr>
          <w:rFonts w:cs="Arial"/>
          <w:szCs w:val="24"/>
        </w:rPr>
      </w:pPr>
      <w:r w:rsidRPr="0052402F">
        <w:rPr>
          <w:rFonts w:cs="Arial"/>
          <w:szCs w:val="24"/>
        </w:rPr>
        <w:t>The Collection Fund Adjustment Account manages the differences arising from the recognition of council tax</w:t>
      </w:r>
      <w:r w:rsidR="00FC7AF7" w:rsidRPr="0052402F">
        <w:rPr>
          <w:rFonts w:cs="Arial"/>
          <w:szCs w:val="24"/>
        </w:rPr>
        <w:t xml:space="preserve"> and business rates</w:t>
      </w:r>
      <w:r w:rsidRPr="0052402F">
        <w:rPr>
          <w:rFonts w:cs="Arial"/>
          <w:szCs w:val="24"/>
        </w:rPr>
        <w:t xml:space="preserve"> income in the Comprehensive Income and Expenditure Statement as it falls due from council tax </w:t>
      </w:r>
      <w:r w:rsidR="00FC7AF7" w:rsidRPr="0052402F">
        <w:rPr>
          <w:rFonts w:cs="Arial"/>
          <w:szCs w:val="24"/>
        </w:rPr>
        <w:t xml:space="preserve">and business rates </w:t>
      </w:r>
      <w:r w:rsidRPr="0052402F">
        <w:rPr>
          <w:rFonts w:cs="Arial"/>
          <w:szCs w:val="24"/>
        </w:rPr>
        <w:t>payers compared with the statutory arrangements for paying across amounts to the General Fund.</w:t>
      </w:r>
    </w:p>
    <w:p w14:paraId="6EE67AD8" w14:textId="77777777" w:rsidR="00D90216" w:rsidRPr="00D948C1" w:rsidRDefault="00D90216" w:rsidP="00D90216">
      <w:pPr>
        <w:pStyle w:val="BodyTextIndent"/>
        <w:ind w:left="709"/>
        <w:jc w:val="both"/>
        <w:rPr>
          <w:rFonts w:cs="Arial"/>
          <w:sz w:val="22"/>
          <w:szCs w:val="22"/>
        </w:rPr>
      </w:pPr>
    </w:p>
    <w:tbl>
      <w:tblPr>
        <w:tblW w:w="9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1134"/>
        <w:gridCol w:w="1134"/>
        <w:gridCol w:w="1134"/>
        <w:gridCol w:w="1134"/>
        <w:gridCol w:w="1134"/>
        <w:gridCol w:w="1134"/>
      </w:tblGrid>
      <w:tr w:rsidR="00021F7E" w:rsidRPr="00D948C1" w14:paraId="7DE41332" w14:textId="77777777" w:rsidTr="00611673">
        <w:trPr>
          <w:trHeight w:hRule="exact" w:val="300"/>
        </w:trPr>
        <w:tc>
          <w:tcPr>
            <w:tcW w:w="3074" w:type="dxa"/>
            <w:shd w:val="clear" w:color="auto" w:fill="BD2716"/>
          </w:tcPr>
          <w:p w14:paraId="1B039D31" w14:textId="267F2290" w:rsidR="00021F7E" w:rsidRPr="00D948C1" w:rsidRDefault="00021F7E" w:rsidP="00CD62E6">
            <w:pPr>
              <w:tabs>
                <w:tab w:val="left" w:pos="720"/>
                <w:tab w:val="center" w:pos="6930"/>
              </w:tabs>
              <w:rPr>
                <w:color w:val="FFFFFF" w:themeColor="background1"/>
                <w:szCs w:val="24"/>
              </w:rPr>
            </w:pPr>
          </w:p>
        </w:tc>
        <w:tc>
          <w:tcPr>
            <w:tcW w:w="2268" w:type="dxa"/>
            <w:gridSpan w:val="2"/>
            <w:shd w:val="clear" w:color="auto" w:fill="BD2716"/>
            <w:vAlign w:val="center"/>
          </w:tcPr>
          <w:p w14:paraId="74B229DA" w14:textId="77777777" w:rsidR="00021F7E" w:rsidRPr="00D948C1" w:rsidRDefault="00021F7E" w:rsidP="00611673">
            <w:pPr>
              <w:jc w:val="center"/>
              <w:rPr>
                <w:color w:val="FFFFFF" w:themeColor="background1"/>
                <w:szCs w:val="24"/>
              </w:rPr>
            </w:pPr>
            <w:r w:rsidRPr="00D948C1">
              <w:rPr>
                <w:color w:val="FFFFFF" w:themeColor="background1"/>
                <w:szCs w:val="24"/>
              </w:rPr>
              <w:t>Council Tax</w:t>
            </w:r>
          </w:p>
        </w:tc>
        <w:tc>
          <w:tcPr>
            <w:tcW w:w="2268" w:type="dxa"/>
            <w:gridSpan w:val="2"/>
            <w:shd w:val="clear" w:color="auto" w:fill="BD2716"/>
            <w:vAlign w:val="center"/>
          </w:tcPr>
          <w:p w14:paraId="71FC9437" w14:textId="77777777" w:rsidR="00021F7E" w:rsidRPr="00D948C1" w:rsidRDefault="00021F7E" w:rsidP="00611673">
            <w:pPr>
              <w:jc w:val="center"/>
              <w:rPr>
                <w:color w:val="FFFFFF" w:themeColor="background1"/>
                <w:szCs w:val="24"/>
              </w:rPr>
            </w:pPr>
            <w:r w:rsidRPr="00D948C1">
              <w:rPr>
                <w:color w:val="FFFFFF" w:themeColor="background1"/>
                <w:szCs w:val="24"/>
              </w:rPr>
              <w:t>Business Rates</w:t>
            </w:r>
          </w:p>
        </w:tc>
        <w:tc>
          <w:tcPr>
            <w:tcW w:w="2268" w:type="dxa"/>
            <w:gridSpan w:val="2"/>
            <w:shd w:val="clear" w:color="auto" w:fill="BD2716"/>
            <w:vAlign w:val="center"/>
          </w:tcPr>
          <w:p w14:paraId="01CF0449" w14:textId="77777777" w:rsidR="00021F7E" w:rsidRPr="00D948C1" w:rsidRDefault="00021F7E" w:rsidP="00611673">
            <w:pPr>
              <w:jc w:val="center"/>
              <w:rPr>
                <w:color w:val="FFFFFF" w:themeColor="background1"/>
                <w:szCs w:val="24"/>
              </w:rPr>
            </w:pPr>
            <w:r w:rsidRPr="00D948C1">
              <w:rPr>
                <w:color w:val="FFFFFF" w:themeColor="background1"/>
                <w:szCs w:val="24"/>
              </w:rPr>
              <w:t>Total</w:t>
            </w:r>
          </w:p>
        </w:tc>
      </w:tr>
      <w:tr w:rsidR="00AD7578" w:rsidRPr="00D948C1" w14:paraId="4521C04F" w14:textId="77777777" w:rsidTr="00611673">
        <w:trPr>
          <w:trHeight w:hRule="exact" w:val="592"/>
        </w:trPr>
        <w:tc>
          <w:tcPr>
            <w:tcW w:w="3074" w:type="dxa"/>
            <w:shd w:val="clear" w:color="auto" w:fill="BD2716"/>
          </w:tcPr>
          <w:p w14:paraId="31C16B97" w14:textId="77777777" w:rsidR="00AD7578" w:rsidRPr="00D948C1" w:rsidRDefault="00AD7578" w:rsidP="00AD7578">
            <w:pPr>
              <w:tabs>
                <w:tab w:val="left" w:pos="720"/>
                <w:tab w:val="center" w:pos="6930"/>
              </w:tabs>
              <w:rPr>
                <w:color w:val="FFFFFF" w:themeColor="background1"/>
                <w:szCs w:val="24"/>
              </w:rPr>
            </w:pPr>
          </w:p>
        </w:tc>
        <w:tc>
          <w:tcPr>
            <w:tcW w:w="1134" w:type="dxa"/>
            <w:shd w:val="clear" w:color="auto" w:fill="BD2716"/>
            <w:vAlign w:val="center"/>
          </w:tcPr>
          <w:p w14:paraId="5579BE6A" w14:textId="64484D7D" w:rsidR="00AD7578" w:rsidRPr="00D948C1" w:rsidRDefault="001A42DD" w:rsidP="00AD7578">
            <w:pPr>
              <w:jc w:val="right"/>
              <w:rPr>
                <w:color w:val="FFFFFF" w:themeColor="background1"/>
                <w:szCs w:val="24"/>
              </w:rPr>
            </w:pPr>
            <w:r>
              <w:rPr>
                <w:color w:val="FFFFFF" w:themeColor="background1"/>
                <w:szCs w:val="24"/>
              </w:rPr>
              <w:t>2025-26</w:t>
            </w:r>
          </w:p>
          <w:p w14:paraId="6449452A" w14:textId="14789C42"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BE1F62D" w14:textId="678EC50A" w:rsidR="00AD7578" w:rsidRPr="00D948C1" w:rsidRDefault="001A42DD" w:rsidP="00AD7578">
            <w:pPr>
              <w:jc w:val="right"/>
              <w:rPr>
                <w:color w:val="FFFFFF" w:themeColor="background1"/>
                <w:szCs w:val="24"/>
              </w:rPr>
            </w:pPr>
            <w:r>
              <w:rPr>
                <w:color w:val="FFFFFF" w:themeColor="background1"/>
                <w:szCs w:val="24"/>
              </w:rPr>
              <w:t>2024-25</w:t>
            </w:r>
          </w:p>
          <w:p w14:paraId="69EF36C5" w14:textId="56AE192D"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625A3F55" w14:textId="3842084A" w:rsidR="00AD7578" w:rsidRPr="00D948C1" w:rsidRDefault="001A42DD" w:rsidP="00AD7578">
            <w:pPr>
              <w:jc w:val="right"/>
              <w:rPr>
                <w:color w:val="FFFFFF" w:themeColor="background1"/>
                <w:szCs w:val="24"/>
              </w:rPr>
            </w:pPr>
            <w:r>
              <w:rPr>
                <w:color w:val="FFFFFF" w:themeColor="background1"/>
                <w:szCs w:val="24"/>
              </w:rPr>
              <w:t>2025-26</w:t>
            </w:r>
          </w:p>
          <w:p w14:paraId="19150D98" w14:textId="3B3C8914"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4D7C1EE" w14:textId="47CEF3AC" w:rsidR="00AD7578" w:rsidRPr="00D948C1" w:rsidRDefault="001A42DD" w:rsidP="00AD7578">
            <w:pPr>
              <w:jc w:val="right"/>
              <w:rPr>
                <w:color w:val="FFFFFF" w:themeColor="background1"/>
                <w:szCs w:val="24"/>
              </w:rPr>
            </w:pPr>
            <w:r>
              <w:rPr>
                <w:color w:val="FFFFFF" w:themeColor="background1"/>
                <w:szCs w:val="24"/>
              </w:rPr>
              <w:t>2024-25</w:t>
            </w:r>
          </w:p>
          <w:p w14:paraId="57B73485" w14:textId="543795C3"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0AAF582C" w14:textId="6551D655" w:rsidR="00AD7578" w:rsidRPr="00D948C1" w:rsidRDefault="001A42DD" w:rsidP="00AD7578">
            <w:pPr>
              <w:jc w:val="right"/>
              <w:rPr>
                <w:color w:val="FFFFFF" w:themeColor="background1"/>
                <w:szCs w:val="24"/>
              </w:rPr>
            </w:pPr>
            <w:r>
              <w:rPr>
                <w:color w:val="FFFFFF" w:themeColor="background1"/>
                <w:szCs w:val="24"/>
              </w:rPr>
              <w:t>2025-26</w:t>
            </w:r>
          </w:p>
          <w:p w14:paraId="2A66A3EA" w14:textId="03D64AF5" w:rsidR="00AD7578" w:rsidRPr="00D948C1" w:rsidRDefault="00AD7578" w:rsidP="00AD7578">
            <w:pPr>
              <w:jc w:val="right"/>
              <w:rPr>
                <w:color w:val="FFFFFF" w:themeColor="background1"/>
                <w:szCs w:val="24"/>
              </w:rPr>
            </w:pPr>
            <w:r w:rsidRPr="00D948C1">
              <w:rPr>
                <w:color w:val="FFFFFF" w:themeColor="background1"/>
                <w:szCs w:val="24"/>
              </w:rPr>
              <w:t>£000</w:t>
            </w:r>
          </w:p>
        </w:tc>
        <w:tc>
          <w:tcPr>
            <w:tcW w:w="1134" w:type="dxa"/>
            <w:shd w:val="clear" w:color="auto" w:fill="BD2716"/>
            <w:vAlign w:val="center"/>
          </w:tcPr>
          <w:p w14:paraId="3F68FF97" w14:textId="2CF01F60" w:rsidR="00AD7578" w:rsidRPr="00D948C1" w:rsidRDefault="001A42DD" w:rsidP="00AD7578">
            <w:pPr>
              <w:jc w:val="right"/>
              <w:rPr>
                <w:color w:val="FFFFFF" w:themeColor="background1"/>
                <w:szCs w:val="24"/>
              </w:rPr>
            </w:pPr>
            <w:r>
              <w:rPr>
                <w:color w:val="FFFFFF" w:themeColor="background1"/>
                <w:szCs w:val="24"/>
              </w:rPr>
              <w:t>2024-25</w:t>
            </w:r>
          </w:p>
          <w:p w14:paraId="3EAB1A6E" w14:textId="3A22112F" w:rsidR="00AD7578" w:rsidRPr="00D948C1" w:rsidRDefault="00AD7578" w:rsidP="00AD7578">
            <w:pPr>
              <w:jc w:val="right"/>
              <w:rPr>
                <w:color w:val="FFFFFF" w:themeColor="background1"/>
                <w:szCs w:val="24"/>
              </w:rPr>
            </w:pPr>
            <w:r w:rsidRPr="00D948C1">
              <w:rPr>
                <w:color w:val="FFFFFF" w:themeColor="background1"/>
                <w:szCs w:val="24"/>
              </w:rPr>
              <w:t>£000</w:t>
            </w:r>
          </w:p>
        </w:tc>
      </w:tr>
      <w:tr w:rsidR="00AD7578" w:rsidRPr="00D948C1" w14:paraId="6DC74B50" w14:textId="77777777" w:rsidTr="00746F3D">
        <w:trPr>
          <w:trHeight w:hRule="exact" w:val="300"/>
        </w:trPr>
        <w:tc>
          <w:tcPr>
            <w:tcW w:w="3074" w:type="dxa"/>
          </w:tcPr>
          <w:p w14:paraId="10F1BC3C" w14:textId="77777777" w:rsidR="00AD7578" w:rsidRPr="00D948C1" w:rsidRDefault="00AD7578" w:rsidP="00AD7578">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1 April</w:t>
            </w:r>
          </w:p>
        </w:tc>
        <w:tc>
          <w:tcPr>
            <w:tcW w:w="1134" w:type="dxa"/>
            <w:vAlign w:val="center"/>
          </w:tcPr>
          <w:p w14:paraId="24CF104E" w14:textId="11AAFD6F" w:rsidR="00AD7578" w:rsidRPr="00294859" w:rsidRDefault="00AD7578" w:rsidP="00AD7578">
            <w:pPr>
              <w:tabs>
                <w:tab w:val="decimal" w:pos="837"/>
              </w:tabs>
              <w:jc w:val="right"/>
              <w:rPr>
                <w:szCs w:val="24"/>
              </w:rPr>
            </w:pPr>
            <w:r>
              <w:rPr>
                <w:szCs w:val="24"/>
              </w:rPr>
              <w:t>(386)</w:t>
            </w:r>
          </w:p>
        </w:tc>
        <w:tc>
          <w:tcPr>
            <w:tcW w:w="1134" w:type="dxa"/>
            <w:vAlign w:val="center"/>
          </w:tcPr>
          <w:p w14:paraId="36B15741" w14:textId="0C53939E" w:rsidR="00AD7578" w:rsidRPr="00DF39E9" w:rsidRDefault="00AD7578" w:rsidP="00AD7578">
            <w:pPr>
              <w:tabs>
                <w:tab w:val="decimal" w:pos="837"/>
              </w:tabs>
              <w:jc w:val="right"/>
              <w:rPr>
                <w:szCs w:val="24"/>
              </w:rPr>
            </w:pPr>
            <w:r w:rsidRPr="00294859">
              <w:rPr>
                <w:szCs w:val="24"/>
              </w:rPr>
              <w:t>130</w:t>
            </w:r>
          </w:p>
        </w:tc>
        <w:tc>
          <w:tcPr>
            <w:tcW w:w="1134" w:type="dxa"/>
            <w:vAlign w:val="center"/>
          </w:tcPr>
          <w:p w14:paraId="4C6D2710" w14:textId="07215E5F" w:rsidR="00AD7578" w:rsidRPr="00294859" w:rsidRDefault="00AD7578" w:rsidP="00AD7578">
            <w:pPr>
              <w:tabs>
                <w:tab w:val="decimal" w:pos="837"/>
              </w:tabs>
              <w:jc w:val="right"/>
              <w:rPr>
                <w:szCs w:val="24"/>
              </w:rPr>
            </w:pPr>
            <w:r w:rsidRPr="00294859">
              <w:rPr>
                <w:szCs w:val="24"/>
              </w:rPr>
              <w:t>(2</w:t>
            </w:r>
            <w:r>
              <w:rPr>
                <w:szCs w:val="24"/>
              </w:rPr>
              <w:t>05</w:t>
            </w:r>
            <w:r w:rsidRPr="00294859">
              <w:rPr>
                <w:szCs w:val="24"/>
              </w:rPr>
              <w:t>)</w:t>
            </w:r>
          </w:p>
        </w:tc>
        <w:tc>
          <w:tcPr>
            <w:tcW w:w="1134" w:type="dxa"/>
            <w:vAlign w:val="center"/>
          </w:tcPr>
          <w:p w14:paraId="12807179" w14:textId="7A802764" w:rsidR="00AD7578" w:rsidRPr="00DF39E9" w:rsidRDefault="00AD7578" w:rsidP="00AD7578">
            <w:pPr>
              <w:tabs>
                <w:tab w:val="decimal" w:pos="837"/>
              </w:tabs>
              <w:jc w:val="right"/>
              <w:rPr>
                <w:szCs w:val="24"/>
              </w:rPr>
            </w:pPr>
            <w:r w:rsidRPr="00294859">
              <w:rPr>
                <w:szCs w:val="24"/>
              </w:rPr>
              <w:t>(249)</w:t>
            </w:r>
          </w:p>
        </w:tc>
        <w:tc>
          <w:tcPr>
            <w:tcW w:w="1134" w:type="dxa"/>
            <w:vAlign w:val="center"/>
          </w:tcPr>
          <w:p w14:paraId="648DEE92" w14:textId="4943B566" w:rsidR="00AD7578" w:rsidRPr="00294859" w:rsidRDefault="00AD7578" w:rsidP="00AD7578">
            <w:pPr>
              <w:tabs>
                <w:tab w:val="decimal" w:pos="837"/>
              </w:tabs>
              <w:jc w:val="right"/>
              <w:rPr>
                <w:szCs w:val="24"/>
              </w:rPr>
            </w:pPr>
            <w:r w:rsidRPr="00294859">
              <w:rPr>
                <w:szCs w:val="24"/>
              </w:rPr>
              <w:t>(</w:t>
            </w:r>
            <w:r>
              <w:rPr>
                <w:szCs w:val="24"/>
              </w:rPr>
              <w:t>591</w:t>
            </w:r>
            <w:r w:rsidRPr="00294859">
              <w:rPr>
                <w:szCs w:val="24"/>
              </w:rPr>
              <w:t>)</w:t>
            </w:r>
          </w:p>
        </w:tc>
        <w:tc>
          <w:tcPr>
            <w:tcW w:w="1134" w:type="dxa"/>
            <w:vAlign w:val="center"/>
          </w:tcPr>
          <w:p w14:paraId="3406390C" w14:textId="643C0B27" w:rsidR="00AD7578" w:rsidRPr="00DF39E9" w:rsidRDefault="00AD7578" w:rsidP="00AD7578">
            <w:pPr>
              <w:tabs>
                <w:tab w:val="decimal" w:pos="837"/>
              </w:tabs>
              <w:jc w:val="right"/>
              <w:rPr>
                <w:szCs w:val="24"/>
              </w:rPr>
            </w:pPr>
            <w:r w:rsidRPr="00294859">
              <w:rPr>
                <w:szCs w:val="24"/>
              </w:rPr>
              <w:t>(120)</w:t>
            </w:r>
          </w:p>
        </w:tc>
      </w:tr>
      <w:tr w:rsidR="00AD7578" w:rsidRPr="00D948C1" w14:paraId="4FEF58C5" w14:textId="77777777" w:rsidTr="00746F3D">
        <w:trPr>
          <w:trHeight w:hRule="exact" w:val="2467"/>
        </w:trPr>
        <w:tc>
          <w:tcPr>
            <w:tcW w:w="3074" w:type="dxa"/>
          </w:tcPr>
          <w:p w14:paraId="11A1209F" w14:textId="77777777" w:rsidR="00AD7578" w:rsidRPr="00D948C1" w:rsidRDefault="00AD7578" w:rsidP="00AD7578">
            <w:pPr>
              <w:tabs>
                <w:tab w:val="left" w:pos="720"/>
                <w:tab w:val="center" w:pos="6930"/>
              </w:tabs>
              <w:rPr>
                <w:szCs w:val="24"/>
              </w:rPr>
            </w:pPr>
            <w:r w:rsidRPr="00D948C1">
              <w:rPr>
                <w:szCs w:val="24"/>
              </w:rPr>
              <w:t xml:space="preserve">Amount by which council tax income credited to the </w:t>
            </w:r>
            <w:r w:rsidRPr="00D948C1">
              <w:rPr>
                <w:rFonts w:cs="Arial"/>
                <w:szCs w:val="24"/>
              </w:rPr>
              <w:t>Comprehensive Income and Expenditure Statement is different from council tax income calculated for the year in accordance with statutory requirements</w:t>
            </w:r>
          </w:p>
        </w:tc>
        <w:tc>
          <w:tcPr>
            <w:tcW w:w="1134" w:type="dxa"/>
            <w:vAlign w:val="center"/>
          </w:tcPr>
          <w:p w14:paraId="677DCF33" w14:textId="644EAFC5" w:rsidR="00AD7578" w:rsidRPr="00294859" w:rsidRDefault="00C92BBA" w:rsidP="00AD7578">
            <w:pPr>
              <w:tabs>
                <w:tab w:val="decimal" w:pos="837"/>
              </w:tabs>
              <w:jc w:val="right"/>
              <w:rPr>
                <w:szCs w:val="24"/>
              </w:rPr>
            </w:pPr>
            <w:r>
              <w:rPr>
                <w:szCs w:val="24"/>
              </w:rPr>
              <w:t>(25)</w:t>
            </w:r>
          </w:p>
        </w:tc>
        <w:tc>
          <w:tcPr>
            <w:tcW w:w="1134" w:type="dxa"/>
            <w:vAlign w:val="center"/>
          </w:tcPr>
          <w:p w14:paraId="47F3AF73" w14:textId="6F400636" w:rsidR="00AD7578" w:rsidRPr="00DF39E9" w:rsidRDefault="00AD7578" w:rsidP="00AD7578">
            <w:pPr>
              <w:tabs>
                <w:tab w:val="decimal" w:pos="837"/>
              </w:tabs>
              <w:jc w:val="right"/>
              <w:rPr>
                <w:szCs w:val="24"/>
              </w:rPr>
            </w:pPr>
            <w:r w:rsidRPr="00294859">
              <w:rPr>
                <w:szCs w:val="24"/>
              </w:rPr>
              <w:t>(</w:t>
            </w:r>
            <w:r w:rsidRPr="00456BDD">
              <w:rPr>
                <w:szCs w:val="24"/>
              </w:rPr>
              <w:t>516)</w:t>
            </w:r>
          </w:p>
        </w:tc>
        <w:tc>
          <w:tcPr>
            <w:tcW w:w="1134" w:type="dxa"/>
            <w:vAlign w:val="center"/>
          </w:tcPr>
          <w:p w14:paraId="6DFCB10B" w14:textId="1986217E" w:rsidR="00AD7578" w:rsidRPr="00294859" w:rsidRDefault="005C5D36" w:rsidP="00AD7578">
            <w:pPr>
              <w:tabs>
                <w:tab w:val="decimal" w:pos="837"/>
              </w:tabs>
              <w:jc w:val="right"/>
              <w:rPr>
                <w:szCs w:val="24"/>
              </w:rPr>
            </w:pPr>
            <w:r>
              <w:rPr>
                <w:szCs w:val="24"/>
              </w:rPr>
              <w:t>-</w:t>
            </w:r>
          </w:p>
        </w:tc>
        <w:tc>
          <w:tcPr>
            <w:tcW w:w="1134" w:type="dxa"/>
            <w:vAlign w:val="center"/>
          </w:tcPr>
          <w:p w14:paraId="3838FE43" w14:textId="7E71117E" w:rsidR="00AD7578" w:rsidRPr="00DF39E9" w:rsidRDefault="00AD7578" w:rsidP="00AD7578">
            <w:pPr>
              <w:tabs>
                <w:tab w:val="decimal" w:pos="837"/>
              </w:tabs>
              <w:jc w:val="right"/>
              <w:rPr>
                <w:szCs w:val="24"/>
              </w:rPr>
            </w:pPr>
            <w:r w:rsidRPr="00294859">
              <w:rPr>
                <w:szCs w:val="24"/>
              </w:rPr>
              <w:t>-</w:t>
            </w:r>
          </w:p>
        </w:tc>
        <w:tc>
          <w:tcPr>
            <w:tcW w:w="1134" w:type="dxa"/>
            <w:vAlign w:val="center"/>
          </w:tcPr>
          <w:p w14:paraId="7D7F21B6" w14:textId="155FE2F4" w:rsidR="00AD7578" w:rsidRPr="00294859" w:rsidRDefault="005C5D36" w:rsidP="00AD7578">
            <w:pPr>
              <w:tabs>
                <w:tab w:val="decimal" w:pos="837"/>
              </w:tabs>
              <w:jc w:val="right"/>
              <w:rPr>
                <w:szCs w:val="24"/>
              </w:rPr>
            </w:pPr>
            <w:r>
              <w:rPr>
                <w:szCs w:val="24"/>
              </w:rPr>
              <w:t>(25)</w:t>
            </w:r>
          </w:p>
        </w:tc>
        <w:tc>
          <w:tcPr>
            <w:tcW w:w="1134" w:type="dxa"/>
            <w:vAlign w:val="center"/>
          </w:tcPr>
          <w:p w14:paraId="5407F282" w14:textId="73F1C69C" w:rsidR="00AD7578" w:rsidRPr="00DF39E9" w:rsidRDefault="00AD7578" w:rsidP="00AD7578">
            <w:pPr>
              <w:tabs>
                <w:tab w:val="decimal" w:pos="837"/>
              </w:tabs>
              <w:jc w:val="right"/>
              <w:rPr>
                <w:szCs w:val="24"/>
              </w:rPr>
            </w:pPr>
            <w:r w:rsidRPr="00294859">
              <w:rPr>
                <w:szCs w:val="24"/>
              </w:rPr>
              <w:t>(516)</w:t>
            </w:r>
          </w:p>
        </w:tc>
      </w:tr>
      <w:tr w:rsidR="00AD7578" w:rsidRPr="00D948C1" w14:paraId="0AA53B58" w14:textId="77777777" w:rsidTr="00746F3D">
        <w:trPr>
          <w:trHeight w:hRule="exact" w:val="2558"/>
        </w:trPr>
        <w:tc>
          <w:tcPr>
            <w:tcW w:w="3074" w:type="dxa"/>
          </w:tcPr>
          <w:p w14:paraId="2C2D4B7E" w14:textId="77777777" w:rsidR="00AD7578" w:rsidRPr="00D948C1" w:rsidRDefault="00AD7578" w:rsidP="00AD7578">
            <w:pPr>
              <w:tabs>
                <w:tab w:val="left" w:pos="720"/>
                <w:tab w:val="center" w:pos="6930"/>
              </w:tabs>
              <w:rPr>
                <w:szCs w:val="24"/>
              </w:rPr>
            </w:pPr>
            <w:r w:rsidRPr="00D948C1">
              <w:rPr>
                <w:szCs w:val="24"/>
              </w:rPr>
              <w:t xml:space="preserve">Amount by which business rates income credited to the </w:t>
            </w:r>
            <w:r w:rsidRPr="00D948C1">
              <w:rPr>
                <w:rFonts w:cs="Arial"/>
                <w:szCs w:val="24"/>
              </w:rPr>
              <w:t xml:space="preserve">Comprehensive Income and Expenditure Statement is different from </w:t>
            </w:r>
            <w:r w:rsidRPr="00D948C1">
              <w:rPr>
                <w:szCs w:val="24"/>
              </w:rPr>
              <w:t>business rates</w:t>
            </w:r>
            <w:r w:rsidRPr="00D948C1">
              <w:rPr>
                <w:rFonts w:cs="Arial"/>
                <w:szCs w:val="24"/>
              </w:rPr>
              <w:t xml:space="preserve"> income calculated for the year in accordance with statutory requirements</w:t>
            </w:r>
          </w:p>
        </w:tc>
        <w:tc>
          <w:tcPr>
            <w:tcW w:w="1134" w:type="dxa"/>
            <w:vAlign w:val="center"/>
          </w:tcPr>
          <w:p w14:paraId="329DBEEF" w14:textId="1C57718D" w:rsidR="00AD7578" w:rsidRPr="00294859" w:rsidRDefault="005C5D36" w:rsidP="00AD7578">
            <w:pPr>
              <w:tabs>
                <w:tab w:val="decimal" w:pos="837"/>
              </w:tabs>
              <w:jc w:val="right"/>
              <w:rPr>
                <w:szCs w:val="24"/>
              </w:rPr>
            </w:pPr>
            <w:r>
              <w:rPr>
                <w:szCs w:val="24"/>
              </w:rPr>
              <w:t>-</w:t>
            </w:r>
          </w:p>
        </w:tc>
        <w:tc>
          <w:tcPr>
            <w:tcW w:w="1134" w:type="dxa"/>
            <w:vAlign w:val="center"/>
          </w:tcPr>
          <w:p w14:paraId="51C3C2FA" w14:textId="2A68613F" w:rsidR="00AD7578" w:rsidRPr="00DF39E9" w:rsidRDefault="00AD7578" w:rsidP="00AD7578">
            <w:pPr>
              <w:tabs>
                <w:tab w:val="decimal" w:pos="837"/>
              </w:tabs>
              <w:jc w:val="right"/>
              <w:rPr>
                <w:szCs w:val="24"/>
              </w:rPr>
            </w:pPr>
            <w:r w:rsidRPr="00294859">
              <w:rPr>
                <w:szCs w:val="24"/>
              </w:rPr>
              <w:t>-</w:t>
            </w:r>
          </w:p>
        </w:tc>
        <w:tc>
          <w:tcPr>
            <w:tcW w:w="1134" w:type="dxa"/>
            <w:vAlign w:val="center"/>
          </w:tcPr>
          <w:p w14:paraId="5E1BC2DE" w14:textId="58964DAD" w:rsidR="00AD7578" w:rsidRPr="00294859" w:rsidRDefault="005C5D36" w:rsidP="00AD7578">
            <w:pPr>
              <w:tabs>
                <w:tab w:val="decimal" w:pos="837"/>
              </w:tabs>
              <w:jc w:val="right"/>
              <w:rPr>
                <w:szCs w:val="24"/>
              </w:rPr>
            </w:pPr>
            <w:r>
              <w:rPr>
                <w:szCs w:val="24"/>
              </w:rPr>
              <w:t>67</w:t>
            </w:r>
          </w:p>
        </w:tc>
        <w:tc>
          <w:tcPr>
            <w:tcW w:w="1134" w:type="dxa"/>
            <w:vAlign w:val="center"/>
          </w:tcPr>
          <w:p w14:paraId="73D7434B" w14:textId="228E66FA" w:rsidR="00AD7578" w:rsidRPr="00DF39E9" w:rsidRDefault="00AD7578" w:rsidP="00AD7578">
            <w:pPr>
              <w:tabs>
                <w:tab w:val="decimal" w:pos="837"/>
              </w:tabs>
              <w:jc w:val="right"/>
              <w:rPr>
                <w:szCs w:val="24"/>
              </w:rPr>
            </w:pPr>
            <w:r w:rsidRPr="00294859">
              <w:rPr>
                <w:szCs w:val="24"/>
              </w:rPr>
              <w:t>44</w:t>
            </w:r>
          </w:p>
        </w:tc>
        <w:tc>
          <w:tcPr>
            <w:tcW w:w="1134" w:type="dxa"/>
            <w:vAlign w:val="center"/>
          </w:tcPr>
          <w:p w14:paraId="243D8132" w14:textId="7B84FE54" w:rsidR="00AD7578" w:rsidRPr="00294859" w:rsidRDefault="005C5D36" w:rsidP="00AD7578">
            <w:pPr>
              <w:tabs>
                <w:tab w:val="decimal" w:pos="837"/>
              </w:tabs>
              <w:jc w:val="right"/>
              <w:rPr>
                <w:szCs w:val="24"/>
              </w:rPr>
            </w:pPr>
            <w:r>
              <w:rPr>
                <w:szCs w:val="24"/>
              </w:rPr>
              <w:t>67</w:t>
            </w:r>
          </w:p>
        </w:tc>
        <w:tc>
          <w:tcPr>
            <w:tcW w:w="1134" w:type="dxa"/>
            <w:vAlign w:val="center"/>
          </w:tcPr>
          <w:p w14:paraId="61A4CEFA" w14:textId="1FBEB817" w:rsidR="00AD7578" w:rsidRPr="00DF39E9" w:rsidRDefault="00AD7578" w:rsidP="00AD7578">
            <w:pPr>
              <w:tabs>
                <w:tab w:val="decimal" w:pos="837"/>
              </w:tabs>
              <w:jc w:val="right"/>
              <w:rPr>
                <w:szCs w:val="24"/>
              </w:rPr>
            </w:pPr>
            <w:r w:rsidRPr="00294859">
              <w:rPr>
                <w:szCs w:val="24"/>
              </w:rPr>
              <w:t>44</w:t>
            </w:r>
          </w:p>
        </w:tc>
      </w:tr>
      <w:tr w:rsidR="00AD7578" w:rsidRPr="00D948C1" w14:paraId="15A945F2" w14:textId="77777777" w:rsidTr="00746F3D">
        <w:trPr>
          <w:trHeight w:hRule="exact" w:val="300"/>
        </w:trPr>
        <w:tc>
          <w:tcPr>
            <w:tcW w:w="3074" w:type="dxa"/>
          </w:tcPr>
          <w:p w14:paraId="5CC6C090" w14:textId="77777777" w:rsidR="00AD7578" w:rsidRPr="00D948C1" w:rsidRDefault="00AD7578" w:rsidP="00AD7578">
            <w:pPr>
              <w:tabs>
                <w:tab w:val="left" w:pos="720"/>
                <w:tab w:val="center" w:pos="6930"/>
              </w:tabs>
              <w:rPr>
                <w:szCs w:val="24"/>
              </w:rPr>
            </w:pPr>
            <w:r w:rsidRPr="00D948C1">
              <w:rPr>
                <w:szCs w:val="24"/>
              </w:rPr>
              <w:t xml:space="preserve">Balance </w:t>
            </w:r>
            <w:proofErr w:type="gramStart"/>
            <w:r w:rsidRPr="00D948C1">
              <w:rPr>
                <w:szCs w:val="24"/>
              </w:rPr>
              <w:t>at</w:t>
            </w:r>
            <w:proofErr w:type="gramEnd"/>
            <w:r w:rsidRPr="00D948C1">
              <w:rPr>
                <w:szCs w:val="24"/>
              </w:rPr>
              <w:t xml:space="preserve"> 31 March</w:t>
            </w:r>
          </w:p>
        </w:tc>
        <w:tc>
          <w:tcPr>
            <w:tcW w:w="1134" w:type="dxa"/>
            <w:vAlign w:val="center"/>
          </w:tcPr>
          <w:p w14:paraId="4FD633D8" w14:textId="0FDC8279" w:rsidR="00AD7578" w:rsidRPr="00294859" w:rsidRDefault="005C5D36" w:rsidP="00AD7578">
            <w:pPr>
              <w:tabs>
                <w:tab w:val="decimal" w:pos="837"/>
              </w:tabs>
              <w:jc w:val="right"/>
              <w:rPr>
                <w:szCs w:val="24"/>
              </w:rPr>
            </w:pPr>
            <w:r>
              <w:rPr>
                <w:szCs w:val="24"/>
              </w:rPr>
              <w:t>(411)</w:t>
            </w:r>
          </w:p>
        </w:tc>
        <w:tc>
          <w:tcPr>
            <w:tcW w:w="1134" w:type="dxa"/>
            <w:vAlign w:val="center"/>
          </w:tcPr>
          <w:p w14:paraId="678FD602" w14:textId="77EF08DB" w:rsidR="00AD7578" w:rsidRPr="00DF39E9" w:rsidRDefault="00AD7578" w:rsidP="00AD7578">
            <w:pPr>
              <w:tabs>
                <w:tab w:val="decimal" w:pos="837"/>
              </w:tabs>
              <w:jc w:val="right"/>
              <w:rPr>
                <w:szCs w:val="24"/>
              </w:rPr>
            </w:pPr>
            <w:r w:rsidRPr="00294859">
              <w:rPr>
                <w:szCs w:val="24"/>
              </w:rPr>
              <w:t>(386)</w:t>
            </w:r>
          </w:p>
        </w:tc>
        <w:tc>
          <w:tcPr>
            <w:tcW w:w="1134" w:type="dxa"/>
            <w:vAlign w:val="center"/>
          </w:tcPr>
          <w:p w14:paraId="14120430" w14:textId="78F47CFA" w:rsidR="00AD7578" w:rsidRPr="00294859" w:rsidRDefault="005C5D36" w:rsidP="00AD7578">
            <w:pPr>
              <w:tabs>
                <w:tab w:val="decimal" w:pos="837"/>
              </w:tabs>
              <w:jc w:val="right"/>
              <w:rPr>
                <w:szCs w:val="24"/>
              </w:rPr>
            </w:pPr>
            <w:r>
              <w:rPr>
                <w:szCs w:val="24"/>
              </w:rPr>
              <w:t>(138)</w:t>
            </w:r>
          </w:p>
        </w:tc>
        <w:tc>
          <w:tcPr>
            <w:tcW w:w="1134" w:type="dxa"/>
            <w:vAlign w:val="center"/>
          </w:tcPr>
          <w:p w14:paraId="123769C6" w14:textId="4FA5FF5F" w:rsidR="00AD7578" w:rsidRPr="00DF39E9" w:rsidRDefault="00AD7578" w:rsidP="00AD7578">
            <w:pPr>
              <w:tabs>
                <w:tab w:val="decimal" w:pos="837"/>
              </w:tabs>
              <w:jc w:val="right"/>
              <w:rPr>
                <w:szCs w:val="24"/>
              </w:rPr>
            </w:pPr>
            <w:r w:rsidRPr="00294859">
              <w:rPr>
                <w:szCs w:val="24"/>
              </w:rPr>
              <w:t>(205)</w:t>
            </w:r>
          </w:p>
        </w:tc>
        <w:tc>
          <w:tcPr>
            <w:tcW w:w="1134" w:type="dxa"/>
            <w:vAlign w:val="center"/>
          </w:tcPr>
          <w:p w14:paraId="72E19D94" w14:textId="289BE01D" w:rsidR="00AD7578" w:rsidRPr="00294859" w:rsidRDefault="005C5D36" w:rsidP="00AD7578">
            <w:pPr>
              <w:tabs>
                <w:tab w:val="decimal" w:pos="837"/>
              </w:tabs>
              <w:jc w:val="right"/>
              <w:rPr>
                <w:szCs w:val="24"/>
              </w:rPr>
            </w:pPr>
            <w:r>
              <w:rPr>
                <w:szCs w:val="24"/>
              </w:rPr>
              <w:t>(550)</w:t>
            </w:r>
          </w:p>
        </w:tc>
        <w:tc>
          <w:tcPr>
            <w:tcW w:w="1134" w:type="dxa"/>
            <w:vAlign w:val="center"/>
          </w:tcPr>
          <w:p w14:paraId="54673000" w14:textId="59E7B17D" w:rsidR="00AD7578" w:rsidRPr="00DF39E9" w:rsidRDefault="00AD7578" w:rsidP="00AD7578">
            <w:pPr>
              <w:tabs>
                <w:tab w:val="decimal" w:pos="837"/>
              </w:tabs>
              <w:jc w:val="right"/>
              <w:rPr>
                <w:szCs w:val="24"/>
              </w:rPr>
            </w:pPr>
            <w:r w:rsidRPr="00294859">
              <w:rPr>
                <w:szCs w:val="24"/>
              </w:rPr>
              <w:t>(591)</w:t>
            </w:r>
          </w:p>
        </w:tc>
      </w:tr>
    </w:tbl>
    <w:p w14:paraId="19ED1581" w14:textId="77777777" w:rsidR="00D90216" w:rsidRPr="00ED56B5" w:rsidRDefault="00350024" w:rsidP="000F5BFB">
      <w:pPr>
        <w:pStyle w:val="BodyTextIndent"/>
        <w:ind w:left="709"/>
        <w:rPr>
          <w:rFonts w:cs="Arial"/>
          <w:b/>
          <w:szCs w:val="24"/>
        </w:rPr>
      </w:pPr>
      <w:r w:rsidRPr="00D948C1">
        <w:rPr>
          <w:rFonts w:cs="Arial"/>
          <w:b/>
          <w:sz w:val="22"/>
          <w:szCs w:val="22"/>
        </w:rPr>
        <w:br w:type="page"/>
      </w:r>
      <w:r w:rsidR="00D90216" w:rsidRPr="00ED56B5">
        <w:rPr>
          <w:rFonts w:cs="Arial"/>
          <w:b/>
          <w:szCs w:val="24"/>
        </w:rPr>
        <w:lastRenderedPageBreak/>
        <w:t>Accumulated Absences Adjustment Account</w:t>
      </w:r>
    </w:p>
    <w:p w14:paraId="375EBF5E" w14:textId="143FFD22" w:rsidR="00D90216" w:rsidRPr="0052402F" w:rsidRDefault="00D90216" w:rsidP="6498351E">
      <w:pPr>
        <w:pStyle w:val="BodyTextIndent"/>
        <w:ind w:left="709"/>
        <w:rPr>
          <w:rFonts w:cs="Arial"/>
        </w:rPr>
      </w:pPr>
    </w:p>
    <w:p w14:paraId="48E05A41" w14:textId="68C69D49" w:rsidR="00D90216" w:rsidRPr="00467E18" w:rsidRDefault="00D90216" w:rsidP="000F5BFB">
      <w:pPr>
        <w:pStyle w:val="BodyTextIndent"/>
        <w:ind w:left="709"/>
        <w:rPr>
          <w:rFonts w:cs="Arial"/>
        </w:rPr>
      </w:pPr>
      <w:r w:rsidRPr="0052402F">
        <w:rPr>
          <w:rFonts w:cs="Arial"/>
        </w:rPr>
        <w:t>The Accumulated Absences Adjustment Account manages the differences arising from the recognition of accrued employee costs in the Comprehensive Income and Expenditure Statement compared with the statutory arrangements for paying across amounts to the General Fund.</w:t>
      </w:r>
    </w:p>
    <w:p w14:paraId="61F35909" w14:textId="77777777" w:rsidR="00D90216" w:rsidRPr="00D948C1" w:rsidRDefault="00D90216" w:rsidP="00D90216">
      <w:pPr>
        <w:pStyle w:val="BodyTextIndent"/>
        <w:ind w:left="709"/>
        <w:jc w:val="both"/>
        <w:rPr>
          <w:rFonts w:cs="Arial"/>
          <w:szCs w:val="24"/>
        </w:rPr>
      </w:pPr>
    </w:p>
    <w:tbl>
      <w:tblPr>
        <w:tblW w:w="862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gridCol w:w="1371"/>
        <w:gridCol w:w="1346"/>
      </w:tblGrid>
      <w:tr w:rsidR="0010066C" w:rsidRPr="00D948C1" w14:paraId="25AFEF27" w14:textId="77777777" w:rsidTr="00611673">
        <w:trPr>
          <w:trHeight w:hRule="exact" w:val="588"/>
        </w:trPr>
        <w:tc>
          <w:tcPr>
            <w:tcW w:w="5909" w:type="dxa"/>
            <w:shd w:val="clear" w:color="auto" w:fill="BD2716"/>
          </w:tcPr>
          <w:p w14:paraId="4FAB9DE9" w14:textId="77777777" w:rsidR="0010066C" w:rsidRPr="00D948C1" w:rsidRDefault="0010066C" w:rsidP="0010066C">
            <w:pPr>
              <w:tabs>
                <w:tab w:val="left" w:pos="720"/>
                <w:tab w:val="center" w:pos="6930"/>
              </w:tabs>
              <w:rPr>
                <w:color w:val="FFFFFF" w:themeColor="background1"/>
                <w:szCs w:val="24"/>
              </w:rPr>
            </w:pPr>
          </w:p>
        </w:tc>
        <w:tc>
          <w:tcPr>
            <w:tcW w:w="1371" w:type="dxa"/>
            <w:shd w:val="clear" w:color="auto" w:fill="BD2716"/>
            <w:vAlign w:val="center"/>
          </w:tcPr>
          <w:p w14:paraId="18D414C6" w14:textId="653B62E1" w:rsidR="0010066C" w:rsidRPr="00D948C1" w:rsidRDefault="001A42DD" w:rsidP="0010066C">
            <w:pPr>
              <w:jc w:val="right"/>
              <w:rPr>
                <w:color w:val="FFFFFF" w:themeColor="background1"/>
                <w:szCs w:val="24"/>
              </w:rPr>
            </w:pPr>
            <w:r>
              <w:rPr>
                <w:color w:val="FFFFFF" w:themeColor="background1"/>
                <w:szCs w:val="24"/>
              </w:rPr>
              <w:t>2025-26</w:t>
            </w:r>
          </w:p>
          <w:p w14:paraId="05D5E637" w14:textId="1B2DABE0" w:rsidR="0010066C" w:rsidRPr="00D948C1" w:rsidRDefault="0010066C" w:rsidP="0010066C">
            <w:pPr>
              <w:jc w:val="right"/>
              <w:rPr>
                <w:color w:val="FFFFFF" w:themeColor="background1"/>
                <w:szCs w:val="24"/>
              </w:rPr>
            </w:pPr>
            <w:r w:rsidRPr="00D948C1">
              <w:rPr>
                <w:color w:val="FFFFFF" w:themeColor="background1"/>
                <w:szCs w:val="24"/>
              </w:rPr>
              <w:t>£000</w:t>
            </w:r>
          </w:p>
        </w:tc>
        <w:tc>
          <w:tcPr>
            <w:tcW w:w="1346" w:type="dxa"/>
            <w:shd w:val="clear" w:color="auto" w:fill="BD2716"/>
            <w:vAlign w:val="center"/>
          </w:tcPr>
          <w:p w14:paraId="4302E93A" w14:textId="2E522D4F" w:rsidR="00AD7578" w:rsidRPr="00D948C1" w:rsidRDefault="001A42DD" w:rsidP="00AD7578">
            <w:pPr>
              <w:jc w:val="right"/>
              <w:rPr>
                <w:color w:val="FFFFFF" w:themeColor="background1"/>
                <w:szCs w:val="24"/>
              </w:rPr>
            </w:pPr>
            <w:r>
              <w:rPr>
                <w:color w:val="FFFFFF" w:themeColor="background1"/>
                <w:szCs w:val="24"/>
              </w:rPr>
              <w:t>2024-25</w:t>
            </w:r>
          </w:p>
          <w:p w14:paraId="4858503E" w14:textId="61BA1C0D" w:rsidR="0010066C" w:rsidRPr="00D948C1" w:rsidRDefault="00AD7578" w:rsidP="00AD7578">
            <w:pPr>
              <w:jc w:val="right"/>
              <w:rPr>
                <w:color w:val="FFFFFF" w:themeColor="background1"/>
                <w:szCs w:val="24"/>
              </w:rPr>
            </w:pPr>
            <w:r w:rsidRPr="00D948C1">
              <w:rPr>
                <w:color w:val="FFFFFF" w:themeColor="background1"/>
                <w:szCs w:val="24"/>
              </w:rPr>
              <w:t>£000</w:t>
            </w:r>
          </w:p>
        </w:tc>
      </w:tr>
      <w:tr w:rsidR="00AD7578" w:rsidRPr="00D948C1" w14:paraId="20C5DDE6" w14:textId="77777777" w:rsidTr="00746F3D">
        <w:trPr>
          <w:trHeight w:hRule="exact" w:val="300"/>
        </w:trPr>
        <w:tc>
          <w:tcPr>
            <w:tcW w:w="5909" w:type="dxa"/>
          </w:tcPr>
          <w:p w14:paraId="31B92393" w14:textId="77777777" w:rsidR="00AD7578" w:rsidRPr="00467E18" w:rsidRDefault="00AD7578" w:rsidP="00AD7578">
            <w:pPr>
              <w:tabs>
                <w:tab w:val="left" w:pos="720"/>
                <w:tab w:val="center" w:pos="6930"/>
              </w:tabs>
            </w:pPr>
            <w:r w:rsidRPr="00467E18">
              <w:t xml:space="preserve">Balance </w:t>
            </w:r>
            <w:proofErr w:type="gramStart"/>
            <w:r w:rsidRPr="00467E18">
              <w:t>at</w:t>
            </w:r>
            <w:proofErr w:type="gramEnd"/>
            <w:r w:rsidRPr="00467E18">
              <w:t xml:space="preserve"> 1 April</w:t>
            </w:r>
          </w:p>
        </w:tc>
        <w:tc>
          <w:tcPr>
            <w:tcW w:w="1371" w:type="dxa"/>
            <w:vAlign w:val="center"/>
          </w:tcPr>
          <w:p w14:paraId="269693E6" w14:textId="5DC587FF" w:rsidR="00AD7578" w:rsidRPr="00DF39E9" w:rsidRDefault="00AD7578" w:rsidP="00AD7578">
            <w:pPr>
              <w:tabs>
                <w:tab w:val="decimal" w:pos="837"/>
              </w:tabs>
              <w:jc w:val="right"/>
            </w:pPr>
            <w:r>
              <w:t>696</w:t>
            </w:r>
          </w:p>
        </w:tc>
        <w:tc>
          <w:tcPr>
            <w:tcW w:w="1346" w:type="dxa"/>
            <w:vAlign w:val="center"/>
          </w:tcPr>
          <w:p w14:paraId="16FAA93C" w14:textId="7FA00C55" w:rsidR="00AD7578" w:rsidRPr="00DF39E9" w:rsidRDefault="00AD7578" w:rsidP="00AD7578">
            <w:pPr>
              <w:tabs>
                <w:tab w:val="decimal" w:pos="837"/>
              </w:tabs>
              <w:jc w:val="right"/>
            </w:pPr>
            <w:r w:rsidRPr="00DF39E9">
              <w:t>954</w:t>
            </w:r>
          </w:p>
        </w:tc>
      </w:tr>
      <w:tr w:rsidR="00AD7578" w:rsidRPr="00D948C1" w14:paraId="761D061F" w14:textId="77777777" w:rsidTr="003572E5">
        <w:trPr>
          <w:trHeight w:hRule="exact" w:val="828"/>
        </w:trPr>
        <w:tc>
          <w:tcPr>
            <w:tcW w:w="5909" w:type="dxa"/>
          </w:tcPr>
          <w:p w14:paraId="61DE7920" w14:textId="77777777" w:rsidR="00AD7578" w:rsidRPr="00360E4B" w:rsidRDefault="00AD7578" w:rsidP="00AD7578">
            <w:pPr>
              <w:tabs>
                <w:tab w:val="left" w:pos="720"/>
                <w:tab w:val="center" w:pos="6930"/>
              </w:tabs>
            </w:pPr>
            <w:r w:rsidRPr="00360E4B">
              <w:t>Amount by which remuneration charged on an accruals basis is different from remuneration chargeable in the year in accordance with statutory requirements</w:t>
            </w:r>
          </w:p>
        </w:tc>
        <w:tc>
          <w:tcPr>
            <w:tcW w:w="1371" w:type="dxa"/>
            <w:vAlign w:val="center"/>
          </w:tcPr>
          <w:p w14:paraId="2ED99FC9" w14:textId="0C30E1FC" w:rsidR="00AD7578" w:rsidRPr="00DF39E9" w:rsidRDefault="00593861" w:rsidP="00AD7578">
            <w:pPr>
              <w:tabs>
                <w:tab w:val="decimal" w:pos="837"/>
              </w:tabs>
              <w:jc w:val="right"/>
            </w:pPr>
            <w:r>
              <w:t>(43)</w:t>
            </w:r>
          </w:p>
        </w:tc>
        <w:tc>
          <w:tcPr>
            <w:tcW w:w="1346" w:type="dxa"/>
            <w:vAlign w:val="center"/>
          </w:tcPr>
          <w:p w14:paraId="5E44C566" w14:textId="15F1B87B" w:rsidR="00AD7578" w:rsidRPr="00DF39E9" w:rsidRDefault="00AD7578" w:rsidP="00AD7578">
            <w:pPr>
              <w:tabs>
                <w:tab w:val="decimal" w:pos="837"/>
              </w:tabs>
              <w:jc w:val="right"/>
            </w:pPr>
            <w:r w:rsidRPr="00DF39E9">
              <w:t>(258)</w:t>
            </w:r>
          </w:p>
        </w:tc>
      </w:tr>
      <w:tr w:rsidR="00AD7578" w:rsidRPr="00D948C1" w14:paraId="6EDD4F0F" w14:textId="77777777" w:rsidTr="00746F3D">
        <w:trPr>
          <w:trHeight w:hRule="exact" w:val="300"/>
        </w:trPr>
        <w:tc>
          <w:tcPr>
            <w:tcW w:w="5909" w:type="dxa"/>
          </w:tcPr>
          <w:p w14:paraId="7E6701EB" w14:textId="77777777" w:rsidR="00AD7578" w:rsidRPr="00360E4B" w:rsidRDefault="00AD7578" w:rsidP="00AD7578">
            <w:pPr>
              <w:tabs>
                <w:tab w:val="left" w:pos="720"/>
                <w:tab w:val="center" w:pos="6930"/>
              </w:tabs>
            </w:pPr>
            <w:r w:rsidRPr="00360E4B">
              <w:t xml:space="preserve">Balance </w:t>
            </w:r>
            <w:proofErr w:type="gramStart"/>
            <w:r w:rsidRPr="00360E4B">
              <w:t>at</w:t>
            </w:r>
            <w:proofErr w:type="gramEnd"/>
            <w:r w:rsidRPr="00360E4B">
              <w:t xml:space="preserve"> 31 March</w:t>
            </w:r>
          </w:p>
        </w:tc>
        <w:tc>
          <w:tcPr>
            <w:tcW w:w="1371" w:type="dxa"/>
            <w:vAlign w:val="center"/>
          </w:tcPr>
          <w:p w14:paraId="50C198D8" w14:textId="58C5DE03" w:rsidR="00AD7578" w:rsidRPr="00DF39E9" w:rsidRDefault="00593861" w:rsidP="00AD7578">
            <w:pPr>
              <w:tabs>
                <w:tab w:val="decimal" w:pos="837"/>
              </w:tabs>
              <w:jc w:val="right"/>
            </w:pPr>
            <w:r>
              <w:t>653</w:t>
            </w:r>
          </w:p>
        </w:tc>
        <w:tc>
          <w:tcPr>
            <w:tcW w:w="1346" w:type="dxa"/>
            <w:vAlign w:val="center"/>
          </w:tcPr>
          <w:p w14:paraId="29A13817" w14:textId="0E06D1F0" w:rsidR="00AD7578" w:rsidRPr="00DF39E9" w:rsidRDefault="00AD7578" w:rsidP="00AD7578">
            <w:pPr>
              <w:tabs>
                <w:tab w:val="decimal" w:pos="837"/>
              </w:tabs>
              <w:jc w:val="right"/>
            </w:pPr>
            <w:r w:rsidRPr="00DF39E9">
              <w:t>696</w:t>
            </w:r>
          </w:p>
        </w:tc>
      </w:tr>
    </w:tbl>
    <w:p w14:paraId="3B2ED608" w14:textId="77777777" w:rsidR="00D90216" w:rsidRPr="00D948C1" w:rsidRDefault="00D90216" w:rsidP="00D90216">
      <w:pPr>
        <w:rPr>
          <w:b/>
          <w:sz w:val="22"/>
        </w:rPr>
      </w:pPr>
    </w:p>
    <w:p w14:paraId="0ED5B3D2" w14:textId="5A422D64" w:rsidR="00D90216" w:rsidRPr="00D948C1" w:rsidRDefault="00B62A26" w:rsidP="006563F1">
      <w:pPr>
        <w:pStyle w:val="Heading2"/>
        <w:jc w:val="left"/>
        <w:rPr>
          <w:sz w:val="24"/>
          <w:szCs w:val="24"/>
        </w:rPr>
      </w:pPr>
      <w:bookmarkStart w:id="64" w:name="_Toc233717539"/>
      <w:r>
        <w:rPr>
          <w:sz w:val="24"/>
          <w:szCs w:val="24"/>
        </w:rPr>
        <w:t>20</w:t>
      </w:r>
      <w:r w:rsidR="00D90216" w:rsidRPr="00D948C1">
        <w:rPr>
          <w:sz w:val="24"/>
          <w:szCs w:val="24"/>
        </w:rPr>
        <w:tab/>
      </w:r>
      <w:bookmarkStart w:id="65" w:name="N19"/>
      <w:bookmarkEnd w:id="65"/>
      <w:r w:rsidR="00D90216" w:rsidRPr="00D948C1">
        <w:rPr>
          <w:sz w:val="24"/>
          <w:szCs w:val="24"/>
        </w:rPr>
        <w:t>Contingent Liability</w:t>
      </w:r>
      <w:bookmarkEnd w:id="64"/>
    </w:p>
    <w:p w14:paraId="4FE07645" w14:textId="77777777" w:rsidR="008B4E79" w:rsidRPr="00D948C1" w:rsidRDefault="008B4E79" w:rsidP="000F5BFB">
      <w:pPr>
        <w:rPr>
          <w:rFonts w:cs="Arial"/>
          <w:color w:val="000000"/>
          <w:szCs w:val="24"/>
        </w:rPr>
      </w:pPr>
    </w:p>
    <w:p w14:paraId="3FF1CC98" w14:textId="47DDBE10" w:rsidR="009F7FA6" w:rsidRPr="006D21C6" w:rsidRDefault="009F7FA6" w:rsidP="009F7FA6">
      <w:pPr>
        <w:ind w:left="720"/>
        <w:rPr>
          <w:rFonts w:cs="Arial"/>
          <w:color w:val="000000"/>
        </w:rPr>
      </w:pPr>
      <w:bookmarkStart w:id="66" w:name="_Hlk140240379"/>
      <w:r w:rsidRPr="006D21C6">
        <w:rPr>
          <w:rFonts w:cs="Arial"/>
          <w:color w:val="000000" w:themeColor="text1"/>
        </w:rPr>
        <w:t>Matthews Case Stage 2</w:t>
      </w:r>
    </w:p>
    <w:p w14:paraId="3A42C3F4" w14:textId="77777777" w:rsidR="009F7FA6" w:rsidRPr="006D21C6" w:rsidRDefault="009F7FA6" w:rsidP="009F7FA6">
      <w:pPr>
        <w:ind w:left="720"/>
        <w:rPr>
          <w:rFonts w:cs="Arial"/>
          <w:color w:val="000000"/>
          <w:szCs w:val="24"/>
        </w:rPr>
      </w:pPr>
    </w:p>
    <w:p w14:paraId="2E642E39" w14:textId="2E6F5FFD" w:rsidR="009F7FA6" w:rsidRPr="006D21C6" w:rsidRDefault="009F7FA6" w:rsidP="009F7FA6">
      <w:pPr>
        <w:ind w:left="720"/>
        <w:rPr>
          <w:rFonts w:cs="Arial"/>
          <w:color w:val="000000"/>
          <w:szCs w:val="24"/>
        </w:rPr>
      </w:pPr>
      <w:r w:rsidRPr="006D21C6">
        <w:rPr>
          <w:rFonts w:cs="Arial"/>
          <w:color w:val="000000"/>
          <w:szCs w:val="24"/>
        </w:rPr>
        <w:t xml:space="preserve">Before 2006, retained firefighters were not eligible to join the fire service pension scheme. This was challenged in </w:t>
      </w:r>
      <w:r w:rsidR="00614512" w:rsidRPr="006D21C6">
        <w:rPr>
          <w:rFonts w:cs="Arial"/>
          <w:color w:val="000000"/>
          <w:szCs w:val="24"/>
        </w:rPr>
        <w:t>court,</w:t>
      </w:r>
      <w:r w:rsidRPr="006D21C6">
        <w:rPr>
          <w:rFonts w:cs="Arial"/>
          <w:color w:val="000000"/>
          <w:szCs w:val="24"/>
        </w:rPr>
        <w:t xml:space="preserve"> and a modified scheme was developed for retained firefighters employed between 1 July 2000 and 5 April 2006. Following the Matthews case, the European Court ruled separately that retained firefighters could “buy back” pensionable benefits from the start of their employment, provided they were employed as a firefighter between 7 April 2000 and 30 June 2000. </w:t>
      </w:r>
      <w:r w:rsidR="00047A01" w:rsidRPr="006D21C6">
        <w:rPr>
          <w:rFonts w:cs="Arial"/>
          <w:color w:val="000000"/>
          <w:szCs w:val="24"/>
        </w:rPr>
        <w:t>T</w:t>
      </w:r>
      <w:r w:rsidRPr="006D21C6">
        <w:rPr>
          <w:rFonts w:cs="Arial"/>
          <w:color w:val="000000"/>
          <w:szCs w:val="24"/>
        </w:rPr>
        <w:t>he option to join the scheme or buy back additional pensionable service</w:t>
      </w:r>
      <w:r w:rsidR="00047A01" w:rsidRPr="006D21C6">
        <w:rPr>
          <w:rFonts w:cs="Arial"/>
          <w:color w:val="000000"/>
          <w:szCs w:val="24"/>
        </w:rPr>
        <w:t xml:space="preserve"> has been extended by another </w:t>
      </w:r>
      <w:r w:rsidR="00633701" w:rsidRPr="006D21C6">
        <w:rPr>
          <w:rFonts w:cs="Arial"/>
          <w:color w:val="000000"/>
          <w:szCs w:val="24"/>
        </w:rPr>
        <w:t>12 months to 31 March 2027</w:t>
      </w:r>
      <w:r w:rsidRPr="006D21C6">
        <w:rPr>
          <w:rFonts w:cs="Arial"/>
          <w:color w:val="000000"/>
          <w:szCs w:val="24"/>
        </w:rPr>
        <w:t>.</w:t>
      </w:r>
    </w:p>
    <w:p w14:paraId="719468FC" w14:textId="77777777" w:rsidR="009F7FA6" w:rsidRPr="006D21C6" w:rsidRDefault="009F7FA6" w:rsidP="009F7FA6">
      <w:pPr>
        <w:ind w:left="720"/>
        <w:rPr>
          <w:rFonts w:cs="Arial"/>
          <w:color w:val="000000"/>
          <w:szCs w:val="24"/>
        </w:rPr>
      </w:pPr>
    </w:p>
    <w:p w14:paraId="54213E46" w14:textId="6BA5344B" w:rsidR="009F7FA6" w:rsidRDefault="009F7FA6" w:rsidP="009F7FA6">
      <w:pPr>
        <w:ind w:left="720"/>
        <w:rPr>
          <w:rFonts w:cs="Arial"/>
          <w:color w:val="000000" w:themeColor="text1"/>
        </w:rPr>
      </w:pPr>
      <w:r w:rsidRPr="006D21C6">
        <w:rPr>
          <w:rFonts w:cs="Arial"/>
          <w:color w:val="000000" w:themeColor="text1"/>
        </w:rPr>
        <w:t>The Government’s Actuary Department has estimated a potential increase in the firefighter pension scheme liability to be £2</w:t>
      </w:r>
      <w:r w:rsidR="007702EC" w:rsidRPr="006D21C6">
        <w:rPr>
          <w:rFonts w:cs="Arial"/>
          <w:color w:val="000000" w:themeColor="text1"/>
        </w:rPr>
        <w:t>2</w:t>
      </w:r>
      <w:r w:rsidR="00A6277B">
        <w:rPr>
          <w:rFonts w:cs="Arial"/>
          <w:color w:val="000000" w:themeColor="text1"/>
        </w:rPr>
        <w:t xml:space="preserve"> </w:t>
      </w:r>
      <w:r w:rsidRPr="006D21C6">
        <w:rPr>
          <w:rFonts w:cs="Arial"/>
          <w:color w:val="000000" w:themeColor="text1"/>
        </w:rPr>
        <w:t>m</w:t>
      </w:r>
      <w:r w:rsidR="00A6277B">
        <w:rPr>
          <w:rFonts w:cs="Arial"/>
          <w:color w:val="000000" w:themeColor="text1"/>
        </w:rPr>
        <w:t>illion</w:t>
      </w:r>
      <w:r w:rsidRPr="006D21C6">
        <w:rPr>
          <w:rFonts w:cs="Arial"/>
          <w:color w:val="000000" w:themeColor="text1"/>
        </w:rPr>
        <w:t>. As there are several uncertainties regarding eligibility, value of additional benefits and take up of additional benefits it is unclear what the actual cost to the Authority will be. The Authority is expecting these costs to be covered by grant funding from the Home Office.</w:t>
      </w:r>
    </w:p>
    <w:p w14:paraId="0210B932" w14:textId="77777777" w:rsidR="003E4605" w:rsidRDefault="003E4605" w:rsidP="009F7FA6">
      <w:pPr>
        <w:ind w:left="720"/>
        <w:rPr>
          <w:rFonts w:cs="Arial"/>
          <w:color w:val="000000" w:themeColor="text1"/>
        </w:rPr>
      </w:pPr>
    </w:p>
    <w:p w14:paraId="4E4A2C69" w14:textId="611A1834" w:rsidR="000731D7" w:rsidRPr="00897A18" w:rsidRDefault="00342904" w:rsidP="009F7FA6">
      <w:pPr>
        <w:ind w:left="720"/>
        <w:rPr>
          <w:rFonts w:cs="Arial"/>
          <w:color w:val="000000"/>
        </w:rPr>
      </w:pPr>
      <w:r w:rsidRPr="00897A18">
        <w:rPr>
          <w:rFonts w:cs="Arial"/>
          <w:color w:val="000000"/>
        </w:rPr>
        <w:t>Court of Appeal Judgement – Virgin Media v NTL Pension Trustees 11 Limited</w:t>
      </w:r>
    </w:p>
    <w:p w14:paraId="3EB5344E" w14:textId="77777777" w:rsidR="008E47C2" w:rsidRPr="00897A18" w:rsidRDefault="008E47C2" w:rsidP="009F7FA6">
      <w:pPr>
        <w:ind w:left="720"/>
        <w:rPr>
          <w:rFonts w:cs="Arial"/>
          <w:color w:val="000000"/>
        </w:rPr>
      </w:pPr>
    </w:p>
    <w:p w14:paraId="64F01F5E" w14:textId="44890F4C" w:rsidR="008E47C2" w:rsidRPr="009F7FA6" w:rsidRDefault="008E47C2" w:rsidP="009F7FA6">
      <w:pPr>
        <w:ind w:left="720"/>
        <w:rPr>
          <w:rFonts w:cs="Arial"/>
          <w:color w:val="000000"/>
        </w:rPr>
      </w:pPr>
      <w:r w:rsidRPr="00897A18">
        <w:rPr>
          <w:rFonts w:cs="Arial"/>
          <w:color w:val="000000"/>
        </w:rPr>
        <w:t>On 5</w:t>
      </w:r>
      <w:r w:rsidRPr="00897A18">
        <w:rPr>
          <w:rFonts w:cs="Arial"/>
          <w:color w:val="000000"/>
          <w:vertAlign w:val="superscript"/>
        </w:rPr>
        <w:t>th</w:t>
      </w:r>
      <w:r w:rsidRPr="00897A18">
        <w:rPr>
          <w:rFonts w:cs="Arial"/>
          <w:color w:val="000000"/>
        </w:rPr>
        <w:t xml:space="preserve"> June 2025, the Court of Appeal issued judgement</w:t>
      </w:r>
      <w:r w:rsidR="002255D1" w:rsidRPr="00897A18">
        <w:rPr>
          <w:rFonts w:cs="Arial"/>
          <w:color w:val="000000"/>
        </w:rPr>
        <w:t xml:space="preserve"> in the Virgin Media case (Virgin Media Ltd v NTL Pension Trustees 11 Ltd &amp; Ors</w:t>
      </w:r>
      <w:r w:rsidR="00961F6A" w:rsidRPr="00897A18">
        <w:rPr>
          <w:rFonts w:cs="Arial"/>
          <w:color w:val="000000"/>
        </w:rPr>
        <w:t xml:space="preserve">), which could affect any scheme </w:t>
      </w:r>
      <w:r w:rsidR="007D70B7" w:rsidRPr="00897A18">
        <w:rPr>
          <w:rFonts w:cs="Arial"/>
          <w:color w:val="000000"/>
        </w:rPr>
        <w:t>which was contracted out of the State Second Pension on a final salary basis</w:t>
      </w:r>
      <w:r w:rsidR="00E34AF9" w:rsidRPr="00897A18">
        <w:rPr>
          <w:rFonts w:cs="Arial"/>
          <w:color w:val="000000"/>
        </w:rPr>
        <w:t xml:space="preserve"> in the period between 6 April 1997 and 5 April 2016. The case </w:t>
      </w:r>
      <w:r w:rsidR="002449B7" w:rsidRPr="00897A18">
        <w:rPr>
          <w:rFonts w:cs="Arial"/>
          <w:color w:val="000000"/>
        </w:rPr>
        <w:t xml:space="preserve">centred on a </w:t>
      </w:r>
      <w:r w:rsidR="003A3574" w:rsidRPr="00897A18">
        <w:rPr>
          <w:rFonts w:cs="Arial"/>
          <w:color w:val="000000"/>
        </w:rPr>
        <w:t>change to benefits</w:t>
      </w:r>
      <w:r w:rsidR="007D3DF7" w:rsidRPr="00897A18">
        <w:rPr>
          <w:rFonts w:cs="Arial"/>
          <w:color w:val="000000"/>
        </w:rPr>
        <w:t xml:space="preserve"> made in 1999 to the way in which deferred member</w:t>
      </w:r>
      <w:r w:rsidR="001D3244" w:rsidRPr="00897A18">
        <w:rPr>
          <w:rFonts w:cs="Arial"/>
          <w:color w:val="000000"/>
        </w:rPr>
        <w:t>s’ pensions were revalued in re</w:t>
      </w:r>
      <w:r w:rsidR="00D71315" w:rsidRPr="00897A18">
        <w:rPr>
          <w:rFonts w:cs="Arial"/>
          <w:color w:val="000000"/>
        </w:rPr>
        <w:t>l</w:t>
      </w:r>
      <w:r w:rsidR="001D3244" w:rsidRPr="00897A18">
        <w:rPr>
          <w:rFonts w:cs="Arial"/>
          <w:color w:val="000000"/>
        </w:rPr>
        <w:t>ation to inflation.</w:t>
      </w:r>
      <w:r w:rsidR="00B855A9" w:rsidRPr="00897A18">
        <w:rPr>
          <w:rFonts w:cs="Arial"/>
          <w:color w:val="000000"/>
        </w:rPr>
        <w:t xml:space="preserve"> The impact of the ruling </w:t>
      </w:r>
      <w:r w:rsidR="00AD6324" w:rsidRPr="00897A18">
        <w:rPr>
          <w:rFonts w:cs="Arial"/>
          <w:color w:val="000000"/>
        </w:rPr>
        <w:t xml:space="preserve">on LGPS liabilities is </w:t>
      </w:r>
      <w:r w:rsidR="0011177B" w:rsidRPr="00897A18">
        <w:rPr>
          <w:rFonts w:cs="Arial"/>
          <w:color w:val="000000"/>
        </w:rPr>
        <w:t>unknown</w:t>
      </w:r>
      <w:r w:rsidR="009E0A43" w:rsidRPr="00897A18">
        <w:rPr>
          <w:rFonts w:cs="Arial"/>
          <w:color w:val="000000"/>
        </w:rPr>
        <w:t>. Until the legi</w:t>
      </w:r>
      <w:r w:rsidR="00DD616E" w:rsidRPr="00897A18">
        <w:rPr>
          <w:rFonts w:cs="Arial"/>
          <w:color w:val="000000"/>
        </w:rPr>
        <w:t xml:space="preserve">slation is passed, uncertainty will remain </w:t>
      </w:r>
      <w:r w:rsidR="00BD53D3" w:rsidRPr="00897A18">
        <w:rPr>
          <w:rFonts w:cs="Arial"/>
          <w:color w:val="000000"/>
        </w:rPr>
        <w:t xml:space="preserve">as to whether any additional </w:t>
      </w:r>
      <w:r w:rsidR="009F3130" w:rsidRPr="00897A18">
        <w:rPr>
          <w:rFonts w:cs="Arial"/>
          <w:color w:val="000000"/>
        </w:rPr>
        <w:t xml:space="preserve">liabilities </w:t>
      </w:r>
      <w:r w:rsidR="00F56673" w:rsidRPr="00897A18">
        <w:rPr>
          <w:rFonts w:cs="Arial"/>
          <w:color w:val="000000"/>
        </w:rPr>
        <w:t>might arise, and how they would be r</w:t>
      </w:r>
      <w:r w:rsidR="00AF4BF0" w:rsidRPr="00897A18">
        <w:rPr>
          <w:rFonts w:cs="Arial"/>
          <w:color w:val="000000"/>
        </w:rPr>
        <w:t>eliably measured.</w:t>
      </w:r>
    </w:p>
    <w:p w14:paraId="659F747B" w14:textId="77777777" w:rsidR="000D74A5" w:rsidRDefault="000D74A5" w:rsidP="000F5BFB">
      <w:pPr>
        <w:ind w:left="720"/>
        <w:rPr>
          <w:rFonts w:cs="Arial"/>
          <w:color w:val="000000"/>
          <w:szCs w:val="24"/>
        </w:rPr>
      </w:pPr>
    </w:p>
    <w:p w14:paraId="763E62B3" w14:textId="63D462C3" w:rsidR="00D90216" w:rsidRPr="00D948C1" w:rsidRDefault="001C592E" w:rsidP="006563F1">
      <w:pPr>
        <w:pStyle w:val="Heading2"/>
        <w:jc w:val="left"/>
        <w:rPr>
          <w:sz w:val="24"/>
          <w:szCs w:val="24"/>
        </w:rPr>
      </w:pPr>
      <w:bookmarkStart w:id="67" w:name="_Toc233717540"/>
      <w:bookmarkEnd w:id="66"/>
      <w:r w:rsidRPr="00D948C1">
        <w:rPr>
          <w:sz w:val="24"/>
          <w:szCs w:val="24"/>
        </w:rPr>
        <w:t>2</w:t>
      </w:r>
      <w:r w:rsidR="00B62A26">
        <w:rPr>
          <w:sz w:val="24"/>
          <w:szCs w:val="24"/>
        </w:rPr>
        <w:t>1</w:t>
      </w:r>
      <w:r w:rsidR="00D90216" w:rsidRPr="00D948C1">
        <w:rPr>
          <w:sz w:val="24"/>
          <w:szCs w:val="24"/>
        </w:rPr>
        <w:tab/>
        <w:t>Post Balance Sheet Events</w:t>
      </w:r>
      <w:bookmarkEnd w:id="67"/>
    </w:p>
    <w:p w14:paraId="525D6849" w14:textId="77777777" w:rsidR="00D90216" w:rsidRPr="00D948C1" w:rsidRDefault="00D90216" w:rsidP="000F5BFB">
      <w:pPr>
        <w:rPr>
          <w:szCs w:val="24"/>
        </w:rPr>
      </w:pPr>
    </w:p>
    <w:p w14:paraId="64768AB7" w14:textId="24C084C4" w:rsidR="00202CB0" w:rsidRPr="00D948C1" w:rsidRDefault="00970192" w:rsidP="000F5BFB">
      <w:pPr>
        <w:ind w:left="709"/>
      </w:pPr>
      <w:r w:rsidRPr="006D21C6">
        <w:rPr>
          <w:lang w:val="en-US"/>
        </w:rPr>
        <w:t xml:space="preserve">As at the date </w:t>
      </w:r>
      <w:r w:rsidR="00C53DA4" w:rsidRPr="006D21C6">
        <w:rPr>
          <w:lang w:val="en-US"/>
        </w:rPr>
        <w:t>of signing of the</w:t>
      </w:r>
      <w:r w:rsidR="00097D31" w:rsidRPr="006D21C6">
        <w:rPr>
          <w:lang w:val="en-US"/>
        </w:rPr>
        <w:t xml:space="preserve"> draft</w:t>
      </w:r>
      <w:r w:rsidR="00C53DA4" w:rsidRPr="006D21C6">
        <w:rPr>
          <w:lang w:val="en-US"/>
        </w:rPr>
        <w:t xml:space="preserve"> accounts, </w:t>
      </w:r>
      <w:r w:rsidR="3DF6A212" w:rsidRPr="006D21C6">
        <w:rPr>
          <w:lang w:val="en-US"/>
        </w:rPr>
        <w:t>30</w:t>
      </w:r>
      <w:r w:rsidR="3DF6A212" w:rsidRPr="006D21C6">
        <w:rPr>
          <w:vertAlign w:val="superscript"/>
          <w:lang w:val="en-US"/>
        </w:rPr>
        <w:t>th</w:t>
      </w:r>
      <w:r w:rsidR="3DF6A212" w:rsidRPr="006D21C6">
        <w:rPr>
          <w:lang w:val="en-US"/>
        </w:rPr>
        <w:t xml:space="preserve"> June</w:t>
      </w:r>
      <w:r w:rsidR="009B2F29" w:rsidRPr="006D21C6">
        <w:rPr>
          <w:lang w:val="en-US"/>
        </w:rPr>
        <w:t xml:space="preserve"> 202</w:t>
      </w:r>
      <w:r w:rsidR="0C82A35C" w:rsidRPr="006D21C6">
        <w:rPr>
          <w:lang w:val="en-US"/>
        </w:rPr>
        <w:t>6</w:t>
      </w:r>
      <w:r w:rsidR="00C53DA4" w:rsidRPr="006D21C6">
        <w:rPr>
          <w:lang w:val="en-US"/>
        </w:rPr>
        <w:t xml:space="preserve">, </w:t>
      </w:r>
      <w:r w:rsidRPr="006D21C6">
        <w:rPr>
          <w:lang w:val="en-US"/>
        </w:rPr>
        <w:t xml:space="preserve">there </w:t>
      </w:r>
      <w:r w:rsidR="00ED6F5F" w:rsidRPr="006D21C6">
        <w:rPr>
          <w:lang w:val="en-US"/>
        </w:rPr>
        <w:t>have been no events either adjusting on non-adjusting.</w:t>
      </w:r>
    </w:p>
    <w:p w14:paraId="32B47249" w14:textId="77777777" w:rsidR="008F213A" w:rsidRPr="00D948C1" w:rsidRDefault="008F213A" w:rsidP="000F5BFB">
      <w:pPr>
        <w:ind w:left="709"/>
        <w:rPr>
          <w:b/>
          <w:szCs w:val="24"/>
        </w:rPr>
      </w:pPr>
    </w:p>
    <w:p w14:paraId="4F913243" w14:textId="08A00E10" w:rsidR="00D90216" w:rsidRPr="00F45195" w:rsidRDefault="001C592E" w:rsidP="006563F1">
      <w:pPr>
        <w:pStyle w:val="Heading2"/>
        <w:jc w:val="left"/>
        <w:rPr>
          <w:sz w:val="24"/>
          <w:szCs w:val="24"/>
        </w:rPr>
      </w:pPr>
      <w:bookmarkStart w:id="68" w:name="_Toc233717541"/>
      <w:r w:rsidRPr="00D948C1">
        <w:rPr>
          <w:sz w:val="24"/>
          <w:szCs w:val="24"/>
        </w:rPr>
        <w:t>2</w:t>
      </w:r>
      <w:r w:rsidR="00B62A26">
        <w:rPr>
          <w:sz w:val="24"/>
          <w:szCs w:val="24"/>
        </w:rPr>
        <w:t>2</w:t>
      </w:r>
      <w:r w:rsidR="00D90216">
        <w:tab/>
      </w:r>
      <w:r w:rsidR="00D90216" w:rsidRPr="00F45195">
        <w:rPr>
          <w:sz w:val="24"/>
          <w:szCs w:val="24"/>
        </w:rPr>
        <w:t>Nature and Extent of Risks Arising from Financial Instruments</w:t>
      </w:r>
      <w:bookmarkEnd w:id="68"/>
    </w:p>
    <w:p w14:paraId="104202B8" w14:textId="77777777" w:rsidR="00D90216" w:rsidRPr="00F45195" w:rsidRDefault="00D90216" w:rsidP="000F5BFB">
      <w:pPr>
        <w:ind w:left="709"/>
      </w:pPr>
    </w:p>
    <w:p w14:paraId="4F6F002B" w14:textId="77777777" w:rsidR="00D90216" w:rsidRPr="00A83489" w:rsidRDefault="00D90216" w:rsidP="000F5BFB">
      <w:pPr>
        <w:ind w:left="709"/>
      </w:pPr>
      <w:r w:rsidRPr="0003719D">
        <w:t>The Authority’s</w:t>
      </w:r>
      <w:r>
        <w:t xml:space="preserve"> activities expose it to a variety of financial risks:</w:t>
      </w:r>
    </w:p>
    <w:p w14:paraId="70665BB8" w14:textId="77777777" w:rsidR="00D90216" w:rsidRPr="00A83489" w:rsidRDefault="00D90216" w:rsidP="000F5BFB">
      <w:pPr>
        <w:ind w:left="709"/>
      </w:pPr>
    </w:p>
    <w:p w14:paraId="21D9837A" w14:textId="06F0C1F8" w:rsidR="00D90216" w:rsidRPr="00A83489" w:rsidRDefault="00D90216" w:rsidP="000F5BFB">
      <w:pPr>
        <w:numPr>
          <w:ilvl w:val="0"/>
          <w:numId w:val="18"/>
        </w:numPr>
      </w:pPr>
      <w:r>
        <w:t>Credit risk – the possibility that other parties might fail to pay amounts due to the Authority</w:t>
      </w:r>
      <w:r w:rsidR="000A40E3">
        <w:t>.</w:t>
      </w:r>
    </w:p>
    <w:p w14:paraId="3095ACDF" w14:textId="5D4DE97C" w:rsidR="00D90216" w:rsidRPr="00A83489" w:rsidRDefault="00D90216" w:rsidP="000F5BFB">
      <w:pPr>
        <w:numPr>
          <w:ilvl w:val="0"/>
          <w:numId w:val="18"/>
        </w:numPr>
      </w:pPr>
      <w:r>
        <w:t>Liquidity risk – the possibility that the Authority might not have funds available to meet its commitments to make payments</w:t>
      </w:r>
      <w:r w:rsidR="000A40E3">
        <w:t>.</w:t>
      </w:r>
    </w:p>
    <w:p w14:paraId="7915C0C6" w14:textId="6234700B" w:rsidR="00D90216" w:rsidRPr="00A83489" w:rsidRDefault="00D90216" w:rsidP="000F5BFB">
      <w:pPr>
        <w:numPr>
          <w:ilvl w:val="0"/>
          <w:numId w:val="18"/>
        </w:numPr>
      </w:pPr>
      <w:r>
        <w:t xml:space="preserve">Market risk – the possibility that financial loss might arise for the Authority </w:t>
      </w:r>
      <w:r w:rsidR="0094180B">
        <w:t>because of</w:t>
      </w:r>
      <w:r>
        <w:t xml:space="preserve"> changes in such measures as interest rates and stock market movements.</w:t>
      </w:r>
    </w:p>
    <w:p w14:paraId="52915CFF" w14:textId="77777777" w:rsidR="00D90216" w:rsidRPr="00A83489" w:rsidRDefault="00D90216" w:rsidP="000F5BFB"/>
    <w:p w14:paraId="2DA98039" w14:textId="0EF5E4DA" w:rsidR="00D90216" w:rsidRPr="00A83489" w:rsidRDefault="00D90216" w:rsidP="000F5BFB">
      <w:pPr>
        <w:ind w:left="709"/>
      </w:pPr>
      <w:r>
        <w:t>Risk management is carried out under policies approved by the Authority in the annual Treasury Management Strategy. The strategy provides written principles for overall risk management, as well as written policies covering specific areas, such as interest rate risk, credit risk and the investment of surplus cash.</w:t>
      </w:r>
    </w:p>
    <w:p w14:paraId="5AA8DF86" w14:textId="77777777" w:rsidR="00D92F67" w:rsidRPr="00A83489" w:rsidRDefault="00D92F67" w:rsidP="000F5BFB">
      <w:pPr>
        <w:ind w:left="720"/>
        <w:rPr>
          <w:b/>
        </w:rPr>
      </w:pPr>
    </w:p>
    <w:p w14:paraId="1B940933" w14:textId="77777777" w:rsidR="00D90216" w:rsidRPr="00A83489" w:rsidRDefault="00D90216" w:rsidP="000F5BFB">
      <w:pPr>
        <w:ind w:left="720"/>
        <w:rPr>
          <w:b/>
        </w:rPr>
      </w:pPr>
      <w:r w:rsidRPr="671B1AD7">
        <w:rPr>
          <w:b/>
        </w:rPr>
        <w:t>Credit Risk</w:t>
      </w:r>
    </w:p>
    <w:p w14:paraId="1931A420" w14:textId="77777777" w:rsidR="00D90216" w:rsidRPr="00A83489" w:rsidRDefault="00D90216" w:rsidP="000F5BFB">
      <w:pPr>
        <w:ind w:left="709"/>
      </w:pPr>
    </w:p>
    <w:p w14:paraId="207214C0" w14:textId="77777777" w:rsidR="00D90216" w:rsidRPr="00A83489" w:rsidRDefault="00D90216" w:rsidP="000F5BFB">
      <w:pPr>
        <w:ind w:left="709"/>
      </w:pPr>
      <w:r>
        <w:t>Credit risk arises from deposits with banks and financial institutions, as well as credit exposures to the Authority’s customers.</w:t>
      </w:r>
    </w:p>
    <w:p w14:paraId="5392DB45" w14:textId="345B640E" w:rsidR="00D90216" w:rsidRPr="00A83489" w:rsidRDefault="00D90216" w:rsidP="000F5BFB">
      <w:pPr>
        <w:ind w:left="709"/>
      </w:pPr>
    </w:p>
    <w:p w14:paraId="5F1E0FAD" w14:textId="62DD0877" w:rsidR="00A7369F" w:rsidRPr="00A83489" w:rsidRDefault="00A7369F" w:rsidP="000F5BFB">
      <w:pPr>
        <w:ind w:left="709"/>
      </w:pPr>
      <w:r>
        <w:t xml:space="preserve">This risk is minimised through the Annual Investment Strategy, which states that any investment counterparty must have a minimum actual or implied credit rating of AA- </w:t>
      </w:r>
      <w:r w:rsidR="001C3A52">
        <w:t>to</w:t>
      </w:r>
      <w:r>
        <w:t xml:space="preserve"> be eligible. The Authority will also have regard to recent banking reform legislation which provides for creditor 'bail-in' rather than state 'bail-out' of banks should the bank fail. The effect of this legislation is that a local authority is likely to lose a higher proportion of any assets caught up in a credit event than almost any other type of institution. Credit risk control therefore means that unsecured bank deposits are, unless for very short duration, not suitable as an investment instrument in the future.</w:t>
      </w:r>
    </w:p>
    <w:p w14:paraId="5650CF91" w14:textId="77777777" w:rsidR="00D90216" w:rsidRPr="00A83489" w:rsidRDefault="00D90216" w:rsidP="000F5BFB"/>
    <w:p w14:paraId="7537DF0A" w14:textId="77777777" w:rsidR="00D90216" w:rsidRPr="00A83489" w:rsidRDefault="00D90216" w:rsidP="000F5BFB">
      <w:pPr>
        <w:ind w:left="720"/>
      </w:pPr>
      <w:r>
        <w:t xml:space="preserve">In the context of credit risk, trade debtors are treated as financial instruments. </w:t>
      </w:r>
    </w:p>
    <w:p w14:paraId="55B99BED" w14:textId="77777777" w:rsidR="00762A90" w:rsidRPr="001A35A8" w:rsidRDefault="00762A90" w:rsidP="00746F3D">
      <w:pPr>
        <w:rPr>
          <w:b/>
        </w:rPr>
      </w:pPr>
    </w:p>
    <w:p w14:paraId="3EC6892F" w14:textId="584BAD01" w:rsidR="00D90216" w:rsidRPr="001A35A8" w:rsidRDefault="00D90216" w:rsidP="000F5BFB">
      <w:pPr>
        <w:ind w:left="720"/>
        <w:rPr>
          <w:b/>
        </w:rPr>
      </w:pPr>
      <w:bookmarkStart w:id="69" w:name="_Hlk141616625"/>
      <w:r w:rsidRPr="001A35A8">
        <w:rPr>
          <w:b/>
        </w:rPr>
        <w:t xml:space="preserve">Trade </w:t>
      </w:r>
      <w:r w:rsidR="001931F4" w:rsidRPr="001A35A8">
        <w:rPr>
          <w:b/>
        </w:rPr>
        <w:t>D</w:t>
      </w:r>
      <w:r w:rsidRPr="001A35A8">
        <w:rPr>
          <w:b/>
        </w:rPr>
        <w:t xml:space="preserve">ebtor </w:t>
      </w:r>
      <w:r w:rsidR="001931F4" w:rsidRPr="001A35A8">
        <w:rPr>
          <w:b/>
        </w:rPr>
        <w:t>C</w:t>
      </w:r>
      <w:r w:rsidRPr="001A35A8">
        <w:rPr>
          <w:b/>
        </w:rPr>
        <w:t xml:space="preserve">redit </w:t>
      </w:r>
      <w:r w:rsidR="001931F4" w:rsidRPr="001A35A8">
        <w:rPr>
          <w:b/>
        </w:rPr>
        <w:t>R</w:t>
      </w:r>
      <w:r w:rsidRPr="001A35A8">
        <w:rPr>
          <w:b/>
        </w:rPr>
        <w:t>isk</w:t>
      </w:r>
    </w:p>
    <w:p w14:paraId="6189A0EC" w14:textId="77777777" w:rsidR="00D90216" w:rsidRPr="001A35A8" w:rsidRDefault="00D90216" w:rsidP="000F5BFB">
      <w:pPr>
        <w:ind w:left="720"/>
      </w:pPr>
    </w:p>
    <w:p w14:paraId="77EF5732" w14:textId="3CB02980" w:rsidR="00D90216" w:rsidRPr="00663DA5" w:rsidRDefault="00D90216" w:rsidP="000F5BFB">
      <w:pPr>
        <w:ind w:left="709"/>
      </w:pPr>
      <w:r w:rsidRPr="001A35A8">
        <w:t xml:space="preserve">The Authority does not generally allow credit for customers, such that </w:t>
      </w:r>
      <w:r w:rsidR="00BC5AAA">
        <w:t>£0</w:t>
      </w:r>
      <w:r w:rsidR="00C0111A">
        <w:t>.063 million</w:t>
      </w:r>
      <w:r w:rsidR="00E63989" w:rsidRPr="001A35A8">
        <w:t xml:space="preserve"> </w:t>
      </w:r>
      <w:r w:rsidRPr="001A35A8">
        <w:t xml:space="preserve">of the </w:t>
      </w:r>
      <w:r w:rsidR="00CC173E">
        <w:t>£</w:t>
      </w:r>
      <w:r w:rsidR="00C0111A">
        <w:t>0.</w:t>
      </w:r>
      <w:r w:rsidR="00CC173E">
        <w:t>554</w:t>
      </w:r>
      <w:r w:rsidR="00C0111A">
        <w:t xml:space="preserve"> million</w:t>
      </w:r>
      <w:r w:rsidR="00CC71B7" w:rsidRPr="00663DA5">
        <w:t xml:space="preserve"> </w:t>
      </w:r>
      <w:r w:rsidRPr="001A35A8">
        <w:t xml:space="preserve">balance is past due date for payment. On a prudent basis the Authority has created a provision for </w:t>
      </w:r>
      <w:r w:rsidR="00307578" w:rsidRPr="001A35A8">
        <w:t>expected credit losses</w:t>
      </w:r>
      <w:r w:rsidRPr="001A35A8">
        <w:t xml:space="preserve"> to cover any potential loss arising from this, which currently stands at </w:t>
      </w:r>
      <w:r w:rsidR="007603E1" w:rsidRPr="001A35A8">
        <w:t>£</w:t>
      </w:r>
      <w:r w:rsidR="00C0111A">
        <w:t>0.0</w:t>
      </w:r>
      <w:r w:rsidR="00383258">
        <w:t>47</w:t>
      </w:r>
      <w:r w:rsidR="00C0111A">
        <w:t xml:space="preserve"> million</w:t>
      </w:r>
      <w:r w:rsidRPr="001A35A8">
        <w:t xml:space="preserve"> which is considered sufficient for this purpose.</w:t>
      </w:r>
    </w:p>
    <w:bookmarkEnd w:id="69"/>
    <w:p w14:paraId="33F114B9" w14:textId="77777777" w:rsidR="00255965" w:rsidRPr="00D948C1" w:rsidRDefault="00255965" w:rsidP="000F5BFB">
      <w:pPr>
        <w:rPr>
          <w:szCs w:val="24"/>
        </w:rPr>
      </w:pPr>
    </w:p>
    <w:p w14:paraId="2BF31854" w14:textId="64E91AE4" w:rsidR="00D90216" w:rsidRPr="00D948C1" w:rsidRDefault="00D90216" w:rsidP="00746F3D">
      <w:pPr>
        <w:ind w:left="709"/>
        <w:rPr>
          <w:szCs w:val="24"/>
        </w:rPr>
      </w:pPr>
      <w:r w:rsidRPr="001A35A8">
        <w:rPr>
          <w:szCs w:val="24"/>
        </w:rPr>
        <w:t>The past due amount can be analysed by age as follows:</w:t>
      </w:r>
      <w:r w:rsidRPr="00D948C1">
        <w:rPr>
          <w:szCs w:val="24"/>
        </w:rPr>
        <w:t xml:space="preserve"> </w:t>
      </w:r>
    </w:p>
    <w:p w14:paraId="700296A9" w14:textId="77777777" w:rsidR="00746F3D" w:rsidRPr="00D948C1" w:rsidRDefault="00746F3D" w:rsidP="00746F3D">
      <w:pPr>
        <w:ind w:left="709"/>
        <w:rPr>
          <w:szCs w:val="24"/>
        </w:rPr>
      </w:pPr>
    </w:p>
    <w:tbl>
      <w:tblPr>
        <w:tblW w:w="6379"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701"/>
        <w:gridCol w:w="1560"/>
      </w:tblGrid>
      <w:tr w:rsidR="0010066C" w:rsidRPr="00D948C1" w14:paraId="32309BC2" w14:textId="77777777" w:rsidTr="00611673">
        <w:tc>
          <w:tcPr>
            <w:tcW w:w="3118" w:type="dxa"/>
            <w:shd w:val="clear" w:color="auto" w:fill="BD2716"/>
          </w:tcPr>
          <w:p w14:paraId="27F927C2" w14:textId="765DBF02" w:rsidR="0010066C" w:rsidRPr="00D948C1" w:rsidRDefault="0010066C" w:rsidP="0010066C">
            <w:pPr>
              <w:rPr>
                <w:color w:val="FFFFFF" w:themeColor="background1"/>
                <w:szCs w:val="24"/>
              </w:rPr>
            </w:pPr>
          </w:p>
        </w:tc>
        <w:tc>
          <w:tcPr>
            <w:tcW w:w="1701" w:type="dxa"/>
            <w:shd w:val="clear" w:color="auto" w:fill="BD2716"/>
            <w:vAlign w:val="center"/>
          </w:tcPr>
          <w:p w14:paraId="02E8A827" w14:textId="59BDCE33" w:rsidR="0010066C" w:rsidRPr="00D948C1" w:rsidRDefault="001A42DD" w:rsidP="0010066C">
            <w:pPr>
              <w:jc w:val="right"/>
              <w:rPr>
                <w:color w:val="FFFFFF" w:themeColor="background1"/>
                <w:szCs w:val="24"/>
              </w:rPr>
            </w:pPr>
            <w:r>
              <w:rPr>
                <w:color w:val="FFFFFF" w:themeColor="background1"/>
                <w:szCs w:val="24"/>
              </w:rPr>
              <w:t>2025-26</w:t>
            </w:r>
          </w:p>
          <w:p w14:paraId="1C76FDC4" w14:textId="32879931" w:rsidR="0010066C" w:rsidRPr="00D948C1" w:rsidRDefault="0010066C" w:rsidP="0010066C">
            <w:pPr>
              <w:jc w:val="right"/>
              <w:rPr>
                <w:color w:val="FFFFFF" w:themeColor="background1"/>
                <w:szCs w:val="24"/>
              </w:rPr>
            </w:pPr>
            <w:r w:rsidRPr="00D948C1">
              <w:rPr>
                <w:color w:val="FFFFFF" w:themeColor="background1"/>
                <w:szCs w:val="24"/>
              </w:rPr>
              <w:t>£000</w:t>
            </w:r>
          </w:p>
        </w:tc>
        <w:tc>
          <w:tcPr>
            <w:tcW w:w="1560" w:type="dxa"/>
            <w:shd w:val="clear" w:color="auto" w:fill="BD2716"/>
            <w:vAlign w:val="center"/>
          </w:tcPr>
          <w:p w14:paraId="3DF20B01" w14:textId="3A763F1D" w:rsidR="00162001" w:rsidRPr="00D948C1" w:rsidRDefault="001A42DD" w:rsidP="00162001">
            <w:pPr>
              <w:jc w:val="right"/>
              <w:rPr>
                <w:color w:val="FFFFFF" w:themeColor="background1"/>
                <w:szCs w:val="24"/>
              </w:rPr>
            </w:pPr>
            <w:r>
              <w:rPr>
                <w:color w:val="FFFFFF" w:themeColor="background1"/>
                <w:szCs w:val="24"/>
              </w:rPr>
              <w:t>2024-25</w:t>
            </w:r>
          </w:p>
          <w:p w14:paraId="18D7E6D2" w14:textId="099CFE28" w:rsidR="0010066C" w:rsidRPr="00D948C1" w:rsidRDefault="00162001" w:rsidP="00162001">
            <w:pPr>
              <w:jc w:val="right"/>
              <w:rPr>
                <w:color w:val="FFFFFF" w:themeColor="background1"/>
                <w:szCs w:val="24"/>
              </w:rPr>
            </w:pPr>
            <w:r w:rsidRPr="00D948C1">
              <w:rPr>
                <w:color w:val="FFFFFF" w:themeColor="background1"/>
                <w:szCs w:val="24"/>
              </w:rPr>
              <w:t>£000</w:t>
            </w:r>
          </w:p>
        </w:tc>
      </w:tr>
      <w:tr w:rsidR="00162001" w:rsidRPr="00D948C1" w14:paraId="0A9698DC" w14:textId="77777777" w:rsidTr="003572E5">
        <w:trPr>
          <w:trHeight w:val="278"/>
        </w:trPr>
        <w:tc>
          <w:tcPr>
            <w:tcW w:w="3118" w:type="dxa"/>
          </w:tcPr>
          <w:p w14:paraId="1585BF46" w14:textId="6A7066DC" w:rsidR="00162001" w:rsidRPr="00D948C1" w:rsidRDefault="00162001" w:rsidP="00162001">
            <w:pPr>
              <w:ind w:left="34"/>
              <w:rPr>
                <w:szCs w:val="24"/>
              </w:rPr>
            </w:pPr>
            <w:r w:rsidRPr="00D948C1">
              <w:rPr>
                <w:szCs w:val="24"/>
              </w:rPr>
              <w:t>0 to 30 days</w:t>
            </w:r>
          </w:p>
        </w:tc>
        <w:tc>
          <w:tcPr>
            <w:tcW w:w="1701" w:type="dxa"/>
            <w:vAlign w:val="center"/>
          </w:tcPr>
          <w:p w14:paraId="4707AD62" w14:textId="5D8C3293" w:rsidR="00162001" w:rsidRPr="00294859" w:rsidRDefault="00AB2B06" w:rsidP="00162001">
            <w:pPr>
              <w:jc w:val="right"/>
              <w:rPr>
                <w:szCs w:val="24"/>
              </w:rPr>
            </w:pPr>
            <w:r>
              <w:rPr>
                <w:szCs w:val="24"/>
              </w:rPr>
              <w:t>491</w:t>
            </w:r>
          </w:p>
        </w:tc>
        <w:tc>
          <w:tcPr>
            <w:tcW w:w="1560" w:type="dxa"/>
            <w:vAlign w:val="center"/>
          </w:tcPr>
          <w:p w14:paraId="43F1A014" w14:textId="25505198" w:rsidR="00162001" w:rsidRPr="00DF39E9" w:rsidRDefault="00162001" w:rsidP="00162001">
            <w:pPr>
              <w:jc w:val="right"/>
              <w:rPr>
                <w:szCs w:val="24"/>
              </w:rPr>
            </w:pPr>
            <w:r w:rsidRPr="00294859">
              <w:rPr>
                <w:szCs w:val="24"/>
              </w:rPr>
              <w:t>218</w:t>
            </w:r>
          </w:p>
        </w:tc>
      </w:tr>
      <w:tr w:rsidR="00162001" w:rsidRPr="00D948C1" w14:paraId="72D42E6A" w14:textId="77777777" w:rsidTr="003572E5">
        <w:trPr>
          <w:trHeight w:val="278"/>
        </w:trPr>
        <w:tc>
          <w:tcPr>
            <w:tcW w:w="3118" w:type="dxa"/>
          </w:tcPr>
          <w:p w14:paraId="4E72E412" w14:textId="70C40003" w:rsidR="00162001" w:rsidRPr="00D948C1" w:rsidRDefault="00162001" w:rsidP="00162001">
            <w:pPr>
              <w:ind w:left="34"/>
              <w:rPr>
                <w:szCs w:val="24"/>
              </w:rPr>
            </w:pPr>
            <w:r w:rsidRPr="00D948C1">
              <w:rPr>
                <w:szCs w:val="24"/>
              </w:rPr>
              <w:t>31 to 60 days</w:t>
            </w:r>
          </w:p>
        </w:tc>
        <w:tc>
          <w:tcPr>
            <w:tcW w:w="1701" w:type="dxa"/>
            <w:vAlign w:val="center"/>
          </w:tcPr>
          <w:p w14:paraId="28A47090" w14:textId="6B2A0162" w:rsidR="00162001" w:rsidRPr="00294859" w:rsidRDefault="00AB2B06" w:rsidP="00162001">
            <w:pPr>
              <w:jc w:val="right"/>
              <w:rPr>
                <w:szCs w:val="24"/>
              </w:rPr>
            </w:pPr>
            <w:r>
              <w:rPr>
                <w:szCs w:val="24"/>
              </w:rPr>
              <w:t>33</w:t>
            </w:r>
          </w:p>
        </w:tc>
        <w:tc>
          <w:tcPr>
            <w:tcW w:w="1560" w:type="dxa"/>
            <w:vAlign w:val="center"/>
          </w:tcPr>
          <w:p w14:paraId="65C293C6" w14:textId="476CEB00" w:rsidR="00162001" w:rsidRPr="00DF39E9" w:rsidRDefault="00162001" w:rsidP="00162001">
            <w:pPr>
              <w:jc w:val="right"/>
              <w:rPr>
                <w:szCs w:val="24"/>
              </w:rPr>
            </w:pPr>
            <w:r w:rsidRPr="00294859">
              <w:rPr>
                <w:szCs w:val="24"/>
              </w:rPr>
              <w:t>20</w:t>
            </w:r>
          </w:p>
        </w:tc>
      </w:tr>
      <w:tr w:rsidR="00162001" w:rsidRPr="00D948C1" w14:paraId="6A166314" w14:textId="77777777" w:rsidTr="003572E5">
        <w:trPr>
          <w:trHeight w:val="278"/>
        </w:trPr>
        <w:tc>
          <w:tcPr>
            <w:tcW w:w="3118" w:type="dxa"/>
          </w:tcPr>
          <w:p w14:paraId="5105914B" w14:textId="766E77F4" w:rsidR="00162001" w:rsidRPr="00D948C1" w:rsidRDefault="00162001" w:rsidP="00162001">
            <w:pPr>
              <w:ind w:left="34"/>
              <w:rPr>
                <w:szCs w:val="24"/>
              </w:rPr>
            </w:pPr>
            <w:r w:rsidRPr="00D948C1">
              <w:rPr>
                <w:szCs w:val="24"/>
              </w:rPr>
              <w:t>61 to 90 days</w:t>
            </w:r>
          </w:p>
        </w:tc>
        <w:tc>
          <w:tcPr>
            <w:tcW w:w="1701" w:type="dxa"/>
            <w:vAlign w:val="center"/>
          </w:tcPr>
          <w:p w14:paraId="5DA3BC97" w14:textId="45840BAE" w:rsidR="00162001" w:rsidRPr="00294859" w:rsidRDefault="00AB2B06" w:rsidP="00162001">
            <w:pPr>
              <w:jc w:val="right"/>
              <w:rPr>
                <w:szCs w:val="24"/>
              </w:rPr>
            </w:pPr>
            <w:r>
              <w:rPr>
                <w:szCs w:val="24"/>
              </w:rPr>
              <w:t>5</w:t>
            </w:r>
          </w:p>
        </w:tc>
        <w:tc>
          <w:tcPr>
            <w:tcW w:w="1560" w:type="dxa"/>
            <w:vAlign w:val="center"/>
          </w:tcPr>
          <w:p w14:paraId="03030F1B" w14:textId="2B47D3D0" w:rsidR="00162001" w:rsidRPr="00DF39E9" w:rsidRDefault="00162001" w:rsidP="00162001">
            <w:pPr>
              <w:jc w:val="right"/>
              <w:rPr>
                <w:szCs w:val="24"/>
              </w:rPr>
            </w:pPr>
            <w:r w:rsidRPr="00294859">
              <w:rPr>
                <w:szCs w:val="24"/>
              </w:rPr>
              <w:t>1</w:t>
            </w:r>
          </w:p>
        </w:tc>
      </w:tr>
      <w:tr w:rsidR="00162001" w:rsidRPr="00D948C1" w14:paraId="36C24F3A" w14:textId="77777777" w:rsidTr="003572E5">
        <w:trPr>
          <w:trHeight w:val="278"/>
        </w:trPr>
        <w:tc>
          <w:tcPr>
            <w:tcW w:w="3118" w:type="dxa"/>
          </w:tcPr>
          <w:p w14:paraId="77E3EBD3" w14:textId="6E58FD8F" w:rsidR="00162001" w:rsidRPr="00D948C1" w:rsidRDefault="00162001" w:rsidP="00162001">
            <w:pPr>
              <w:ind w:left="34"/>
              <w:rPr>
                <w:szCs w:val="24"/>
              </w:rPr>
            </w:pPr>
            <w:r w:rsidRPr="00D948C1">
              <w:rPr>
                <w:szCs w:val="24"/>
              </w:rPr>
              <w:t>91 to 180 days</w:t>
            </w:r>
          </w:p>
        </w:tc>
        <w:tc>
          <w:tcPr>
            <w:tcW w:w="1701" w:type="dxa"/>
            <w:vAlign w:val="center"/>
          </w:tcPr>
          <w:p w14:paraId="7DDAFDA0" w14:textId="05887C43" w:rsidR="00162001" w:rsidRPr="00294859" w:rsidRDefault="00AB2B06" w:rsidP="00162001">
            <w:pPr>
              <w:jc w:val="right"/>
              <w:rPr>
                <w:szCs w:val="24"/>
              </w:rPr>
            </w:pPr>
            <w:r>
              <w:rPr>
                <w:szCs w:val="24"/>
              </w:rPr>
              <w:t>14</w:t>
            </w:r>
          </w:p>
        </w:tc>
        <w:tc>
          <w:tcPr>
            <w:tcW w:w="1560" w:type="dxa"/>
            <w:vAlign w:val="center"/>
          </w:tcPr>
          <w:p w14:paraId="3A7189AE" w14:textId="6E7D25B2" w:rsidR="00162001" w:rsidRPr="00DF39E9" w:rsidRDefault="00162001" w:rsidP="00162001">
            <w:pPr>
              <w:jc w:val="right"/>
              <w:rPr>
                <w:szCs w:val="24"/>
              </w:rPr>
            </w:pPr>
            <w:r w:rsidRPr="00294859">
              <w:rPr>
                <w:szCs w:val="24"/>
              </w:rPr>
              <w:t>7</w:t>
            </w:r>
          </w:p>
        </w:tc>
      </w:tr>
      <w:tr w:rsidR="00162001" w:rsidRPr="00D948C1" w14:paraId="60A15989" w14:textId="77777777" w:rsidTr="003572E5">
        <w:trPr>
          <w:trHeight w:val="278"/>
        </w:trPr>
        <w:tc>
          <w:tcPr>
            <w:tcW w:w="3118" w:type="dxa"/>
          </w:tcPr>
          <w:p w14:paraId="57663824" w14:textId="782B207C" w:rsidR="00162001" w:rsidRPr="00D948C1" w:rsidRDefault="00162001" w:rsidP="00162001">
            <w:pPr>
              <w:ind w:left="34"/>
              <w:rPr>
                <w:szCs w:val="24"/>
              </w:rPr>
            </w:pPr>
            <w:r w:rsidRPr="00D948C1">
              <w:rPr>
                <w:szCs w:val="24"/>
              </w:rPr>
              <w:t>Over 180 days</w:t>
            </w:r>
          </w:p>
        </w:tc>
        <w:tc>
          <w:tcPr>
            <w:tcW w:w="1701" w:type="dxa"/>
            <w:vAlign w:val="center"/>
          </w:tcPr>
          <w:p w14:paraId="07848F47" w14:textId="6FA2C615" w:rsidR="00162001" w:rsidRPr="00294859" w:rsidRDefault="00AB2B06" w:rsidP="00162001">
            <w:pPr>
              <w:jc w:val="right"/>
              <w:rPr>
                <w:szCs w:val="24"/>
              </w:rPr>
            </w:pPr>
            <w:r>
              <w:rPr>
                <w:szCs w:val="24"/>
              </w:rPr>
              <w:t>11</w:t>
            </w:r>
          </w:p>
        </w:tc>
        <w:tc>
          <w:tcPr>
            <w:tcW w:w="1560" w:type="dxa"/>
            <w:vAlign w:val="center"/>
          </w:tcPr>
          <w:p w14:paraId="2C204918" w14:textId="1A14B205" w:rsidR="00162001" w:rsidRPr="00DF39E9" w:rsidRDefault="00162001" w:rsidP="00162001">
            <w:pPr>
              <w:jc w:val="right"/>
              <w:rPr>
                <w:szCs w:val="24"/>
              </w:rPr>
            </w:pPr>
            <w:r w:rsidRPr="00294859">
              <w:rPr>
                <w:szCs w:val="24"/>
              </w:rPr>
              <w:t>0</w:t>
            </w:r>
          </w:p>
        </w:tc>
      </w:tr>
      <w:tr w:rsidR="00162001" w:rsidRPr="00D948C1" w14:paraId="44372571" w14:textId="77777777" w:rsidTr="003572E5">
        <w:trPr>
          <w:trHeight w:val="278"/>
        </w:trPr>
        <w:tc>
          <w:tcPr>
            <w:tcW w:w="3118" w:type="dxa"/>
          </w:tcPr>
          <w:p w14:paraId="28F4D182" w14:textId="2090F462" w:rsidR="00162001" w:rsidRPr="00D948C1" w:rsidRDefault="00162001" w:rsidP="00162001">
            <w:pPr>
              <w:ind w:left="34"/>
              <w:rPr>
                <w:szCs w:val="24"/>
              </w:rPr>
            </w:pPr>
            <w:r w:rsidRPr="00D948C1">
              <w:rPr>
                <w:szCs w:val="24"/>
              </w:rPr>
              <w:t>Total</w:t>
            </w:r>
          </w:p>
        </w:tc>
        <w:tc>
          <w:tcPr>
            <w:tcW w:w="1701" w:type="dxa"/>
            <w:vAlign w:val="center"/>
          </w:tcPr>
          <w:p w14:paraId="531641EA" w14:textId="5A123911" w:rsidR="00162001" w:rsidRPr="00294859" w:rsidRDefault="00AB2B06" w:rsidP="00162001">
            <w:pPr>
              <w:jc w:val="right"/>
              <w:rPr>
                <w:szCs w:val="24"/>
              </w:rPr>
            </w:pPr>
            <w:r>
              <w:rPr>
                <w:szCs w:val="24"/>
              </w:rPr>
              <w:t>554</w:t>
            </w:r>
          </w:p>
        </w:tc>
        <w:tc>
          <w:tcPr>
            <w:tcW w:w="1560" w:type="dxa"/>
            <w:vAlign w:val="center"/>
          </w:tcPr>
          <w:p w14:paraId="50E1B62B" w14:textId="01628DA2" w:rsidR="00162001" w:rsidRPr="00DF39E9" w:rsidRDefault="00162001" w:rsidP="00162001">
            <w:pPr>
              <w:jc w:val="right"/>
              <w:rPr>
                <w:szCs w:val="24"/>
              </w:rPr>
            </w:pPr>
            <w:r w:rsidRPr="00294859">
              <w:rPr>
                <w:szCs w:val="24"/>
              </w:rPr>
              <w:t>24</w:t>
            </w:r>
            <w:r w:rsidRPr="00456BDD">
              <w:rPr>
                <w:szCs w:val="24"/>
              </w:rPr>
              <w:t>5</w:t>
            </w:r>
          </w:p>
        </w:tc>
      </w:tr>
    </w:tbl>
    <w:p w14:paraId="5156E8C5" w14:textId="77777777" w:rsidR="002E4DA3" w:rsidRDefault="002E4DA3">
      <w:pPr>
        <w:rPr>
          <w:b/>
          <w:sz w:val="22"/>
          <w:szCs w:val="22"/>
        </w:rPr>
      </w:pPr>
      <w:r>
        <w:rPr>
          <w:b/>
          <w:sz w:val="22"/>
          <w:szCs w:val="22"/>
        </w:rPr>
        <w:br w:type="page"/>
      </w:r>
    </w:p>
    <w:p w14:paraId="4CF7DD85" w14:textId="77777777" w:rsidR="00D90216" w:rsidRPr="001A35A8" w:rsidRDefault="00D90216" w:rsidP="000F5BFB">
      <w:pPr>
        <w:ind w:firstLine="720"/>
        <w:rPr>
          <w:b/>
          <w:szCs w:val="24"/>
        </w:rPr>
      </w:pPr>
      <w:r w:rsidRPr="001A35A8">
        <w:rPr>
          <w:b/>
          <w:szCs w:val="24"/>
        </w:rPr>
        <w:lastRenderedPageBreak/>
        <w:t>Liquidity Risk</w:t>
      </w:r>
    </w:p>
    <w:p w14:paraId="5BFA1606" w14:textId="77777777" w:rsidR="00D90216" w:rsidRPr="001A35A8" w:rsidRDefault="00D90216" w:rsidP="000F5BFB">
      <w:pPr>
        <w:ind w:firstLine="720"/>
        <w:rPr>
          <w:b/>
          <w:szCs w:val="24"/>
        </w:rPr>
      </w:pPr>
    </w:p>
    <w:p w14:paraId="242BD4CD" w14:textId="509C59DC" w:rsidR="00D90216" w:rsidRPr="001A35A8" w:rsidRDefault="00D90216" w:rsidP="000F5BFB">
      <w:pPr>
        <w:ind w:left="720"/>
        <w:rPr>
          <w:szCs w:val="24"/>
        </w:rPr>
      </w:pPr>
      <w:r w:rsidRPr="001A35A8">
        <w:rPr>
          <w:szCs w:val="24"/>
        </w:rPr>
        <w:t>The Authority has a comprehensive cash flow management system that seeks to ensure that cash is available as needed. There is no significant risk that it will be unable to raise finance to meet its commitments under financial instruments.</w:t>
      </w:r>
    </w:p>
    <w:p w14:paraId="2F90F153" w14:textId="77777777" w:rsidR="00F96C8B" w:rsidRPr="001A35A8" w:rsidRDefault="00F96C8B" w:rsidP="000F5BFB">
      <w:pPr>
        <w:ind w:left="720"/>
        <w:rPr>
          <w:szCs w:val="24"/>
        </w:rPr>
      </w:pPr>
    </w:p>
    <w:p w14:paraId="21A5ED02" w14:textId="63E4C433" w:rsidR="009B5951" w:rsidRDefault="00D90216" w:rsidP="003044B9">
      <w:pPr>
        <w:ind w:left="720"/>
        <w:rPr>
          <w:szCs w:val="24"/>
        </w:rPr>
      </w:pPr>
      <w:r w:rsidRPr="001A35A8">
        <w:rPr>
          <w:szCs w:val="24"/>
        </w:rPr>
        <w:t xml:space="preserve">The maturity profile of our </w:t>
      </w:r>
      <w:r w:rsidR="002D74C1" w:rsidRPr="001A35A8">
        <w:rPr>
          <w:szCs w:val="24"/>
        </w:rPr>
        <w:t xml:space="preserve">remaining </w:t>
      </w:r>
      <w:r w:rsidRPr="001A35A8">
        <w:rPr>
          <w:szCs w:val="24"/>
        </w:rPr>
        <w:t>debt is shown in the table below.</w:t>
      </w:r>
    </w:p>
    <w:p w14:paraId="0F6F6556" w14:textId="77777777" w:rsidR="003044B9" w:rsidRDefault="003044B9" w:rsidP="003044B9">
      <w:pPr>
        <w:ind w:left="720"/>
        <w:rPr>
          <w:szCs w:val="24"/>
        </w:rPr>
      </w:pPr>
    </w:p>
    <w:p w14:paraId="59CF2E8F" w14:textId="6E27D4FB" w:rsidR="00D90216" w:rsidRPr="00D948C1" w:rsidRDefault="007461FD" w:rsidP="000F5BFB">
      <w:pPr>
        <w:ind w:left="180" w:firstLine="540"/>
      </w:pPr>
      <w:r>
        <w:t>Value of PWLB loans maturing in future years</w:t>
      </w:r>
      <w:r w:rsidR="00665819">
        <w:t xml:space="preserve"> as </w:t>
      </w:r>
      <w:proofErr w:type="gramStart"/>
      <w:r w:rsidR="00665819">
        <w:t>at</w:t>
      </w:r>
      <w:proofErr w:type="gramEnd"/>
      <w:r w:rsidR="00665819">
        <w:t xml:space="preserve"> 31 March 202</w:t>
      </w:r>
      <w:r w:rsidR="00162001">
        <w:t>6</w:t>
      </w:r>
      <w:r w:rsidR="0010066C">
        <w:t>:</w:t>
      </w:r>
    </w:p>
    <w:p w14:paraId="190490EB" w14:textId="77777777" w:rsidR="00665819" w:rsidRPr="00D948C1" w:rsidRDefault="00665819" w:rsidP="007461FD">
      <w:pPr>
        <w:ind w:left="180" w:firstLine="540"/>
      </w:pPr>
    </w:p>
    <w:tbl>
      <w:tblPr>
        <w:tblStyle w:val="TableGrid"/>
        <w:tblW w:w="0" w:type="auto"/>
        <w:tblInd w:w="763" w:type="dxa"/>
        <w:tblLook w:val="04A0" w:firstRow="1" w:lastRow="0" w:firstColumn="1" w:lastColumn="0" w:noHBand="0" w:noVBand="1"/>
      </w:tblPr>
      <w:tblGrid>
        <w:gridCol w:w="1505"/>
        <w:gridCol w:w="1472"/>
      </w:tblGrid>
      <w:tr w:rsidR="00665819" w:rsidRPr="00D948C1" w14:paraId="38495402" w14:textId="77777777" w:rsidTr="00611673">
        <w:tc>
          <w:tcPr>
            <w:tcW w:w="1505" w:type="dxa"/>
            <w:shd w:val="clear" w:color="auto" w:fill="BD2716"/>
            <w:vAlign w:val="center"/>
          </w:tcPr>
          <w:p w14:paraId="65FFFB71" w14:textId="27CC4379" w:rsidR="00665819" w:rsidRPr="00D948C1" w:rsidRDefault="00665819" w:rsidP="00611673">
            <w:pPr>
              <w:rPr>
                <w:color w:val="FFFFFF" w:themeColor="background1"/>
                <w:szCs w:val="24"/>
              </w:rPr>
            </w:pPr>
            <w:r w:rsidRPr="00D948C1">
              <w:rPr>
                <w:color w:val="FFFFFF" w:themeColor="background1"/>
                <w:szCs w:val="24"/>
              </w:rPr>
              <w:t>Year</w:t>
            </w:r>
          </w:p>
        </w:tc>
        <w:tc>
          <w:tcPr>
            <w:tcW w:w="1472" w:type="dxa"/>
            <w:shd w:val="clear" w:color="auto" w:fill="BD2716"/>
            <w:vAlign w:val="center"/>
          </w:tcPr>
          <w:p w14:paraId="285DF9EA" w14:textId="432EF527" w:rsidR="00665819" w:rsidRPr="00D948C1" w:rsidRDefault="00665819" w:rsidP="00611673">
            <w:pPr>
              <w:jc w:val="right"/>
              <w:rPr>
                <w:color w:val="FFFFFF" w:themeColor="background1"/>
                <w:szCs w:val="24"/>
              </w:rPr>
            </w:pPr>
            <w:r w:rsidRPr="00D948C1">
              <w:rPr>
                <w:color w:val="FFFFFF" w:themeColor="background1"/>
                <w:szCs w:val="24"/>
              </w:rPr>
              <w:t>Loan Value (</w:t>
            </w:r>
            <w:r w:rsidR="00F2325E" w:rsidRPr="00D948C1">
              <w:rPr>
                <w:color w:val="FFFFFF" w:themeColor="background1"/>
                <w:szCs w:val="24"/>
              </w:rPr>
              <w:t>£000</w:t>
            </w:r>
            <w:r w:rsidRPr="00D948C1">
              <w:rPr>
                <w:color w:val="FFFFFF" w:themeColor="background1"/>
                <w:szCs w:val="24"/>
              </w:rPr>
              <w:t>)</w:t>
            </w:r>
          </w:p>
        </w:tc>
      </w:tr>
      <w:tr w:rsidR="00665819" w:rsidRPr="00D948C1" w14:paraId="653F22E0" w14:textId="77777777" w:rsidTr="003572E5">
        <w:trPr>
          <w:trHeight w:val="278"/>
        </w:trPr>
        <w:tc>
          <w:tcPr>
            <w:tcW w:w="1505" w:type="dxa"/>
          </w:tcPr>
          <w:p w14:paraId="7028ADEF" w14:textId="20DD55F4" w:rsidR="00665819" w:rsidRPr="00D948C1" w:rsidRDefault="00665819" w:rsidP="007461FD">
            <w:pPr>
              <w:rPr>
                <w:szCs w:val="24"/>
              </w:rPr>
            </w:pPr>
            <w:r w:rsidRPr="00D948C1">
              <w:rPr>
                <w:szCs w:val="24"/>
              </w:rPr>
              <w:t>2035</w:t>
            </w:r>
          </w:p>
        </w:tc>
        <w:tc>
          <w:tcPr>
            <w:tcW w:w="1472" w:type="dxa"/>
            <w:vAlign w:val="center"/>
          </w:tcPr>
          <w:p w14:paraId="63A5A887" w14:textId="33A3DBAE" w:rsidR="00665819" w:rsidRPr="00663DA5" w:rsidRDefault="00665819" w:rsidP="00746F3D">
            <w:pPr>
              <w:jc w:val="right"/>
            </w:pPr>
            <w:r w:rsidRPr="00663DA5">
              <w:t>650</w:t>
            </w:r>
          </w:p>
        </w:tc>
      </w:tr>
      <w:tr w:rsidR="00665819" w:rsidRPr="00D948C1" w14:paraId="0D186C3D" w14:textId="77777777" w:rsidTr="003572E5">
        <w:trPr>
          <w:trHeight w:val="278"/>
        </w:trPr>
        <w:tc>
          <w:tcPr>
            <w:tcW w:w="1505" w:type="dxa"/>
          </w:tcPr>
          <w:p w14:paraId="4229D16D" w14:textId="332981B5" w:rsidR="00665819" w:rsidRPr="00D948C1" w:rsidRDefault="00665819" w:rsidP="007461FD">
            <w:pPr>
              <w:rPr>
                <w:szCs w:val="24"/>
              </w:rPr>
            </w:pPr>
            <w:r w:rsidRPr="00D948C1">
              <w:rPr>
                <w:szCs w:val="24"/>
              </w:rPr>
              <w:t>2036</w:t>
            </w:r>
          </w:p>
        </w:tc>
        <w:tc>
          <w:tcPr>
            <w:tcW w:w="1472" w:type="dxa"/>
            <w:vAlign w:val="center"/>
          </w:tcPr>
          <w:p w14:paraId="59542B92" w14:textId="735AA245" w:rsidR="00665819" w:rsidRPr="00663DA5" w:rsidRDefault="00665819" w:rsidP="00746F3D">
            <w:pPr>
              <w:jc w:val="right"/>
            </w:pPr>
            <w:r w:rsidRPr="00663DA5">
              <w:t>650</w:t>
            </w:r>
          </w:p>
        </w:tc>
      </w:tr>
      <w:tr w:rsidR="00665819" w:rsidRPr="00D948C1" w14:paraId="665A86D2" w14:textId="77777777" w:rsidTr="003572E5">
        <w:trPr>
          <w:trHeight w:val="278"/>
        </w:trPr>
        <w:tc>
          <w:tcPr>
            <w:tcW w:w="1505" w:type="dxa"/>
          </w:tcPr>
          <w:p w14:paraId="7CFD1EB9" w14:textId="0DE85DEB" w:rsidR="00665819" w:rsidRPr="00D948C1" w:rsidRDefault="00665819" w:rsidP="007461FD">
            <w:pPr>
              <w:rPr>
                <w:szCs w:val="24"/>
              </w:rPr>
            </w:pPr>
            <w:r w:rsidRPr="00D948C1">
              <w:rPr>
                <w:szCs w:val="24"/>
              </w:rPr>
              <w:t>2037</w:t>
            </w:r>
          </w:p>
        </w:tc>
        <w:tc>
          <w:tcPr>
            <w:tcW w:w="1472" w:type="dxa"/>
            <w:vAlign w:val="center"/>
          </w:tcPr>
          <w:p w14:paraId="159092C0" w14:textId="1C1A5817" w:rsidR="00665819" w:rsidRPr="00663DA5" w:rsidRDefault="00665819" w:rsidP="00746F3D">
            <w:pPr>
              <w:jc w:val="right"/>
            </w:pPr>
            <w:r w:rsidRPr="00663DA5">
              <w:t>700</w:t>
            </w:r>
          </w:p>
        </w:tc>
      </w:tr>
      <w:tr w:rsidR="00665819" w:rsidRPr="00D948C1" w14:paraId="0B942578" w14:textId="77777777" w:rsidTr="003572E5">
        <w:trPr>
          <w:trHeight w:val="278"/>
        </w:trPr>
        <w:tc>
          <w:tcPr>
            <w:tcW w:w="1505" w:type="dxa"/>
          </w:tcPr>
          <w:p w14:paraId="39F31389" w14:textId="279D218D" w:rsidR="00665819" w:rsidRPr="00D948C1" w:rsidRDefault="00665819" w:rsidP="007461FD">
            <w:pPr>
              <w:rPr>
                <w:szCs w:val="24"/>
              </w:rPr>
            </w:pPr>
            <w:r w:rsidRPr="00D948C1">
              <w:rPr>
                <w:szCs w:val="24"/>
              </w:rPr>
              <w:t>Total</w:t>
            </w:r>
          </w:p>
        </w:tc>
        <w:tc>
          <w:tcPr>
            <w:tcW w:w="1472" w:type="dxa"/>
            <w:vAlign w:val="center"/>
          </w:tcPr>
          <w:p w14:paraId="3D41422A" w14:textId="1C15E3B0" w:rsidR="00665819" w:rsidRPr="00663DA5" w:rsidRDefault="00665819" w:rsidP="00746F3D">
            <w:pPr>
              <w:jc w:val="right"/>
            </w:pPr>
            <w:r w:rsidRPr="00663DA5">
              <w:t>2,000</w:t>
            </w:r>
          </w:p>
        </w:tc>
      </w:tr>
    </w:tbl>
    <w:p w14:paraId="01078925" w14:textId="77777777" w:rsidR="001543B8" w:rsidRPr="00D948C1" w:rsidRDefault="001543B8" w:rsidP="00665819">
      <w:pPr>
        <w:jc w:val="both"/>
        <w:rPr>
          <w:b/>
          <w:szCs w:val="24"/>
        </w:rPr>
      </w:pPr>
    </w:p>
    <w:p w14:paraId="192513BB" w14:textId="0FE4A69C" w:rsidR="00D90216" w:rsidRPr="006C7F72" w:rsidRDefault="00D90216" w:rsidP="000F5BFB">
      <w:pPr>
        <w:ind w:left="720"/>
        <w:rPr>
          <w:b/>
        </w:rPr>
      </w:pPr>
      <w:r w:rsidRPr="68926461">
        <w:rPr>
          <w:b/>
        </w:rPr>
        <w:t>Market risk</w:t>
      </w:r>
    </w:p>
    <w:p w14:paraId="3E72B321" w14:textId="77777777" w:rsidR="00D90216" w:rsidRPr="006C7F72" w:rsidRDefault="00D90216" w:rsidP="000F5BFB">
      <w:pPr>
        <w:ind w:left="720"/>
        <w:rPr>
          <w:b/>
        </w:rPr>
      </w:pPr>
    </w:p>
    <w:p w14:paraId="514ECF01" w14:textId="789C1802" w:rsidR="00D90216" w:rsidRPr="006C7F72" w:rsidRDefault="00D90216" w:rsidP="000F5BFB">
      <w:pPr>
        <w:spacing w:after="240"/>
        <w:ind w:left="720"/>
      </w:pPr>
      <w:r>
        <w:t>The Authority is exposed to risk in terms of its exposure to interest rate movements on its borrowings and investments.</w:t>
      </w:r>
      <w:r w:rsidR="0066777B">
        <w:t xml:space="preserve"> </w:t>
      </w:r>
      <w:r>
        <w:t>Movements in interest rates have a complex impact on the Authority. For instance, a rise in interest rate movements would have the following effects:</w:t>
      </w:r>
    </w:p>
    <w:p w14:paraId="57684748" w14:textId="1B4B4D47" w:rsidR="00D90216" w:rsidRPr="006C7F72" w:rsidRDefault="00D90216" w:rsidP="000F5BFB">
      <w:pPr>
        <w:numPr>
          <w:ilvl w:val="0"/>
          <w:numId w:val="19"/>
        </w:numPr>
        <w:spacing w:after="240"/>
      </w:pPr>
      <w:r>
        <w:t>Borrowings at fixed rates – the fair value of the liabilities borrowings will fall</w:t>
      </w:r>
      <w:r w:rsidR="00470E44">
        <w:t>.</w:t>
      </w:r>
    </w:p>
    <w:p w14:paraId="568380E7" w14:textId="32E06001" w:rsidR="00D90216" w:rsidRPr="006C7F72" w:rsidRDefault="00D90216" w:rsidP="000F5BFB">
      <w:pPr>
        <w:numPr>
          <w:ilvl w:val="0"/>
          <w:numId w:val="19"/>
        </w:numPr>
        <w:spacing w:after="240"/>
      </w:pPr>
      <w:r>
        <w:t>Investments at variable rates – the interest income credited to the deficit on the provision of services will rise</w:t>
      </w:r>
      <w:r w:rsidR="00470E44">
        <w:t>.</w:t>
      </w:r>
    </w:p>
    <w:p w14:paraId="0DF4FF67" w14:textId="3B315AB4" w:rsidR="00D90216" w:rsidRPr="006C7F72" w:rsidRDefault="00D90216">
      <w:pPr>
        <w:spacing w:after="240"/>
        <w:ind w:left="720"/>
      </w:pPr>
      <w:r>
        <w:t xml:space="preserve">We hold fixed rate financial liabilities </w:t>
      </w:r>
      <w:r w:rsidR="004D6EE3">
        <w:t xml:space="preserve">(borrowings) </w:t>
      </w:r>
      <w:r>
        <w:t>and variable rate financial assets</w:t>
      </w:r>
      <w:r w:rsidR="004D6EE3">
        <w:t xml:space="preserve"> (investments)</w:t>
      </w:r>
      <w:r>
        <w:t>.</w:t>
      </w:r>
    </w:p>
    <w:p w14:paraId="0AF6D1F6" w14:textId="71F13004" w:rsidR="00D90216" w:rsidRPr="006C7F72" w:rsidRDefault="00D90216" w:rsidP="000F5BFB">
      <w:pPr>
        <w:spacing w:after="240"/>
        <w:ind w:left="720"/>
      </w:pPr>
      <w:r>
        <w:t>Borrowings are not carried at fair value, so nominal gains and losses on fixed rate loans would not impact on the Deficit on the Provision of Services or Other Comprehensive Income and Expenditure. Instead, the effect of changes in market interest rates is to change the fair value of the liabilities reported in the notes to the balance sheet. Fair values represent the amount due if debt is repaid before its maturity date. When the loans finally mature, they will be repayable at their nominal values.</w:t>
      </w:r>
    </w:p>
    <w:p w14:paraId="39E17F0B" w14:textId="52A89FE3" w:rsidR="00D90216" w:rsidRPr="001D7BD7" w:rsidRDefault="00D90216" w:rsidP="000F5BFB">
      <w:pPr>
        <w:spacing w:after="240"/>
        <w:ind w:left="720"/>
      </w:pPr>
      <w:r w:rsidRPr="00B03AEC">
        <w:t xml:space="preserve">Our financial assets are the cash deposits </w:t>
      </w:r>
      <w:r w:rsidR="004D6EE3" w:rsidRPr="00B03AEC">
        <w:t xml:space="preserve">placed in </w:t>
      </w:r>
      <w:r w:rsidR="006C3528" w:rsidRPr="00B03AEC">
        <w:t>fixed deposits</w:t>
      </w:r>
      <w:r w:rsidR="004D6EE3" w:rsidRPr="00B03AEC">
        <w:t xml:space="preserve"> with</w:t>
      </w:r>
      <w:r w:rsidRPr="00B03AEC">
        <w:t xml:space="preserve"> </w:t>
      </w:r>
      <w:r w:rsidR="00C814C7" w:rsidRPr="00B03AEC">
        <w:t>the Debt Management Office</w:t>
      </w:r>
      <w:r w:rsidRPr="00B03AEC">
        <w:t>. Interest received on the</w:t>
      </w:r>
      <w:r w:rsidR="00AA70F3" w:rsidRPr="00B03AEC">
        <w:t>se deposits</w:t>
      </w:r>
      <w:r w:rsidRPr="00B03AEC">
        <w:t xml:space="preserve"> is linked to the </w:t>
      </w:r>
      <w:r w:rsidR="004D6EE3" w:rsidRPr="00B03AEC">
        <w:t>base rate</w:t>
      </w:r>
      <w:r w:rsidRPr="00B03AEC">
        <w:t xml:space="preserve">. </w:t>
      </w:r>
      <w:r w:rsidR="00C45FE5" w:rsidRPr="00B03AEC">
        <w:t>Each working day the balance o</w:t>
      </w:r>
      <w:r w:rsidR="001D329F" w:rsidRPr="00B03AEC">
        <w:t>f</w:t>
      </w:r>
      <w:r w:rsidR="00C45FE5" w:rsidRPr="00B03AEC">
        <w:t xml:space="preserve"> the Authority's </w:t>
      </w:r>
      <w:r w:rsidR="001D329F" w:rsidRPr="00B03AEC">
        <w:t>available cash</w:t>
      </w:r>
      <w:r w:rsidR="00C45FE5" w:rsidRPr="00B03AEC">
        <w:t xml:space="preserve"> is invested to ensure that the interest received on surplus balances is maximised. The average balance </w:t>
      </w:r>
      <w:r w:rsidR="001D329F" w:rsidRPr="00B03AEC">
        <w:t>invested</w:t>
      </w:r>
      <w:r w:rsidR="00C45FE5" w:rsidRPr="00B03AEC">
        <w:t xml:space="preserve"> throughout the year was </w:t>
      </w:r>
      <w:r w:rsidR="008C3052" w:rsidRPr="00B03AEC">
        <w:t>£</w:t>
      </w:r>
      <w:r w:rsidR="00EA382D" w:rsidRPr="00B03AEC">
        <w:t>15.6</w:t>
      </w:r>
      <w:r w:rsidR="00C0111A">
        <w:t xml:space="preserve"> </w:t>
      </w:r>
      <w:r w:rsidR="00C45FE5" w:rsidRPr="00B03AEC">
        <w:t>m</w:t>
      </w:r>
      <w:r w:rsidR="00C0111A">
        <w:t>illion</w:t>
      </w:r>
      <w:r w:rsidR="00C45FE5" w:rsidRPr="00B03AEC">
        <w:t xml:space="preserve"> </w:t>
      </w:r>
      <w:r w:rsidRPr="00B03AEC">
        <w:t>and, with no change in that level of balances, a 1% increase in the market rate of interest, if sustained over the whole year would give rise to additional interest earned of</w:t>
      </w:r>
      <w:r w:rsidRPr="00663DA5">
        <w:t xml:space="preserve"> </w:t>
      </w:r>
      <w:r w:rsidRPr="00B03AEC">
        <w:t>£</w:t>
      </w:r>
      <w:r w:rsidR="00F331C6" w:rsidRPr="00B03AEC">
        <w:t>0.</w:t>
      </w:r>
      <w:r w:rsidR="00807803" w:rsidRPr="00B03AEC">
        <w:t>156</w:t>
      </w:r>
      <w:r w:rsidR="00C0111A">
        <w:t xml:space="preserve"> </w:t>
      </w:r>
      <w:r w:rsidR="00F331C6" w:rsidRPr="00B03AEC">
        <w:t>m</w:t>
      </w:r>
      <w:r w:rsidR="00C0111A">
        <w:t>illion</w:t>
      </w:r>
      <w:r w:rsidRPr="00B03AEC">
        <w:t xml:space="preserve"> and a 1% fall would give a reduction of the same amount.</w:t>
      </w:r>
      <w:r w:rsidRPr="003A48A2">
        <w:t xml:space="preserve"> </w:t>
      </w:r>
    </w:p>
    <w:p w14:paraId="1AD39713" w14:textId="0DFAAAB0" w:rsidR="00D90216" w:rsidRPr="00D948C1" w:rsidRDefault="001C592E" w:rsidP="006563F1">
      <w:pPr>
        <w:pStyle w:val="Heading2"/>
        <w:jc w:val="left"/>
        <w:rPr>
          <w:sz w:val="24"/>
          <w:szCs w:val="24"/>
          <w:lang w:val="en-US"/>
        </w:rPr>
      </w:pPr>
      <w:bookmarkStart w:id="70" w:name="_23_Local_Authority"/>
      <w:bookmarkStart w:id="71" w:name="_Toc233717542"/>
      <w:bookmarkEnd w:id="70"/>
      <w:r w:rsidRPr="00D948C1">
        <w:rPr>
          <w:sz w:val="24"/>
          <w:szCs w:val="24"/>
          <w:lang w:val="en-US"/>
        </w:rPr>
        <w:t>2</w:t>
      </w:r>
      <w:r w:rsidR="00B62A26">
        <w:rPr>
          <w:sz w:val="24"/>
          <w:szCs w:val="24"/>
          <w:lang w:val="en-US"/>
        </w:rPr>
        <w:t>3</w:t>
      </w:r>
      <w:r w:rsidR="00D90216">
        <w:tab/>
      </w:r>
      <w:bookmarkStart w:id="72" w:name="N22"/>
      <w:bookmarkStart w:id="73" w:name="_Hlk140222307"/>
      <w:bookmarkEnd w:id="72"/>
      <w:r w:rsidR="00D90216" w:rsidRPr="00D948C1">
        <w:rPr>
          <w:sz w:val="24"/>
          <w:szCs w:val="24"/>
          <w:lang w:val="en-US"/>
        </w:rPr>
        <w:t>Local Autho</w:t>
      </w:r>
      <w:r w:rsidR="00B86715" w:rsidRPr="00D948C1">
        <w:rPr>
          <w:sz w:val="24"/>
          <w:szCs w:val="24"/>
          <w:lang w:val="en-US"/>
        </w:rPr>
        <w:t>rity Controlled Company – NW Fir</w:t>
      </w:r>
      <w:r w:rsidR="00D90216" w:rsidRPr="00D948C1">
        <w:rPr>
          <w:sz w:val="24"/>
          <w:szCs w:val="24"/>
          <w:lang w:val="en-US"/>
        </w:rPr>
        <w:t>eControl L</w:t>
      </w:r>
      <w:r w:rsidR="00B86715" w:rsidRPr="00D948C1">
        <w:rPr>
          <w:sz w:val="24"/>
          <w:szCs w:val="24"/>
          <w:lang w:val="en-US"/>
        </w:rPr>
        <w:t>imi</w:t>
      </w:r>
      <w:r w:rsidR="00D90216" w:rsidRPr="00D948C1">
        <w:rPr>
          <w:sz w:val="24"/>
          <w:szCs w:val="24"/>
          <w:lang w:val="en-US"/>
        </w:rPr>
        <w:t>t</w:t>
      </w:r>
      <w:r w:rsidR="00B86715" w:rsidRPr="00D948C1">
        <w:rPr>
          <w:sz w:val="24"/>
          <w:szCs w:val="24"/>
          <w:lang w:val="en-US"/>
        </w:rPr>
        <w:t>e</w:t>
      </w:r>
      <w:r w:rsidR="00D90216" w:rsidRPr="00D948C1">
        <w:rPr>
          <w:sz w:val="24"/>
          <w:szCs w:val="24"/>
          <w:lang w:val="en-US"/>
        </w:rPr>
        <w:t>d</w:t>
      </w:r>
      <w:bookmarkEnd w:id="71"/>
    </w:p>
    <w:p w14:paraId="425771B8" w14:textId="77777777" w:rsidR="00B86715" w:rsidRPr="00D948C1" w:rsidRDefault="00B86715" w:rsidP="000F5BFB">
      <w:pPr>
        <w:rPr>
          <w:rFonts w:cs="Arial"/>
          <w:b/>
          <w:u w:val="single"/>
          <w:lang w:eastAsia="en-GB"/>
        </w:rPr>
      </w:pPr>
    </w:p>
    <w:p w14:paraId="2FB27411" w14:textId="25CC77C2" w:rsidR="00B86715" w:rsidRPr="006C7F72" w:rsidRDefault="00AF76C8" w:rsidP="000F5BFB">
      <w:pPr>
        <w:spacing w:after="240"/>
        <w:ind w:left="720"/>
        <w:rPr>
          <w:rFonts w:cs="Arial"/>
          <w:lang w:eastAsia="en-GB"/>
        </w:rPr>
      </w:pPr>
      <w:r w:rsidRPr="246840B3">
        <w:rPr>
          <w:rFonts w:cs="Arial"/>
          <w:lang w:eastAsia="en-GB"/>
        </w:rPr>
        <w:t>NW Fire</w:t>
      </w:r>
      <w:r w:rsidR="00B86715" w:rsidRPr="246840B3">
        <w:rPr>
          <w:rFonts w:cs="Arial"/>
          <w:lang w:eastAsia="en-GB"/>
        </w:rPr>
        <w:t xml:space="preserve">Control Limited is a company limited by guarantee with the responsibility for Fire and Rescue Service mobilisation for the </w:t>
      </w:r>
      <w:proofErr w:type="gramStart"/>
      <w:r w:rsidR="00B86715" w:rsidRPr="246840B3">
        <w:rPr>
          <w:rFonts w:cs="Arial"/>
          <w:lang w:eastAsia="en-GB"/>
        </w:rPr>
        <w:t>North West</w:t>
      </w:r>
      <w:proofErr w:type="gramEnd"/>
      <w:r w:rsidR="00B86715" w:rsidRPr="246840B3">
        <w:rPr>
          <w:rFonts w:cs="Arial"/>
          <w:lang w:eastAsia="en-GB"/>
        </w:rPr>
        <w:t xml:space="preserve"> region. The Company has four members which are Cheshire, </w:t>
      </w:r>
      <w:r w:rsidR="00B86715" w:rsidRPr="246840B3">
        <w:rPr>
          <w:rFonts w:cs="Arial"/>
        </w:rPr>
        <w:t>Cumbria</w:t>
      </w:r>
      <w:r w:rsidR="00B86715" w:rsidRPr="246840B3">
        <w:rPr>
          <w:rFonts w:cs="Arial"/>
          <w:lang w:eastAsia="en-GB"/>
        </w:rPr>
        <w:t xml:space="preserve">, Greater </w:t>
      </w:r>
      <w:r w:rsidR="0094180B" w:rsidRPr="246840B3">
        <w:rPr>
          <w:rFonts w:cs="Arial"/>
          <w:lang w:eastAsia="en-GB"/>
        </w:rPr>
        <w:t>Manchester,</w:t>
      </w:r>
      <w:r w:rsidR="00B86715" w:rsidRPr="246840B3">
        <w:rPr>
          <w:rFonts w:cs="Arial"/>
          <w:lang w:eastAsia="en-GB"/>
        </w:rPr>
        <w:t xml:space="preserve"> and Lancashire Fire &amp; Rescue Authorities (FRAs). The liability of each member in the event of the company being wound up is limited </w:t>
      </w:r>
      <w:r w:rsidR="00B86715" w:rsidRPr="246840B3">
        <w:rPr>
          <w:rFonts w:cs="Arial"/>
          <w:lang w:eastAsia="en-GB"/>
        </w:rPr>
        <w:lastRenderedPageBreak/>
        <w:t>and shall not exceed £1. Each member of the company has the right to appoint 2 directors, who are Councillors appointed to their respective FRAs. All directors have equal voting rights.</w:t>
      </w:r>
    </w:p>
    <w:p w14:paraId="6C1B69F1" w14:textId="77777777" w:rsidR="009B6312" w:rsidRPr="006C7F72" w:rsidRDefault="009B6312" w:rsidP="000F5BFB">
      <w:pPr>
        <w:spacing w:after="240"/>
        <w:ind w:left="720"/>
        <w:rPr>
          <w:rFonts w:cs="Arial"/>
          <w:lang w:eastAsia="en-GB"/>
        </w:rPr>
      </w:pPr>
      <w:r w:rsidRPr="246840B3">
        <w:rPr>
          <w:rFonts w:cs="Arial"/>
          <w:lang w:eastAsia="en-GB"/>
        </w:rPr>
        <w:t>During May 2014 all four services transferred their Control Room functions into the regionali</w:t>
      </w:r>
      <w:r w:rsidR="00E87D8D" w:rsidRPr="246840B3">
        <w:rPr>
          <w:rFonts w:cs="Arial"/>
          <w:lang w:eastAsia="en-GB"/>
        </w:rPr>
        <w:t>sed service provided by NW Fire</w:t>
      </w:r>
      <w:r w:rsidRPr="246840B3">
        <w:rPr>
          <w:rFonts w:cs="Arial"/>
          <w:lang w:eastAsia="en-GB"/>
        </w:rPr>
        <w:t xml:space="preserve">Control </w:t>
      </w:r>
      <w:r w:rsidR="002B520D" w:rsidRPr="246840B3">
        <w:rPr>
          <w:rFonts w:cs="Arial"/>
          <w:lang w:eastAsia="en-GB"/>
        </w:rPr>
        <w:t>Limited</w:t>
      </w:r>
      <w:r w:rsidRPr="246840B3">
        <w:rPr>
          <w:rFonts w:cs="Arial"/>
          <w:lang w:eastAsia="en-GB"/>
        </w:rPr>
        <w:t xml:space="preserve">. The cost of the service is charged out to the four FRAs on an agreed pro rata basis agreed by a Service Level Agreement. The implementation phase continued to be funded by a section 31 grant from the Department for Communities and Local Government plus an ongoing grant to fund 66% of the lease costs for the building. The grant is paid to Greater Manchester Fire &amp; Rescue Authority as lead authority for the </w:t>
      </w:r>
      <w:proofErr w:type="gramStart"/>
      <w:r w:rsidRPr="246840B3">
        <w:rPr>
          <w:rFonts w:cs="Arial"/>
          <w:lang w:eastAsia="en-GB"/>
        </w:rPr>
        <w:t>North West</w:t>
      </w:r>
      <w:proofErr w:type="gramEnd"/>
      <w:r w:rsidRPr="246840B3">
        <w:rPr>
          <w:rFonts w:cs="Arial"/>
          <w:lang w:eastAsia="en-GB"/>
        </w:rPr>
        <w:t xml:space="preserve"> region and released to the company as required. </w:t>
      </w:r>
      <w:r w:rsidR="00011E3D" w:rsidRPr="246840B3">
        <w:rPr>
          <w:rFonts w:cs="Arial"/>
          <w:lang w:eastAsia="en-GB"/>
        </w:rPr>
        <w:t>From 8th May 2017 Greater Manchester Fire and Rescue Service transferred into the Greater Manchester Combined Authori</w:t>
      </w:r>
      <w:r w:rsidR="0037293D" w:rsidRPr="246840B3">
        <w:rPr>
          <w:rFonts w:cs="Arial"/>
          <w:lang w:eastAsia="en-GB"/>
        </w:rPr>
        <w:t>ty and the ownership of NW Fire</w:t>
      </w:r>
      <w:r w:rsidR="00011E3D" w:rsidRPr="246840B3">
        <w:rPr>
          <w:rFonts w:cs="Arial"/>
          <w:lang w:eastAsia="en-GB"/>
        </w:rPr>
        <w:t xml:space="preserve">Control </w:t>
      </w:r>
      <w:r w:rsidR="002B520D" w:rsidRPr="246840B3">
        <w:rPr>
          <w:rFonts w:cs="Arial"/>
          <w:lang w:eastAsia="en-GB"/>
        </w:rPr>
        <w:t xml:space="preserve">Limited </w:t>
      </w:r>
      <w:r w:rsidR="00011E3D" w:rsidRPr="246840B3">
        <w:rPr>
          <w:rFonts w:cs="Arial"/>
          <w:lang w:eastAsia="en-GB"/>
        </w:rPr>
        <w:t>therefore also transfers.</w:t>
      </w:r>
    </w:p>
    <w:p w14:paraId="72BC4479" w14:textId="44E7911F" w:rsidR="009B6312" w:rsidRPr="001D7BD7" w:rsidRDefault="009B6312" w:rsidP="000F5BFB">
      <w:pPr>
        <w:spacing w:after="240"/>
        <w:ind w:left="720"/>
        <w:rPr>
          <w:rFonts w:cs="Arial"/>
          <w:lang w:eastAsia="en-GB"/>
        </w:rPr>
      </w:pPr>
      <w:bookmarkStart w:id="74" w:name="_Hlk81904470"/>
      <w:r w:rsidRPr="246840B3">
        <w:rPr>
          <w:rFonts w:cs="Arial"/>
          <w:lang w:eastAsia="en-GB"/>
        </w:rPr>
        <w:t>A</w:t>
      </w:r>
      <w:r w:rsidR="00051F06" w:rsidRPr="246840B3">
        <w:rPr>
          <w:rFonts w:cs="Arial"/>
          <w:lang w:eastAsia="en-GB"/>
        </w:rPr>
        <w:t>n</w:t>
      </w:r>
      <w:r w:rsidRPr="246840B3">
        <w:rPr>
          <w:rFonts w:cs="Arial"/>
          <w:lang w:eastAsia="en-GB"/>
        </w:rPr>
        <w:t xml:space="preserve"> assessment for Group Accounting requirements has taken place during </w:t>
      </w:r>
      <w:r w:rsidR="001A42DD">
        <w:rPr>
          <w:rFonts w:cs="Arial"/>
          <w:lang w:eastAsia="en-GB"/>
        </w:rPr>
        <w:t>2025-26</w:t>
      </w:r>
      <w:r w:rsidR="0037293D" w:rsidRPr="246840B3">
        <w:rPr>
          <w:rFonts w:cs="Arial"/>
          <w:lang w:eastAsia="en-GB"/>
        </w:rPr>
        <w:t xml:space="preserve"> in respect of NW Fire</w:t>
      </w:r>
      <w:r w:rsidRPr="246840B3">
        <w:rPr>
          <w:rFonts w:cs="Arial"/>
          <w:lang w:eastAsia="en-GB"/>
        </w:rPr>
        <w:t xml:space="preserve">Control </w:t>
      </w:r>
      <w:r w:rsidR="002B520D" w:rsidRPr="246840B3">
        <w:rPr>
          <w:rFonts w:cs="Arial"/>
          <w:lang w:eastAsia="en-GB"/>
        </w:rPr>
        <w:t>Limited</w:t>
      </w:r>
      <w:r w:rsidRPr="246840B3">
        <w:rPr>
          <w:rFonts w:cs="Arial"/>
          <w:lang w:eastAsia="en-GB"/>
        </w:rPr>
        <w:t>. This is in accordance with the Code of Practice on Local Authority Accounting in the United Kingdom Based on International Financial Reporting Standards (IFRS 10, 11 &amp; 12).</w:t>
      </w:r>
      <w:r w:rsidR="005E1E00" w:rsidRPr="00904247">
        <w:rPr>
          <w:rFonts w:cs="Arial"/>
          <w:lang w:eastAsia="en-GB"/>
        </w:rPr>
        <w:t xml:space="preserve"> </w:t>
      </w:r>
    </w:p>
    <w:p w14:paraId="4382D27D" w14:textId="5A163F66" w:rsidR="00ED21C2" w:rsidRPr="006C7F72" w:rsidRDefault="009B6312" w:rsidP="000F5BFB">
      <w:pPr>
        <w:spacing w:after="240"/>
        <w:ind w:left="720"/>
        <w:rPr>
          <w:rFonts w:cs="Arial"/>
          <w:lang w:eastAsia="en-GB"/>
        </w:rPr>
      </w:pPr>
      <w:r w:rsidRPr="246840B3">
        <w:rPr>
          <w:rFonts w:cs="Arial"/>
          <w:lang w:eastAsia="en-GB"/>
        </w:rPr>
        <w:t xml:space="preserve">It has been determined that the company is governed by Joint Control </w:t>
      </w:r>
      <w:r w:rsidR="001C3A52" w:rsidRPr="246840B3">
        <w:rPr>
          <w:rFonts w:cs="Arial"/>
          <w:lang w:eastAsia="en-GB"/>
        </w:rPr>
        <w:t>since</w:t>
      </w:r>
      <w:r w:rsidRPr="246840B3">
        <w:rPr>
          <w:rFonts w:cs="Arial"/>
          <w:lang w:eastAsia="en-GB"/>
        </w:rPr>
        <w:t xml:space="preserve"> unanimous consent exists for key decisions and each Authority has equal voting rights. This joint arrangement has been deemed to be a Joint Operation as the parties have rights to the assets, and obligations for the liabilities relating to the arrangement</w:t>
      </w:r>
      <w:r w:rsidR="00F93F5A" w:rsidRPr="246840B3">
        <w:rPr>
          <w:rFonts w:cs="Arial"/>
          <w:lang w:eastAsia="en-GB"/>
        </w:rPr>
        <w:t>, and on this basis, the Authority’s 25% share of the transactions and balances of NW FireControl Limited have been recognised within the accounts.</w:t>
      </w:r>
      <w:r w:rsidR="005E1E00" w:rsidRPr="246840B3">
        <w:rPr>
          <w:rFonts w:cs="Arial"/>
          <w:lang w:eastAsia="en-GB"/>
        </w:rPr>
        <w:t xml:space="preserve"> </w:t>
      </w:r>
      <w:bookmarkEnd w:id="74"/>
      <w:r w:rsidR="005E1E00" w:rsidRPr="246840B3">
        <w:rPr>
          <w:rFonts w:cs="Arial"/>
          <w:lang w:eastAsia="en-GB"/>
        </w:rPr>
        <w:t xml:space="preserve">See </w:t>
      </w:r>
      <w:hyperlink w:anchor="_29_Significant_Judgements" w:history="1">
        <w:r w:rsidR="00DE1A4B" w:rsidRPr="246840B3">
          <w:rPr>
            <w:rStyle w:val="Hyperlink"/>
            <w:rFonts w:cs="Arial"/>
            <w:lang w:eastAsia="en-GB"/>
          </w:rPr>
          <w:t>Note 29</w:t>
        </w:r>
      </w:hyperlink>
      <w:r w:rsidR="005E1E00" w:rsidRPr="246840B3">
        <w:rPr>
          <w:rFonts w:cs="Arial"/>
          <w:lang w:eastAsia="en-GB"/>
        </w:rPr>
        <w:t xml:space="preserve"> </w:t>
      </w:r>
      <w:r w:rsidR="00DE1A4B" w:rsidRPr="246840B3">
        <w:rPr>
          <w:rFonts w:cs="Arial"/>
          <w:lang w:eastAsia="en-GB"/>
        </w:rPr>
        <w:t>s</w:t>
      </w:r>
      <w:r w:rsidR="00390EED" w:rsidRPr="246840B3">
        <w:rPr>
          <w:rFonts w:cs="Arial"/>
          <w:lang w:eastAsia="en-GB"/>
        </w:rPr>
        <w:t>ignificant</w:t>
      </w:r>
      <w:r w:rsidR="005E1E00" w:rsidRPr="246840B3">
        <w:rPr>
          <w:rFonts w:cs="Arial"/>
          <w:lang w:eastAsia="en-GB"/>
        </w:rPr>
        <w:t xml:space="preserve"> judgements.</w:t>
      </w:r>
    </w:p>
    <w:p w14:paraId="617F39AF" w14:textId="2CD005FF" w:rsidR="00F06F0B" w:rsidRPr="001D7BD7" w:rsidRDefault="00F06F0B" w:rsidP="000F5BFB">
      <w:pPr>
        <w:ind w:left="720"/>
        <w:rPr>
          <w:rFonts w:cs="Arial"/>
        </w:rPr>
      </w:pPr>
      <w:r w:rsidRPr="246840B3">
        <w:rPr>
          <w:rFonts w:cs="Arial"/>
        </w:rPr>
        <w:t xml:space="preserve">Below shows the key Information from the Draft </w:t>
      </w:r>
      <w:r w:rsidR="0037293D" w:rsidRPr="246840B3">
        <w:rPr>
          <w:rFonts w:cs="Arial"/>
        </w:rPr>
        <w:t>Financial Statements of NW Fire</w:t>
      </w:r>
      <w:r w:rsidRPr="246840B3">
        <w:rPr>
          <w:rFonts w:cs="Arial"/>
        </w:rPr>
        <w:t xml:space="preserve">Control </w:t>
      </w:r>
      <w:r w:rsidR="002B520D" w:rsidRPr="246840B3">
        <w:rPr>
          <w:rFonts w:cs="Arial"/>
          <w:lang w:eastAsia="en-GB"/>
        </w:rPr>
        <w:t>Limited</w:t>
      </w:r>
      <w:r w:rsidRPr="246840B3">
        <w:rPr>
          <w:rFonts w:cs="Arial"/>
        </w:rPr>
        <w:t>:</w:t>
      </w:r>
    </w:p>
    <w:p w14:paraId="68D4D90C" w14:textId="77777777" w:rsidR="00F800C7" w:rsidRPr="00D948C1" w:rsidRDefault="00F800C7" w:rsidP="00F800C7">
      <w:pPr>
        <w:rPr>
          <w:rFonts w:cs="Arial"/>
          <w:sz w:val="22"/>
          <w:szCs w:val="22"/>
        </w:rPr>
      </w:pPr>
    </w:p>
    <w:tbl>
      <w:tblPr>
        <w:tblW w:w="838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279"/>
        <w:gridCol w:w="2279"/>
      </w:tblGrid>
      <w:tr w:rsidR="003D2C98" w:rsidRPr="00D948C1" w14:paraId="15A134F2" w14:textId="77777777" w:rsidTr="001D7BD7">
        <w:tc>
          <w:tcPr>
            <w:tcW w:w="3827" w:type="dxa"/>
            <w:shd w:val="clear" w:color="auto" w:fill="BD2716"/>
            <w:vAlign w:val="center"/>
          </w:tcPr>
          <w:p w14:paraId="48977F78" w14:textId="77777777" w:rsidR="003D2C98" w:rsidRPr="00D948C1" w:rsidRDefault="003D2C98" w:rsidP="00611673">
            <w:pPr>
              <w:rPr>
                <w:rFonts w:cs="Arial"/>
                <w:color w:val="FFFFFF" w:themeColor="background1"/>
                <w:szCs w:val="24"/>
              </w:rPr>
            </w:pPr>
            <w:r w:rsidRPr="00D948C1">
              <w:rPr>
                <w:rFonts w:cs="Arial"/>
                <w:color w:val="FFFFFF" w:themeColor="background1"/>
                <w:szCs w:val="24"/>
              </w:rPr>
              <w:t>Key Information</w:t>
            </w:r>
          </w:p>
        </w:tc>
        <w:tc>
          <w:tcPr>
            <w:tcW w:w="2279" w:type="dxa"/>
            <w:shd w:val="clear" w:color="auto" w:fill="BD2716"/>
            <w:vAlign w:val="center"/>
          </w:tcPr>
          <w:p w14:paraId="7701FDD3" w14:textId="77777777" w:rsidR="003D2C98" w:rsidRPr="00D948C1" w:rsidRDefault="003D2C98" w:rsidP="00611673">
            <w:pPr>
              <w:jc w:val="right"/>
              <w:rPr>
                <w:rFonts w:cs="Arial"/>
                <w:color w:val="FFFFFF" w:themeColor="background1"/>
                <w:szCs w:val="24"/>
              </w:rPr>
            </w:pPr>
            <w:r w:rsidRPr="00D948C1">
              <w:rPr>
                <w:rFonts w:cs="Arial"/>
                <w:color w:val="FFFFFF" w:themeColor="background1"/>
                <w:szCs w:val="24"/>
              </w:rPr>
              <w:t>Year ended</w:t>
            </w:r>
          </w:p>
          <w:p w14:paraId="535F13CE" w14:textId="76A8613F" w:rsidR="00021F7E" w:rsidRPr="00D948C1" w:rsidRDefault="003D2C98" w:rsidP="00611673">
            <w:pPr>
              <w:jc w:val="right"/>
              <w:rPr>
                <w:rFonts w:cs="Arial"/>
                <w:color w:val="FFFFFF" w:themeColor="background1"/>
                <w:szCs w:val="24"/>
              </w:rPr>
            </w:pPr>
            <w:r w:rsidRPr="00D948C1">
              <w:rPr>
                <w:rFonts w:cs="Arial"/>
                <w:color w:val="FFFFFF" w:themeColor="background1"/>
                <w:szCs w:val="24"/>
              </w:rPr>
              <w:t>31 March 202</w:t>
            </w:r>
            <w:r w:rsidR="005666C0">
              <w:rPr>
                <w:rFonts w:cs="Arial"/>
                <w:color w:val="FFFFFF" w:themeColor="background1"/>
                <w:szCs w:val="24"/>
              </w:rPr>
              <w:t>5</w:t>
            </w:r>
          </w:p>
          <w:p w14:paraId="4469574E" w14:textId="1DB567E2" w:rsidR="003D2C98" w:rsidRPr="00D948C1" w:rsidRDefault="00F2325E" w:rsidP="00611673">
            <w:pPr>
              <w:jc w:val="right"/>
              <w:rPr>
                <w:rFonts w:cs="Arial"/>
                <w:color w:val="FFFFFF" w:themeColor="background1"/>
                <w:szCs w:val="24"/>
              </w:rPr>
            </w:pPr>
            <w:r w:rsidRPr="00D948C1">
              <w:rPr>
                <w:rFonts w:cs="Arial"/>
                <w:color w:val="FFFFFF" w:themeColor="background1"/>
                <w:szCs w:val="24"/>
              </w:rPr>
              <w:t>£000</w:t>
            </w:r>
          </w:p>
        </w:tc>
        <w:tc>
          <w:tcPr>
            <w:tcW w:w="2279" w:type="dxa"/>
            <w:shd w:val="clear" w:color="auto" w:fill="BD2716"/>
            <w:vAlign w:val="center"/>
          </w:tcPr>
          <w:p w14:paraId="404AD81C" w14:textId="77777777" w:rsidR="003D2C98" w:rsidRPr="00D948C1" w:rsidRDefault="003D2C98" w:rsidP="00611673">
            <w:pPr>
              <w:jc w:val="right"/>
              <w:rPr>
                <w:rFonts w:cs="Arial"/>
                <w:color w:val="FFFFFF" w:themeColor="background1"/>
                <w:szCs w:val="24"/>
              </w:rPr>
            </w:pPr>
            <w:r w:rsidRPr="00D948C1">
              <w:rPr>
                <w:rFonts w:cs="Arial"/>
                <w:color w:val="FFFFFF" w:themeColor="background1"/>
                <w:szCs w:val="24"/>
              </w:rPr>
              <w:t>Year ended</w:t>
            </w:r>
          </w:p>
          <w:p w14:paraId="125171A8" w14:textId="6D068969" w:rsidR="003D2C98" w:rsidRPr="00D948C1" w:rsidRDefault="003D2C98" w:rsidP="00611673">
            <w:pPr>
              <w:jc w:val="right"/>
              <w:rPr>
                <w:rFonts w:cs="Arial"/>
                <w:color w:val="FFFFFF" w:themeColor="background1"/>
                <w:szCs w:val="24"/>
              </w:rPr>
            </w:pPr>
            <w:r w:rsidRPr="00D948C1">
              <w:rPr>
                <w:rFonts w:cs="Arial"/>
                <w:color w:val="FFFFFF" w:themeColor="background1"/>
                <w:szCs w:val="24"/>
              </w:rPr>
              <w:t>31 March 202</w:t>
            </w:r>
            <w:r w:rsidR="006C7F72">
              <w:rPr>
                <w:rFonts w:cs="Arial"/>
                <w:color w:val="FFFFFF" w:themeColor="background1"/>
                <w:szCs w:val="24"/>
              </w:rPr>
              <w:t>5</w:t>
            </w:r>
          </w:p>
          <w:p w14:paraId="77446622" w14:textId="3293FAD3" w:rsidR="003D2C98" w:rsidRPr="00D948C1" w:rsidRDefault="00F2325E" w:rsidP="00611673">
            <w:pPr>
              <w:jc w:val="right"/>
              <w:rPr>
                <w:rFonts w:cs="Arial"/>
                <w:color w:val="FFFFFF" w:themeColor="background1"/>
                <w:szCs w:val="24"/>
              </w:rPr>
            </w:pPr>
            <w:r w:rsidRPr="00D948C1">
              <w:rPr>
                <w:rFonts w:cs="Arial"/>
                <w:color w:val="FFFFFF" w:themeColor="background1"/>
                <w:szCs w:val="24"/>
              </w:rPr>
              <w:t>£000</w:t>
            </w:r>
          </w:p>
        </w:tc>
      </w:tr>
      <w:tr w:rsidR="006C7F72" w:rsidRPr="00D948C1" w14:paraId="1D566167" w14:textId="77777777" w:rsidTr="001D7BD7">
        <w:tc>
          <w:tcPr>
            <w:tcW w:w="3827" w:type="dxa"/>
          </w:tcPr>
          <w:p w14:paraId="6478F7C9" w14:textId="77777777" w:rsidR="006C7F72" w:rsidRPr="00D948C1" w:rsidRDefault="006C7F72" w:rsidP="006C7F72">
            <w:pPr>
              <w:rPr>
                <w:rFonts w:cs="Arial"/>
                <w:szCs w:val="24"/>
              </w:rPr>
            </w:pPr>
            <w:r w:rsidRPr="00D948C1">
              <w:rPr>
                <w:rFonts w:cs="Arial"/>
                <w:szCs w:val="24"/>
              </w:rPr>
              <w:t>Total assets less Current Liabilities</w:t>
            </w:r>
          </w:p>
        </w:tc>
        <w:tc>
          <w:tcPr>
            <w:tcW w:w="2279" w:type="dxa"/>
            <w:vAlign w:val="center"/>
          </w:tcPr>
          <w:p w14:paraId="0FC6CBFD" w14:textId="5CED489F" w:rsidR="006C7F72" w:rsidRPr="00294859" w:rsidRDefault="00C80037" w:rsidP="006C7F72">
            <w:pPr>
              <w:jc w:val="right"/>
              <w:rPr>
                <w:rFonts w:cs="Arial"/>
                <w:szCs w:val="24"/>
              </w:rPr>
            </w:pPr>
            <w:r>
              <w:rPr>
                <w:rFonts w:cs="Arial"/>
                <w:szCs w:val="24"/>
              </w:rPr>
              <w:t>402</w:t>
            </w:r>
          </w:p>
        </w:tc>
        <w:tc>
          <w:tcPr>
            <w:tcW w:w="2279" w:type="dxa"/>
            <w:vAlign w:val="center"/>
          </w:tcPr>
          <w:p w14:paraId="5A3EF5AF" w14:textId="70B676F2" w:rsidR="006C7F72" w:rsidRPr="00DF39E9" w:rsidRDefault="006C7F72" w:rsidP="006C7F72">
            <w:pPr>
              <w:jc w:val="right"/>
              <w:rPr>
                <w:rFonts w:cs="Arial"/>
                <w:szCs w:val="24"/>
              </w:rPr>
            </w:pPr>
            <w:r w:rsidRPr="00294859">
              <w:rPr>
                <w:rFonts w:cs="Arial"/>
                <w:szCs w:val="24"/>
              </w:rPr>
              <w:t>383</w:t>
            </w:r>
          </w:p>
        </w:tc>
      </w:tr>
      <w:tr w:rsidR="006C7F72" w:rsidRPr="00D948C1" w14:paraId="39C30A77" w14:textId="77777777" w:rsidTr="001D7BD7">
        <w:trPr>
          <w:trHeight w:val="278"/>
        </w:trPr>
        <w:tc>
          <w:tcPr>
            <w:tcW w:w="3827" w:type="dxa"/>
          </w:tcPr>
          <w:p w14:paraId="15E38031" w14:textId="526BE87B" w:rsidR="006C7F72" w:rsidRPr="00D948C1" w:rsidRDefault="006C7F72" w:rsidP="006C7F72">
            <w:pPr>
              <w:rPr>
                <w:rFonts w:cs="Arial"/>
                <w:szCs w:val="24"/>
              </w:rPr>
            </w:pPr>
            <w:r w:rsidRPr="00D948C1">
              <w:rPr>
                <w:rFonts w:cs="Arial"/>
                <w:szCs w:val="24"/>
              </w:rPr>
              <w:t>Net assets*</w:t>
            </w:r>
          </w:p>
        </w:tc>
        <w:tc>
          <w:tcPr>
            <w:tcW w:w="2279" w:type="dxa"/>
            <w:vAlign w:val="center"/>
          </w:tcPr>
          <w:p w14:paraId="53B98E1F" w14:textId="1DE8920F" w:rsidR="006C7F72" w:rsidRPr="00294859" w:rsidRDefault="00E66348" w:rsidP="006C7F72">
            <w:pPr>
              <w:jc w:val="right"/>
              <w:rPr>
                <w:rFonts w:cs="Arial"/>
                <w:szCs w:val="24"/>
              </w:rPr>
            </w:pPr>
            <w:r>
              <w:rPr>
                <w:rFonts w:cs="Arial"/>
                <w:szCs w:val="24"/>
              </w:rPr>
              <w:t>402</w:t>
            </w:r>
          </w:p>
        </w:tc>
        <w:tc>
          <w:tcPr>
            <w:tcW w:w="2279" w:type="dxa"/>
            <w:vAlign w:val="center"/>
          </w:tcPr>
          <w:p w14:paraId="699D7394" w14:textId="07AC8A77" w:rsidR="006C7F72" w:rsidRPr="00DF39E9" w:rsidRDefault="006C7F72" w:rsidP="006C7F72">
            <w:pPr>
              <w:jc w:val="right"/>
              <w:rPr>
                <w:rFonts w:cs="Arial"/>
                <w:szCs w:val="24"/>
              </w:rPr>
            </w:pPr>
            <w:r w:rsidRPr="00294859">
              <w:rPr>
                <w:rFonts w:cs="Arial"/>
                <w:szCs w:val="24"/>
              </w:rPr>
              <w:t>383</w:t>
            </w:r>
          </w:p>
        </w:tc>
      </w:tr>
      <w:tr w:rsidR="006C7F72" w:rsidRPr="00D948C1" w14:paraId="4F12D80C" w14:textId="77777777" w:rsidTr="001D7BD7">
        <w:trPr>
          <w:trHeight w:val="278"/>
        </w:trPr>
        <w:tc>
          <w:tcPr>
            <w:tcW w:w="3827" w:type="dxa"/>
          </w:tcPr>
          <w:p w14:paraId="0A7553B2" w14:textId="24860B74" w:rsidR="006C7F72" w:rsidRPr="00D948C1" w:rsidRDefault="006C7F72" w:rsidP="006C7F72">
            <w:pPr>
              <w:rPr>
                <w:rFonts w:cs="Arial"/>
                <w:szCs w:val="24"/>
              </w:rPr>
            </w:pPr>
            <w:r w:rsidRPr="00D948C1">
              <w:rPr>
                <w:rFonts w:cs="Arial"/>
                <w:szCs w:val="24"/>
              </w:rPr>
              <w:t>Surplus</w:t>
            </w:r>
            <w:r w:rsidR="001158B2">
              <w:rPr>
                <w:rFonts w:cs="Arial"/>
                <w:szCs w:val="24"/>
              </w:rPr>
              <w:t xml:space="preserve"> or </w:t>
            </w:r>
            <w:r w:rsidRPr="00D948C1">
              <w:rPr>
                <w:rFonts w:cs="Arial"/>
                <w:szCs w:val="24"/>
              </w:rPr>
              <w:t>(deficit)</w:t>
            </w:r>
            <w:r w:rsidR="00BE324D">
              <w:rPr>
                <w:rFonts w:cs="Arial"/>
                <w:szCs w:val="24"/>
              </w:rPr>
              <w:t xml:space="preserve"> b</w:t>
            </w:r>
            <w:r w:rsidRPr="00D948C1">
              <w:rPr>
                <w:rFonts w:cs="Arial"/>
                <w:szCs w:val="24"/>
              </w:rPr>
              <w:t xml:space="preserve">efore </w:t>
            </w:r>
            <w:r w:rsidR="00BE324D">
              <w:rPr>
                <w:rFonts w:cs="Arial"/>
                <w:szCs w:val="24"/>
              </w:rPr>
              <w:t>t</w:t>
            </w:r>
            <w:r w:rsidRPr="00D948C1">
              <w:rPr>
                <w:rFonts w:cs="Arial"/>
                <w:szCs w:val="24"/>
              </w:rPr>
              <w:t>axation</w:t>
            </w:r>
          </w:p>
        </w:tc>
        <w:tc>
          <w:tcPr>
            <w:tcW w:w="2279" w:type="dxa"/>
            <w:vAlign w:val="center"/>
          </w:tcPr>
          <w:p w14:paraId="52188CAF" w14:textId="7BB2B7DD" w:rsidR="006C7F72" w:rsidRPr="00294859" w:rsidRDefault="00E66348" w:rsidP="006C7F72">
            <w:pPr>
              <w:jc w:val="right"/>
              <w:rPr>
                <w:rFonts w:cs="Arial"/>
                <w:szCs w:val="24"/>
              </w:rPr>
            </w:pPr>
            <w:r>
              <w:rPr>
                <w:rFonts w:cs="Arial"/>
                <w:szCs w:val="24"/>
              </w:rPr>
              <w:t>612</w:t>
            </w:r>
          </w:p>
        </w:tc>
        <w:tc>
          <w:tcPr>
            <w:tcW w:w="2279" w:type="dxa"/>
            <w:vAlign w:val="center"/>
          </w:tcPr>
          <w:p w14:paraId="24CF1B0E" w14:textId="5976AE32" w:rsidR="006C7F72" w:rsidRPr="00DF39E9" w:rsidRDefault="006C7F72" w:rsidP="006C7F72">
            <w:pPr>
              <w:jc w:val="right"/>
              <w:rPr>
                <w:rFonts w:cs="Arial"/>
                <w:szCs w:val="24"/>
              </w:rPr>
            </w:pPr>
            <w:r w:rsidRPr="00294859">
              <w:rPr>
                <w:rFonts w:cs="Arial"/>
                <w:szCs w:val="24"/>
              </w:rPr>
              <w:t>185</w:t>
            </w:r>
          </w:p>
        </w:tc>
      </w:tr>
      <w:tr w:rsidR="006C7F72" w:rsidRPr="00D948C1" w14:paraId="17B90632" w14:textId="77777777" w:rsidTr="001D7BD7">
        <w:trPr>
          <w:trHeight w:val="278"/>
        </w:trPr>
        <w:tc>
          <w:tcPr>
            <w:tcW w:w="3827" w:type="dxa"/>
          </w:tcPr>
          <w:p w14:paraId="20F72E4F" w14:textId="4E6091D4" w:rsidR="006C7F72" w:rsidRPr="00D948C1" w:rsidRDefault="006C7F72" w:rsidP="006C7F72">
            <w:pPr>
              <w:rPr>
                <w:rFonts w:cs="Arial"/>
                <w:szCs w:val="24"/>
              </w:rPr>
            </w:pPr>
            <w:r w:rsidRPr="00D948C1">
              <w:rPr>
                <w:rFonts w:cs="Arial"/>
                <w:szCs w:val="24"/>
              </w:rPr>
              <w:t>Surplus</w:t>
            </w:r>
            <w:r w:rsidR="001158B2">
              <w:rPr>
                <w:rFonts w:cs="Arial"/>
                <w:szCs w:val="24"/>
              </w:rPr>
              <w:t xml:space="preserve"> or </w:t>
            </w:r>
            <w:r w:rsidRPr="00D948C1">
              <w:rPr>
                <w:rFonts w:cs="Arial"/>
                <w:szCs w:val="24"/>
              </w:rPr>
              <w:t xml:space="preserve">(deficit) </w:t>
            </w:r>
            <w:r w:rsidR="00BE324D">
              <w:rPr>
                <w:rFonts w:cs="Arial"/>
                <w:szCs w:val="24"/>
              </w:rPr>
              <w:t>a</w:t>
            </w:r>
            <w:r w:rsidRPr="00D948C1">
              <w:rPr>
                <w:rFonts w:cs="Arial"/>
                <w:szCs w:val="24"/>
              </w:rPr>
              <w:t xml:space="preserve">fter </w:t>
            </w:r>
            <w:r w:rsidR="00BE324D">
              <w:rPr>
                <w:rFonts w:cs="Arial"/>
                <w:szCs w:val="24"/>
              </w:rPr>
              <w:t>t</w:t>
            </w:r>
            <w:r w:rsidRPr="00D948C1">
              <w:rPr>
                <w:rFonts w:cs="Arial"/>
                <w:szCs w:val="24"/>
              </w:rPr>
              <w:t>axation</w:t>
            </w:r>
          </w:p>
        </w:tc>
        <w:tc>
          <w:tcPr>
            <w:tcW w:w="2279" w:type="dxa"/>
            <w:vAlign w:val="center"/>
          </w:tcPr>
          <w:p w14:paraId="45B86065" w14:textId="6F090747" w:rsidR="006C7F72" w:rsidRPr="00294859" w:rsidRDefault="004E2079" w:rsidP="006C7F72">
            <w:pPr>
              <w:jc w:val="right"/>
              <w:rPr>
                <w:rFonts w:cs="Arial"/>
                <w:szCs w:val="24"/>
              </w:rPr>
            </w:pPr>
            <w:r>
              <w:rPr>
                <w:rFonts w:cs="Arial"/>
                <w:szCs w:val="24"/>
              </w:rPr>
              <w:t>608</w:t>
            </w:r>
          </w:p>
        </w:tc>
        <w:tc>
          <w:tcPr>
            <w:tcW w:w="2279" w:type="dxa"/>
            <w:vAlign w:val="center"/>
          </w:tcPr>
          <w:p w14:paraId="1818A9AA" w14:textId="26702AA1" w:rsidR="006C7F72" w:rsidRPr="00DF39E9" w:rsidRDefault="006C7F72" w:rsidP="006C7F72">
            <w:pPr>
              <w:jc w:val="right"/>
              <w:rPr>
                <w:rFonts w:cs="Arial"/>
                <w:szCs w:val="24"/>
              </w:rPr>
            </w:pPr>
            <w:r w:rsidRPr="00294859">
              <w:rPr>
                <w:rFonts w:cs="Arial"/>
                <w:szCs w:val="24"/>
              </w:rPr>
              <w:t>1</w:t>
            </w:r>
            <w:r w:rsidRPr="00456BDD">
              <w:rPr>
                <w:rFonts w:cs="Arial"/>
                <w:szCs w:val="24"/>
              </w:rPr>
              <w:t>78</w:t>
            </w:r>
          </w:p>
        </w:tc>
      </w:tr>
      <w:tr w:rsidR="006C7F72" w:rsidRPr="00D948C1" w14:paraId="1F319F0F" w14:textId="77777777" w:rsidTr="001D7BD7">
        <w:trPr>
          <w:trHeight w:val="278"/>
        </w:trPr>
        <w:tc>
          <w:tcPr>
            <w:tcW w:w="3827" w:type="dxa"/>
          </w:tcPr>
          <w:p w14:paraId="302F5BAB" w14:textId="77777777" w:rsidR="006C7F72" w:rsidRPr="00D948C1" w:rsidRDefault="006C7F72" w:rsidP="006C7F72">
            <w:pPr>
              <w:rPr>
                <w:rFonts w:cs="Arial"/>
                <w:szCs w:val="24"/>
              </w:rPr>
            </w:pPr>
            <w:r w:rsidRPr="00D948C1">
              <w:rPr>
                <w:rFonts w:cs="Arial"/>
                <w:szCs w:val="24"/>
              </w:rPr>
              <w:t>Debtor Balance (LFRS)</w:t>
            </w:r>
          </w:p>
        </w:tc>
        <w:tc>
          <w:tcPr>
            <w:tcW w:w="2279" w:type="dxa"/>
            <w:vAlign w:val="center"/>
          </w:tcPr>
          <w:p w14:paraId="23DC8F1B" w14:textId="486923C1" w:rsidR="006C7F72" w:rsidRPr="00294859" w:rsidRDefault="004E2079" w:rsidP="006C7F72">
            <w:pPr>
              <w:jc w:val="right"/>
              <w:rPr>
                <w:rFonts w:cs="Arial"/>
                <w:szCs w:val="24"/>
              </w:rPr>
            </w:pPr>
            <w:r>
              <w:rPr>
                <w:rFonts w:cs="Arial"/>
                <w:szCs w:val="24"/>
              </w:rPr>
              <w:t>-</w:t>
            </w:r>
          </w:p>
        </w:tc>
        <w:tc>
          <w:tcPr>
            <w:tcW w:w="2279" w:type="dxa"/>
            <w:vAlign w:val="center"/>
          </w:tcPr>
          <w:p w14:paraId="59C6B957" w14:textId="446A1A36" w:rsidR="006C7F72" w:rsidRPr="00DF39E9" w:rsidRDefault="006C7F72" w:rsidP="006C7F72">
            <w:pPr>
              <w:jc w:val="right"/>
              <w:rPr>
                <w:rFonts w:cs="Arial"/>
                <w:szCs w:val="24"/>
              </w:rPr>
            </w:pPr>
            <w:r w:rsidRPr="00294859">
              <w:rPr>
                <w:rFonts w:cs="Arial"/>
                <w:szCs w:val="24"/>
              </w:rPr>
              <w:t>-</w:t>
            </w:r>
          </w:p>
        </w:tc>
      </w:tr>
      <w:tr w:rsidR="006C7F72" w:rsidRPr="00D948C1" w14:paraId="7817D4EE" w14:textId="77777777" w:rsidTr="001D7BD7">
        <w:trPr>
          <w:trHeight w:val="278"/>
        </w:trPr>
        <w:tc>
          <w:tcPr>
            <w:tcW w:w="3827" w:type="dxa"/>
          </w:tcPr>
          <w:p w14:paraId="4DAFC908" w14:textId="77777777" w:rsidR="006C7F72" w:rsidRPr="00D948C1" w:rsidRDefault="006C7F72" w:rsidP="006C7F72">
            <w:pPr>
              <w:rPr>
                <w:rFonts w:cs="Arial"/>
                <w:szCs w:val="24"/>
              </w:rPr>
            </w:pPr>
            <w:r w:rsidRPr="00D948C1">
              <w:rPr>
                <w:rFonts w:cs="Arial"/>
                <w:szCs w:val="24"/>
              </w:rPr>
              <w:t>Creditor Balance (LFRS)</w:t>
            </w:r>
          </w:p>
        </w:tc>
        <w:tc>
          <w:tcPr>
            <w:tcW w:w="2279" w:type="dxa"/>
            <w:vAlign w:val="center"/>
          </w:tcPr>
          <w:p w14:paraId="6BC015CA" w14:textId="048D91C9" w:rsidR="006C7F72" w:rsidRPr="00294859" w:rsidRDefault="004E2079" w:rsidP="006C7F72">
            <w:pPr>
              <w:jc w:val="right"/>
              <w:rPr>
                <w:rFonts w:cs="Arial"/>
                <w:szCs w:val="24"/>
              </w:rPr>
            </w:pPr>
            <w:r>
              <w:rPr>
                <w:rFonts w:cs="Arial"/>
                <w:szCs w:val="24"/>
              </w:rPr>
              <w:t>-</w:t>
            </w:r>
          </w:p>
        </w:tc>
        <w:tc>
          <w:tcPr>
            <w:tcW w:w="2279" w:type="dxa"/>
            <w:vAlign w:val="center"/>
          </w:tcPr>
          <w:p w14:paraId="052446FB" w14:textId="7D87EDA0" w:rsidR="006C7F72" w:rsidRPr="00DF39E9" w:rsidRDefault="006C7F72" w:rsidP="006C7F72">
            <w:pPr>
              <w:jc w:val="right"/>
              <w:rPr>
                <w:rFonts w:cs="Arial"/>
                <w:szCs w:val="24"/>
              </w:rPr>
            </w:pPr>
            <w:r w:rsidRPr="00294859">
              <w:rPr>
                <w:rFonts w:cs="Arial"/>
                <w:szCs w:val="24"/>
              </w:rPr>
              <w:t>-</w:t>
            </w:r>
          </w:p>
        </w:tc>
      </w:tr>
      <w:tr w:rsidR="006C7F72" w:rsidRPr="00D948C1" w14:paraId="7F285004" w14:textId="77777777" w:rsidTr="001D7BD7">
        <w:tc>
          <w:tcPr>
            <w:tcW w:w="3827" w:type="dxa"/>
          </w:tcPr>
          <w:p w14:paraId="4550B748" w14:textId="77777777" w:rsidR="006C7F72" w:rsidRPr="00D948C1" w:rsidRDefault="006C7F72" w:rsidP="006C7F72">
            <w:pPr>
              <w:rPr>
                <w:rFonts w:cs="Arial"/>
                <w:szCs w:val="24"/>
              </w:rPr>
            </w:pPr>
            <w:r w:rsidRPr="00D948C1">
              <w:rPr>
                <w:rFonts w:cs="Arial"/>
                <w:szCs w:val="24"/>
              </w:rPr>
              <w:t>Invoices raised by NW FireControl to LFRS</w:t>
            </w:r>
          </w:p>
        </w:tc>
        <w:tc>
          <w:tcPr>
            <w:tcW w:w="2279" w:type="dxa"/>
            <w:vAlign w:val="center"/>
          </w:tcPr>
          <w:p w14:paraId="449412B5" w14:textId="4BE4DB12" w:rsidR="006C7F72" w:rsidRPr="00294859" w:rsidRDefault="00EF7C0A" w:rsidP="006C7F72">
            <w:pPr>
              <w:jc w:val="right"/>
              <w:rPr>
                <w:rFonts w:cs="Arial"/>
                <w:szCs w:val="24"/>
              </w:rPr>
            </w:pPr>
            <w:r>
              <w:rPr>
                <w:rFonts w:cs="Arial"/>
                <w:szCs w:val="24"/>
              </w:rPr>
              <w:t>2,201</w:t>
            </w:r>
          </w:p>
        </w:tc>
        <w:tc>
          <w:tcPr>
            <w:tcW w:w="2279" w:type="dxa"/>
            <w:vAlign w:val="center"/>
          </w:tcPr>
          <w:p w14:paraId="7CD2A974" w14:textId="2F28A85A" w:rsidR="006C7F72" w:rsidRPr="00DF39E9" w:rsidRDefault="006C7F72" w:rsidP="006C7F72">
            <w:pPr>
              <w:jc w:val="right"/>
              <w:rPr>
                <w:rFonts w:cs="Arial"/>
                <w:szCs w:val="24"/>
              </w:rPr>
            </w:pPr>
            <w:r w:rsidRPr="00294859">
              <w:rPr>
                <w:rFonts w:cs="Arial"/>
                <w:szCs w:val="24"/>
              </w:rPr>
              <w:t>2,200</w:t>
            </w:r>
          </w:p>
        </w:tc>
      </w:tr>
      <w:tr w:rsidR="006C7F72" w:rsidRPr="00D948C1" w14:paraId="1E3BDFEA" w14:textId="77777777" w:rsidTr="001D7BD7">
        <w:tc>
          <w:tcPr>
            <w:tcW w:w="3827" w:type="dxa"/>
          </w:tcPr>
          <w:p w14:paraId="4892AD67" w14:textId="77777777" w:rsidR="006C7F72" w:rsidRPr="00D948C1" w:rsidRDefault="006C7F72" w:rsidP="006C7F72">
            <w:pPr>
              <w:rPr>
                <w:rFonts w:cs="Arial"/>
                <w:szCs w:val="24"/>
              </w:rPr>
            </w:pPr>
            <w:r w:rsidRPr="00D948C1">
              <w:rPr>
                <w:rFonts w:cs="Arial"/>
                <w:szCs w:val="24"/>
              </w:rPr>
              <w:t>Invoices raised by LFRS to NW FireControl</w:t>
            </w:r>
          </w:p>
        </w:tc>
        <w:tc>
          <w:tcPr>
            <w:tcW w:w="2279" w:type="dxa"/>
            <w:vAlign w:val="center"/>
          </w:tcPr>
          <w:p w14:paraId="3E131D50" w14:textId="3F53AB1D" w:rsidR="006C7F72" w:rsidRPr="00294859" w:rsidRDefault="00C3538B" w:rsidP="006C7F72">
            <w:pPr>
              <w:jc w:val="right"/>
              <w:rPr>
                <w:rFonts w:cs="Arial"/>
                <w:szCs w:val="24"/>
              </w:rPr>
            </w:pPr>
            <w:r>
              <w:rPr>
                <w:rFonts w:cs="Arial"/>
                <w:szCs w:val="24"/>
              </w:rPr>
              <w:t>-</w:t>
            </w:r>
          </w:p>
        </w:tc>
        <w:tc>
          <w:tcPr>
            <w:tcW w:w="2279" w:type="dxa"/>
            <w:vAlign w:val="center"/>
          </w:tcPr>
          <w:p w14:paraId="18315D67" w14:textId="3F78DECC" w:rsidR="006C7F72" w:rsidRPr="00DF39E9" w:rsidRDefault="006C7F72" w:rsidP="006C7F72">
            <w:pPr>
              <w:jc w:val="right"/>
              <w:rPr>
                <w:rFonts w:cs="Arial"/>
                <w:szCs w:val="24"/>
              </w:rPr>
            </w:pPr>
            <w:r w:rsidRPr="00294859">
              <w:rPr>
                <w:rFonts w:cs="Arial"/>
                <w:szCs w:val="24"/>
              </w:rPr>
              <w:t>-</w:t>
            </w:r>
          </w:p>
        </w:tc>
      </w:tr>
    </w:tbl>
    <w:p w14:paraId="7A09C994" w14:textId="77777777" w:rsidR="009B6312" w:rsidRPr="00D948C1" w:rsidRDefault="009B6312" w:rsidP="00F06F0B">
      <w:pPr>
        <w:ind w:left="709"/>
        <w:jc w:val="both"/>
        <w:rPr>
          <w:rFonts w:cs="Arial"/>
          <w:sz w:val="22"/>
          <w:szCs w:val="22"/>
        </w:rPr>
      </w:pPr>
    </w:p>
    <w:p w14:paraId="64872E18" w14:textId="39701D79" w:rsidR="009B6312" w:rsidRPr="00393722" w:rsidRDefault="009B6312" w:rsidP="001931F4">
      <w:pPr>
        <w:pStyle w:val="NoSpacing"/>
        <w:ind w:left="709"/>
        <w:rPr>
          <w:lang w:eastAsia="en-GB"/>
        </w:rPr>
      </w:pPr>
      <w:r w:rsidRPr="00393722">
        <w:rPr>
          <w:lang w:eastAsia="en-GB"/>
        </w:rPr>
        <w:t xml:space="preserve">*Net </w:t>
      </w:r>
      <w:r w:rsidR="003C5E02" w:rsidRPr="00393722">
        <w:rPr>
          <w:lang w:eastAsia="en-GB"/>
        </w:rPr>
        <w:t>assets</w:t>
      </w:r>
      <w:r w:rsidRPr="00393722">
        <w:rPr>
          <w:lang w:eastAsia="en-GB"/>
        </w:rPr>
        <w:t xml:space="preserve"> </w:t>
      </w:r>
      <w:proofErr w:type="gramStart"/>
      <w:r w:rsidRPr="00393722">
        <w:rPr>
          <w:lang w:eastAsia="en-GB"/>
        </w:rPr>
        <w:t>includes</w:t>
      </w:r>
      <w:proofErr w:type="gramEnd"/>
      <w:r w:rsidRPr="00393722">
        <w:rPr>
          <w:lang w:eastAsia="en-GB"/>
        </w:rPr>
        <w:t xml:space="preserve"> the future pension liabilities under </w:t>
      </w:r>
      <w:r w:rsidR="00AD0F73" w:rsidRPr="00393722">
        <w:rPr>
          <w:lang w:eastAsia="en-GB"/>
        </w:rPr>
        <w:t>IAS19</w:t>
      </w:r>
      <w:r w:rsidRPr="00393722">
        <w:rPr>
          <w:lang w:eastAsia="en-GB"/>
        </w:rPr>
        <w:t xml:space="preserve"> reported by the Cheshire Pension Fund actuaries.</w:t>
      </w:r>
    </w:p>
    <w:p w14:paraId="31004E53" w14:textId="77777777" w:rsidR="009B6312" w:rsidRPr="00393722" w:rsidRDefault="009B6312" w:rsidP="001931F4">
      <w:pPr>
        <w:pStyle w:val="NoSpacing"/>
        <w:ind w:left="709"/>
        <w:rPr>
          <w:lang w:eastAsia="en-GB"/>
        </w:rPr>
      </w:pPr>
      <w:r w:rsidRPr="00393722">
        <w:rPr>
          <w:lang w:eastAsia="en-GB"/>
        </w:rPr>
        <w:t>All figures are shown net of VAT.</w:t>
      </w:r>
    </w:p>
    <w:p w14:paraId="73C98670" w14:textId="7BAA375D" w:rsidR="009B6312" w:rsidRPr="00393722" w:rsidRDefault="009B6312" w:rsidP="001931F4">
      <w:pPr>
        <w:pStyle w:val="NoSpacing"/>
        <w:ind w:left="709"/>
        <w:rPr>
          <w:lang w:eastAsia="en-GB"/>
        </w:rPr>
      </w:pPr>
      <w:r w:rsidRPr="00393722">
        <w:rPr>
          <w:lang w:eastAsia="en-GB"/>
        </w:rPr>
        <w:t xml:space="preserve">Transactions between </w:t>
      </w:r>
      <w:r w:rsidR="00A1232B" w:rsidRPr="00393722">
        <w:rPr>
          <w:lang w:eastAsia="en-GB"/>
        </w:rPr>
        <w:t>L</w:t>
      </w:r>
      <w:r w:rsidR="0037293D" w:rsidRPr="00393722">
        <w:rPr>
          <w:lang w:eastAsia="en-GB"/>
        </w:rPr>
        <w:t>FRS and NW Fire</w:t>
      </w:r>
      <w:r w:rsidRPr="00393722">
        <w:rPr>
          <w:lang w:eastAsia="en-GB"/>
        </w:rPr>
        <w:t xml:space="preserve">Control </w:t>
      </w:r>
      <w:r w:rsidR="002B520D" w:rsidRPr="00393722">
        <w:rPr>
          <w:rFonts w:cs="Arial"/>
          <w:lang w:eastAsia="en-GB"/>
        </w:rPr>
        <w:t>Limited</w:t>
      </w:r>
      <w:r w:rsidR="002B520D" w:rsidRPr="00393722">
        <w:rPr>
          <w:lang w:eastAsia="en-GB"/>
        </w:rPr>
        <w:t xml:space="preserve"> </w:t>
      </w:r>
      <w:r w:rsidRPr="00393722">
        <w:rPr>
          <w:lang w:eastAsia="en-GB"/>
        </w:rPr>
        <w:t>inc</w:t>
      </w:r>
      <w:r w:rsidR="0037293D" w:rsidRPr="00393722">
        <w:rPr>
          <w:lang w:eastAsia="en-GB"/>
        </w:rPr>
        <w:t>lude Invoices Raised by NW Fire</w:t>
      </w:r>
      <w:r w:rsidRPr="00393722">
        <w:rPr>
          <w:lang w:eastAsia="en-GB"/>
        </w:rPr>
        <w:t xml:space="preserve">Control to </w:t>
      </w:r>
      <w:r w:rsidR="00A1232B" w:rsidRPr="00393722">
        <w:rPr>
          <w:lang w:eastAsia="en-GB"/>
        </w:rPr>
        <w:t>L</w:t>
      </w:r>
      <w:r w:rsidRPr="00393722">
        <w:rPr>
          <w:lang w:eastAsia="en-GB"/>
        </w:rPr>
        <w:t>FRS for t</w:t>
      </w:r>
      <w:r w:rsidR="00A1232B" w:rsidRPr="00393722">
        <w:rPr>
          <w:lang w:eastAsia="en-GB"/>
        </w:rPr>
        <w:t xml:space="preserve">he Control Room service </w:t>
      </w:r>
      <w:r w:rsidRPr="00393722">
        <w:rPr>
          <w:lang w:eastAsia="en-GB"/>
        </w:rPr>
        <w:t>and use of facilities in the building.</w:t>
      </w:r>
    </w:p>
    <w:p w14:paraId="60F549A9" w14:textId="1F9B6777" w:rsidR="00B54CAF" w:rsidRDefault="009B6312" w:rsidP="002E4DA3">
      <w:pPr>
        <w:pStyle w:val="NoSpacing"/>
        <w:ind w:left="709"/>
        <w:rPr>
          <w:lang w:eastAsia="en-GB"/>
        </w:rPr>
      </w:pPr>
      <w:r w:rsidRPr="00393722">
        <w:rPr>
          <w:lang w:eastAsia="en-GB"/>
        </w:rPr>
        <w:t xml:space="preserve">The </w:t>
      </w:r>
      <w:r w:rsidR="00680265" w:rsidRPr="00393722">
        <w:rPr>
          <w:lang w:eastAsia="en-GB"/>
        </w:rPr>
        <w:t>Company’s</w:t>
      </w:r>
      <w:r w:rsidRPr="00393722">
        <w:rPr>
          <w:lang w:eastAsia="en-GB"/>
        </w:rPr>
        <w:t xml:space="preserve"> Financial</w:t>
      </w:r>
      <w:r w:rsidRPr="001D7BD7">
        <w:rPr>
          <w:lang w:eastAsia="en-GB"/>
        </w:rPr>
        <w:t xml:space="preserve"> </w:t>
      </w:r>
      <w:r w:rsidRPr="00393722">
        <w:rPr>
          <w:lang w:eastAsia="en-GB"/>
        </w:rPr>
        <w:t>Statements can be obtained from Companies House with the deadline for submission as 31</w:t>
      </w:r>
      <w:r w:rsidR="00AB1AB8">
        <w:rPr>
          <w:lang w:eastAsia="en-GB"/>
        </w:rPr>
        <w:t xml:space="preserve"> December </w:t>
      </w:r>
      <w:r w:rsidRPr="00393722">
        <w:rPr>
          <w:lang w:eastAsia="en-GB"/>
        </w:rPr>
        <w:t>20</w:t>
      </w:r>
      <w:r w:rsidR="003A7ED4" w:rsidRPr="00393722">
        <w:rPr>
          <w:lang w:eastAsia="en-GB"/>
        </w:rPr>
        <w:t>2</w:t>
      </w:r>
      <w:r w:rsidR="006C7F72" w:rsidRPr="00393722">
        <w:rPr>
          <w:lang w:eastAsia="en-GB"/>
        </w:rPr>
        <w:t>6</w:t>
      </w:r>
      <w:r w:rsidR="002C0DE5" w:rsidRPr="00393722">
        <w:rPr>
          <w:lang w:eastAsia="en-GB"/>
        </w:rPr>
        <w:t xml:space="preserve"> </w:t>
      </w:r>
      <w:r w:rsidRPr="00393722">
        <w:rPr>
          <w:lang w:eastAsia="en-GB"/>
        </w:rPr>
        <w:t xml:space="preserve">for the final audited </w:t>
      </w:r>
      <w:r w:rsidR="001A42DD">
        <w:rPr>
          <w:lang w:eastAsia="en-GB"/>
        </w:rPr>
        <w:t>2025-26</w:t>
      </w:r>
      <w:r w:rsidRPr="00393722">
        <w:rPr>
          <w:lang w:eastAsia="en-GB"/>
        </w:rPr>
        <w:t xml:space="preserve"> accounts.</w:t>
      </w:r>
      <w:bookmarkEnd w:id="73"/>
    </w:p>
    <w:p w14:paraId="27DD0B29" w14:textId="77777777" w:rsidR="00B54CAF" w:rsidRDefault="00B54CAF">
      <w:pPr>
        <w:rPr>
          <w:lang w:eastAsia="en-GB"/>
        </w:rPr>
      </w:pPr>
      <w:r>
        <w:rPr>
          <w:lang w:eastAsia="en-GB"/>
        </w:rPr>
        <w:br w:type="page"/>
      </w:r>
    </w:p>
    <w:p w14:paraId="7FD1D649" w14:textId="5658BC8C" w:rsidR="0083182E" w:rsidRPr="00D948C1" w:rsidRDefault="001C592E" w:rsidP="006563F1">
      <w:pPr>
        <w:pStyle w:val="Heading2"/>
        <w:jc w:val="left"/>
        <w:rPr>
          <w:sz w:val="24"/>
          <w:szCs w:val="24"/>
        </w:rPr>
      </w:pPr>
      <w:bookmarkStart w:id="75" w:name="_24_Adjust_Net"/>
      <w:bookmarkStart w:id="76" w:name="_Toc233717543"/>
      <w:bookmarkEnd w:id="75"/>
      <w:r w:rsidRPr="00D948C1">
        <w:rPr>
          <w:sz w:val="24"/>
          <w:szCs w:val="24"/>
        </w:rPr>
        <w:lastRenderedPageBreak/>
        <w:t>2</w:t>
      </w:r>
      <w:r w:rsidR="00B62A26">
        <w:rPr>
          <w:sz w:val="24"/>
          <w:szCs w:val="24"/>
        </w:rPr>
        <w:t>4</w:t>
      </w:r>
      <w:r w:rsidR="00D90216" w:rsidRPr="00D948C1">
        <w:rPr>
          <w:sz w:val="24"/>
          <w:szCs w:val="24"/>
        </w:rPr>
        <w:tab/>
      </w:r>
      <w:bookmarkStart w:id="77" w:name="N23"/>
      <w:bookmarkEnd w:id="77"/>
      <w:r w:rsidR="0083182E" w:rsidRPr="00D948C1">
        <w:rPr>
          <w:sz w:val="24"/>
          <w:szCs w:val="24"/>
        </w:rPr>
        <w:t xml:space="preserve">Adjust </w:t>
      </w:r>
      <w:r w:rsidR="00BD63EF">
        <w:rPr>
          <w:sz w:val="24"/>
          <w:szCs w:val="24"/>
        </w:rPr>
        <w:t>N</w:t>
      </w:r>
      <w:r w:rsidR="0083182E" w:rsidRPr="00D948C1">
        <w:rPr>
          <w:sz w:val="24"/>
          <w:szCs w:val="24"/>
        </w:rPr>
        <w:t>et surplus</w:t>
      </w:r>
      <w:r w:rsidR="00AB1AB8">
        <w:rPr>
          <w:sz w:val="24"/>
          <w:szCs w:val="24"/>
        </w:rPr>
        <w:t xml:space="preserve"> or </w:t>
      </w:r>
      <w:r w:rsidR="0083182E" w:rsidRPr="00D948C1">
        <w:rPr>
          <w:sz w:val="24"/>
          <w:szCs w:val="24"/>
        </w:rPr>
        <w:t xml:space="preserve">(deficit) on the provision of services for </w:t>
      </w:r>
      <w:r w:rsidR="00470E44" w:rsidRPr="00D948C1">
        <w:rPr>
          <w:sz w:val="24"/>
          <w:szCs w:val="24"/>
        </w:rPr>
        <w:t>non-cash</w:t>
      </w:r>
      <w:r w:rsidR="0083182E" w:rsidRPr="00D948C1">
        <w:rPr>
          <w:sz w:val="24"/>
          <w:szCs w:val="24"/>
        </w:rPr>
        <w:t xml:space="preserve"> movements</w:t>
      </w:r>
      <w:bookmarkEnd w:id="76"/>
    </w:p>
    <w:p w14:paraId="3016A821" w14:textId="77777777" w:rsidR="0083182E" w:rsidRPr="00D948C1" w:rsidRDefault="0083182E" w:rsidP="0083182E">
      <w:pPr>
        <w:ind w:left="709"/>
        <w:jc w:val="both"/>
        <w:rPr>
          <w:szCs w:val="24"/>
        </w:rPr>
      </w:pPr>
    </w:p>
    <w:tbl>
      <w:tblPr>
        <w:tblW w:w="84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67"/>
        <w:gridCol w:w="1867"/>
      </w:tblGrid>
      <w:tr w:rsidR="002823FC" w:rsidRPr="00D948C1" w14:paraId="4ACD6A35" w14:textId="77777777" w:rsidTr="00611673">
        <w:trPr>
          <w:trHeight w:hRule="exact" w:val="564"/>
          <w:tblHeader/>
        </w:trPr>
        <w:tc>
          <w:tcPr>
            <w:tcW w:w="4680" w:type="dxa"/>
            <w:shd w:val="clear" w:color="auto" w:fill="BD2716"/>
          </w:tcPr>
          <w:p w14:paraId="703CCC55" w14:textId="77777777" w:rsidR="002823FC" w:rsidRPr="00D948C1" w:rsidRDefault="002823FC" w:rsidP="002823FC">
            <w:pPr>
              <w:tabs>
                <w:tab w:val="left" w:pos="720"/>
                <w:tab w:val="center" w:pos="6930"/>
              </w:tabs>
              <w:rPr>
                <w:color w:val="FFFFFF" w:themeColor="background1"/>
                <w:szCs w:val="24"/>
              </w:rPr>
            </w:pPr>
          </w:p>
        </w:tc>
        <w:tc>
          <w:tcPr>
            <w:tcW w:w="1867" w:type="dxa"/>
            <w:shd w:val="clear" w:color="auto" w:fill="BD2716"/>
            <w:vAlign w:val="center"/>
          </w:tcPr>
          <w:p w14:paraId="0F673C9E" w14:textId="1F35E167" w:rsidR="002823FC" w:rsidRPr="00D948C1" w:rsidRDefault="001A42DD" w:rsidP="002823FC">
            <w:pPr>
              <w:jc w:val="right"/>
              <w:rPr>
                <w:color w:val="FFFFFF" w:themeColor="background1"/>
                <w:szCs w:val="24"/>
              </w:rPr>
            </w:pPr>
            <w:r>
              <w:rPr>
                <w:color w:val="FFFFFF" w:themeColor="background1"/>
                <w:szCs w:val="24"/>
              </w:rPr>
              <w:t>2025-26</w:t>
            </w:r>
          </w:p>
          <w:p w14:paraId="6777CA9E" w14:textId="068D42C2" w:rsidR="002823FC" w:rsidRPr="00D948C1" w:rsidRDefault="002823FC" w:rsidP="002823FC">
            <w:pPr>
              <w:jc w:val="right"/>
              <w:rPr>
                <w:color w:val="FFFFFF" w:themeColor="background1"/>
                <w:szCs w:val="24"/>
              </w:rPr>
            </w:pPr>
            <w:r w:rsidRPr="00D948C1">
              <w:rPr>
                <w:color w:val="FFFFFF" w:themeColor="background1"/>
                <w:szCs w:val="24"/>
              </w:rPr>
              <w:t>£000</w:t>
            </w:r>
          </w:p>
        </w:tc>
        <w:tc>
          <w:tcPr>
            <w:tcW w:w="1867" w:type="dxa"/>
            <w:shd w:val="clear" w:color="auto" w:fill="BD2716"/>
            <w:vAlign w:val="center"/>
          </w:tcPr>
          <w:p w14:paraId="26AA990F" w14:textId="33A20438" w:rsidR="006C7F72" w:rsidRPr="00D948C1" w:rsidRDefault="001A42DD" w:rsidP="006C7F72">
            <w:pPr>
              <w:jc w:val="right"/>
              <w:rPr>
                <w:color w:val="FFFFFF" w:themeColor="background1"/>
                <w:szCs w:val="24"/>
              </w:rPr>
            </w:pPr>
            <w:r>
              <w:rPr>
                <w:color w:val="FFFFFF" w:themeColor="background1"/>
                <w:szCs w:val="24"/>
              </w:rPr>
              <w:t>2024-25</w:t>
            </w:r>
          </w:p>
          <w:p w14:paraId="19983810" w14:textId="79BEA751" w:rsidR="002823FC" w:rsidRPr="00D948C1" w:rsidRDefault="006C7F72" w:rsidP="006C7F72">
            <w:pPr>
              <w:jc w:val="right"/>
              <w:rPr>
                <w:color w:val="FFFFFF" w:themeColor="background1"/>
                <w:szCs w:val="24"/>
              </w:rPr>
            </w:pPr>
            <w:r w:rsidRPr="00D948C1">
              <w:rPr>
                <w:color w:val="FFFFFF" w:themeColor="background1"/>
                <w:szCs w:val="24"/>
              </w:rPr>
              <w:t>£000</w:t>
            </w:r>
          </w:p>
        </w:tc>
      </w:tr>
      <w:tr w:rsidR="006C7F72" w:rsidRPr="00D948C1" w14:paraId="4E13F36E" w14:textId="77777777" w:rsidTr="003572E5">
        <w:trPr>
          <w:trHeight w:val="278"/>
        </w:trPr>
        <w:tc>
          <w:tcPr>
            <w:tcW w:w="4680" w:type="dxa"/>
          </w:tcPr>
          <w:p w14:paraId="26DF27E4" w14:textId="77777777" w:rsidR="006C7F72" w:rsidRPr="00D948C1" w:rsidRDefault="006C7F72" w:rsidP="006C7F72">
            <w:pPr>
              <w:tabs>
                <w:tab w:val="left" w:pos="720"/>
                <w:tab w:val="center" w:pos="6930"/>
              </w:tabs>
              <w:rPr>
                <w:szCs w:val="24"/>
              </w:rPr>
            </w:pPr>
            <w:r w:rsidRPr="00D948C1">
              <w:rPr>
                <w:szCs w:val="24"/>
              </w:rPr>
              <w:t>Depreciation</w:t>
            </w:r>
          </w:p>
        </w:tc>
        <w:tc>
          <w:tcPr>
            <w:tcW w:w="1867" w:type="dxa"/>
            <w:vAlign w:val="center"/>
          </w:tcPr>
          <w:p w14:paraId="5A0A0D33" w14:textId="79A30470" w:rsidR="006C7F72" w:rsidRPr="00294859" w:rsidRDefault="0070050C" w:rsidP="006C7F72">
            <w:pPr>
              <w:tabs>
                <w:tab w:val="decimal" w:pos="1080"/>
              </w:tabs>
              <w:jc w:val="right"/>
              <w:rPr>
                <w:szCs w:val="24"/>
              </w:rPr>
            </w:pPr>
            <w:r>
              <w:rPr>
                <w:szCs w:val="24"/>
              </w:rPr>
              <w:t>6,657</w:t>
            </w:r>
          </w:p>
        </w:tc>
        <w:tc>
          <w:tcPr>
            <w:tcW w:w="1867" w:type="dxa"/>
            <w:vAlign w:val="center"/>
          </w:tcPr>
          <w:p w14:paraId="444952F8" w14:textId="33F9916A" w:rsidR="006C7F72" w:rsidRPr="00DF39E9" w:rsidRDefault="006C7F72" w:rsidP="006C7F72">
            <w:pPr>
              <w:tabs>
                <w:tab w:val="decimal" w:pos="1080"/>
              </w:tabs>
              <w:jc w:val="right"/>
              <w:rPr>
                <w:szCs w:val="24"/>
              </w:rPr>
            </w:pPr>
            <w:r w:rsidRPr="00294859">
              <w:rPr>
                <w:szCs w:val="24"/>
              </w:rPr>
              <w:t>6,648</w:t>
            </w:r>
          </w:p>
        </w:tc>
      </w:tr>
      <w:tr w:rsidR="006C7F72" w:rsidRPr="00D948C1" w14:paraId="1C1D38C5" w14:textId="77777777" w:rsidTr="003572E5">
        <w:trPr>
          <w:trHeight w:val="278"/>
        </w:trPr>
        <w:tc>
          <w:tcPr>
            <w:tcW w:w="4680" w:type="dxa"/>
          </w:tcPr>
          <w:p w14:paraId="6E6EA4AA" w14:textId="77777777" w:rsidR="006C7F72" w:rsidRPr="00D948C1" w:rsidRDefault="006C7F72" w:rsidP="006C7F72">
            <w:pPr>
              <w:tabs>
                <w:tab w:val="left" w:pos="720"/>
                <w:tab w:val="center" w:pos="6930"/>
              </w:tabs>
              <w:rPr>
                <w:szCs w:val="24"/>
              </w:rPr>
            </w:pPr>
            <w:r w:rsidRPr="00D948C1">
              <w:rPr>
                <w:szCs w:val="24"/>
              </w:rPr>
              <w:t>Impairment &amp; downwards valuations</w:t>
            </w:r>
          </w:p>
        </w:tc>
        <w:tc>
          <w:tcPr>
            <w:tcW w:w="1867" w:type="dxa"/>
            <w:vAlign w:val="center"/>
          </w:tcPr>
          <w:p w14:paraId="25B00891" w14:textId="3483AC87" w:rsidR="006C7F72" w:rsidRPr="00294859" w:rsidRDefault="0070050C" w:rsidP="006C7F72">
            <w:pPr>
              <w:tabs>
                <w:tab w:val="decimal" w:pos="1080"/>
              </w:tabs>
              <w:jc w:val="right"/>
              <w:rPr>
                <w:szCs w:val="24"/>
              </w:rPr>
            </w:pPr>
            <w:r>
              <w:rPr>
                <w:szCs w:val="24"/>
              </w:rPr>
              <w:t>25</w:t>
            </w:r>
          </w:p>
        </w:tc>
        <w:tc>
          <w:tcPr>
            <w:tcW w:w="1867" w:type="dxa"/>
            <w:vAlign w:val="center"/>
          </w:tcPr>
          <w:p w14:paraId="553CA341" w14:textId="72397DA1" w:rsidR="006C7F72" w:rsidRPr="00DF39E9" w:rsidRDefault="006C7F72" w:rsidP="006C7F72">
            <w:pPr>
              <w:tabs>
                <w:tab w:val="decimal" w:pos="1080"/>
              </w:tabs>
              <w:jc w:val="right"/>
              <w:rPr>
                <w:szCs w:val="24"/>
              </w:rPr>
            </w:pPr>
            <w:r w:rsidRPr="00294859">
              <w:rPr>
                <w:szCs w:val="24"/>
              </w:rPr>
              <w:t>71</w:t>
            </w:r>
          </w:p>
        </w:tc>
      </w:tr>
      <w:tr w:rsidR="006C7F72" w:rsidRPr="00D948C1" w14:paraId="5F531D75" w14:textId="77777777" w:rsidTr="003572E5">
        <w:trPr>
          <w:trHeight w:val="278"/>
        </w:trPr>
        <w:tc>
          <w:tcPr>
            <w:tcW w:w="4680" w:type="dxa"/>
          </w:tcPr>
          <w:p w14:paraId="28178CD9" w14:textId="77777777" w:rsidR="006C7F72" w:rsidRPr="00D948C1" w:rsidRDefault="006C7F72" w:rsidP="006C7F72">
            <w:pPr>
              <w:tabs>
                <w:tab w:val="left" w:pos="720"/>
                <w:tab w:val="center" w:pos="6930"/>
              </w:tabs>
              <w:rPr>
                <w:szCs w:val="24"/>
              </w:rPr>
            </w:pPr>
            <w:r w:rsidRPr="00D948C1">
              <w:rPr>
                <w:szCs w:val="24"/>
              </w:rPr>
              <w:t>Amortisation</w:t>
            </w:r>
          </w:p>
        </w:tc>
        <w:tc>
          <w:tcPr>
            <w:tcW w:w="1867" w:type="dxa"/>
            <w:vAlign w:val="center"/>
          </w:tcPr>
          <w:p w14:paraId="2A832BE9" w14:textId="185AA025" w:rsidR="006C7F72" w:rsidRPr="00294859" w:rsidRDefault="0070050C" w:rsidP="006C7F72">
            <w:pPr>
              <w:tabs>
                <w:tab w:val="decimal" w:pos="1080"/>
              </w:tabs>
              <w:jc w:val="right"/>
              <w:rPr>
                <w:szCs w:val="24"/>
              </w:rPr>
            </w:pPr>
            <w:r>
              <w:rPr>
                <w:szCs w:val="24"/>
              </w:rPr>
              <w:t>1</w:t>
            </w:r>
            <w:r w:rsidR="003F0A20">
              <w:rPr>
                <w:szCs w:val="24"/>
              </w:rPr>
              <w:t>1</w:t>
            </w:r>
            <w:r>
              <w:rPr>
                <w:szCs w:val="24"/>
              </w:rPr>
              <w:t>1</w:t>
            </w:r>
          </w:p>
        </w:tc>
        <w:tc>
          <w:tcPr>
            <w:tcW w:w="1867" w:type="dxa"/>
            <w:vAlign w:val="center"/>
          </w:tcPr>
          <w:p w14:paraId="1D2E2D1B" w14:textId="5A3E062C" w:rsidR="006C7F72" w:rsidRPr="00DF39E9" w:rsidRDefault="006C7F72" w:rsidP="006C7F72">
            <w:pPr>
              <w:tabs>
                <w:tab w:val="decimal" w:pos="1080"/>
              </w:tabs>
              <w:jc w:val="right"/>
              <w:rPr>
                <w:szCs w:val="24"/>
              </w:rPr>
            </w:pPr>
            <w:r w:rsidRPr="00294859">
              <w:rPr>
                <w:szCs w:val="24"/>
              </w:rPr>
              <w:t>219</w:t>
            </w:r>
          </w:p>
        </w:tc>
      </w:tr>
      <w:tr w:rsidR="006C7F72" w:rsidRPr="00D948C1" w14:paraId="46B3A49D" w14:textId="77777777" w:rsidTr="003572E5">
        <w:trPr>
          <w:trHeight w:val="278"/>
        </w:trPr>
        <w:tc>
          <w:tcPr>
            <w:tcW w:w="4680" w:type="dxa"/>
          </w:tcPr>
          <w:p w14:paraId="129E0905" w14:textId="05640230" w:rsidR="006C7F72" w:rsidRPr="00D948C1" w:rsidRDefault="006C7F72" w:rsidP="006C7F72">
            <w:pPr>
              <w:tabs>
                <w:tab w:val="left" w:pos="720"/>
                <w:tab w:val="center" w:pos="6930"/>
              </w:tabs>
              <w:rPr>
                <w:szCs w:val="24"/>
              </w:rPr>
            </w:pPr>
            <w:r w:rsidRPr="00D948C1">
              <w:rPr>
                <w:szCs w:val="24"/>
              </w:rPr>
              <w:t>Increase</w:t>
            </w:r>
            <w:r w:rsidR="00F70717">
              <w:rPr>
                <w:szCs w:val="24"/>
              </w:rPr>
              <w:t xml:space="preserve"> or </w:t>
            </w:r>
            <w:r w:rsidRPr="00D948C1">
              <w:rPr>
                <w:szCs w:val="24"/>
              </w:rPr>
              <w:t>(decrease) in provisions</w:t>
            </w:r>
          </w:p>
        </w:tc>
        <w:tc>
          <w:tcPr>
            <w:tcW w:w="1867" w:type="dxa"/>
            <w:vAlign w:val="center"/>
          </w:tcPr>
          <w:p w14:paraId="53CCAD6D" w14:textId="2CAC3429" w:rsidR="006C7F72" w:rsidRPr="00294859" w:rsidRDefault="005C3C30" w:rsidP="006C7F72">
            <w:pPr>
              <w:tabs>
                <w:tab w:val="decimal" w:pos="1080"/>
              </w:tabs>
              <w:jc w:val="right"/>
              <w:rPr>
                <w:szCs w:val="24"/>
              </w:rPr>
            </w:pPr>
            <w:r>
              <w:rPr>
                <w:szCs w:val="24"/>
              </w:rPr>
              <w:t>407</w:t>
            </w:r>
          </w:p>
        </w:tc>
        <w:tc>
          <w:tcPr>
            <w:tcW w:w="1867" w:type="dxa"/>
            <w:vAlign w:val="center"/>
          </w:tcPr>
          <w:p w14:paraId="00D070E2" w14:textId="7508FD77" w:rsidR="006C7F72" w:rsidRPr="00DF39E9" w:rsidRDefault="006C7F72" w:rsidP="006C7F72">
            <w:pPr>
              <w:tabs>
                <w:tab w:val="decimal" w:pos="1080"/>
              </w:tabs>
              <w:jc w:val="right"/>
              <w:rPr>
                <w:szCs w:val="24"/>
              </w:rPr>
            </w:pPr>
            <w:r w:rsidRPr="00294859">
              <w:rPr>
                <w:szCs w:val="24"/>
              </w:rPr>
              <w:t>17</w:t>
            </w:r>
          </w:p>
        </w:tc>
      </w:tr>
      <w:tr w:rsidR="006C7F72" w:rsidRPr="00D948C1" w14:paraId="7CC9E0E9" w14:textId="77777777" w:rsidTr="003572E5">
        <w:trPr>
          <w:trHeight w:val="278"/>
        </w:trPr>
        <w:tc>
          <w:tcPr>
            <w:tcW w:w="4680" w:type="dxa"/>
          </w:tcPr>
          <w:p w14:paraId="74BEFFA9" w14:textId="2CE824E2" w:rsidR="006C7F72" w:rsidRPr="00D948C1" w:rsidRDefault="006C7F72" w:rsidP="006C7F72">
            <w:pPr>
              <w:tabs>
                <w:tab w:val="left" w:pos="720"/>
                <w:tab w:val="center" w:pos="6930"/>
              </w:tabs>
              <w:rPr>
                <w:szCs w:val="24"/>
              </w:rPr>
            </w:pPr>
            <w:r w:rsidRPr="00D948C1">
              <w:rPr>
                <w:szCs w:val="24"/>
              </w:rPr>
              <w:t>Increase</w:t>
            </w:r>
            <w:r w:rsidR="00F70717">
              <w:rPr>
                <w:szCs w:val="24"/>
              </w:rPr>
              <w:t xml:space="preserve"> or </w:t>
            </w:r>
            <w:r w:rsidRPr="00D948C1">
              <w:rPr>
                <w:szCs w:val="24"/>
              </w:rPr>
              <w:t>(decrease) in creditors</w:t>
            </w:r>
          </w:p>
        </w:tc>
        <w:tc>
          <w:tcPr>
            <w:tcW w:w="1867" w:type="dxa"/>
            <w:vAlign w:val="center"/>
          </w:tcPr>
          <w:p w14:paraId="5E62F46C" w14:textId="3EB05433" w:rsidR="006C7F72" w:rsidRPr="00294859" w:rsidRDefault="005C3C30" w:rsidP="006C7F72">
            <w:pPr>
              <w:tabs>
                <w:tab w:val="decimal" w:pos="1080"/>
              </w:tabs>
              <w:jc w:val="right"/>
              <w:rPr>
                <w:szCs w:val="24"/>
              </w:rPr>
            </w:pPr>
            <w:r>
              <w:rPr>
                <w:szCs w:val="24"/>
              </w:rPr>
              <w:t>(7,538)</w:t>
            </w:r>
          </w:p>
        </w:tc>
        <w:tc>
          <w:tcPr>
            <w:tcW w:w="1867" w:type="dxa"/>
            <w:vAlign w:val="center"/>
          </w:tcPr>
          <w:p w14:paraId="7C614B9F" w14:textId="179B4EE2" w:rsidR="006C7F72" w:rsidRPr="00DF39E9" w:rsidRDefault="006C7F72" w:rsidP="006C7F72">
            <w:pPr>
              <w:tabs>
                <w:tab w:val="decimal" w:pos="1080"/>
              </w:tabs>
              <w:jc w:val="right"/>
              <w:rPr>
                <w:szCs w:val="24"/>
              </w:rPr>
            </w:pPr>
            <w:r w:rsidRPr="00294859">
              <w:rPr>
                <w:szCs w:val="24"/>
              </w:rPr>
              <w:t>8,886</w:t>
            </w:r>
          </w:p>
        </w:tc>
      </w:tr>
      <w:tr w:rsidR="006C7F72" w:rsidRPr="00D948C1" w14:paraId="630F9869" w14:textId="77777777" w:rsidTr="003572E5">
        <w:trPr>
          <w:trHeight w:val="278"/>
        </w:trPr>
        <w:tc>
          <w:tcPr>
            <w:tcW w:w="4680" w:type="dxa"/>
          </w:tcPr>
          <w:p w14:paraId="67C6527D" w14:textId="6B59AC27" w:rsidR="006C7F72" w:rsidRPr="00D948C1" w:rsidRDefault="006C7F72" w:rsidP="006C7F72">
            <w:pPr>
              <w:tabs>
                <w:tab w:val="left" w:pos="720"/>
                <w:tab w:val="center" w:pos="6930"/>
              </w:tabs>
              <w:rPr>
                <w:szCs w:val="24"/>
              </w:rPr>
            </w:pPr>
            <w:r w:rsidRPr="00D948C1">
              <w:rPr>
                <w:szCs w:val="24"/>
              </w:rPr>
              <w:t>(Increase)</w:t>
            </w:r>
            <w:r w:rsidR="00F70717">
              <w:rPr>
                <w:szCs w:val="24"/>
              </w:rPr>
              <w:t xml:space="preserve"> or </w:t>
            </w:r>
            <w:r w:rsidRPr="00D948C1">
              <w:rPr>
                <w:szCs w:val="24"/>
              </w:rPr>
              <w:t>decrease in debtors</w:t>
            </w:r>
          </w:p>
        </w:tc>
        <w:tc>
          <w:tcPr>
            <w:tcW w:w="1867" w:type="dxa"/>
            <w:vAlign w:val="center"/>
          </w:tcPr>
          <w:p w14:paraId="3E576B63" w14:textId="073B5EDB" w:rsidR="006C7F72" w:rsidRPr="00294859" w:rsidRDefault="00935583" w:rsidP="006C7F72">
            <w:pPr>
              <w:tabs>
                <w:tab w:val="decimal" w:pos="1080"/>
              </w:tabs>
              <w:jc w:val="right"/>
              <w:rPr>
                <w:szCs w:val="24"/>
              </w:rPr>
            </w:pPr>
            <w:r>
              <w:rPr>
                <w:szCs w:val="24"/>
              </w:rPr>
              <w:t>(3,188)</w:t>
            </w:r>
          </w:p>
        </w:tc>
        <w:tc>
          <w:tcPr>
            <w:tcW w:w="1867" w:type="dxa"/>
            <w:vAlign w:val="center"/>
          </w:tcPr>
          <w:p w14:paraId="6281AA10" w14:textId="494A9CBB" w:rsidR="006C7F72" w:rsidRPr="00DF39E9" w:rsidRDefault="006C7F72" w:rsidP="006C7F72">
            <w:pPr>
              <w:tabs>
                <w:tab w:val="decimal" w:pos="1080"/>
              </w:tabs>
              <w:jc w:val="right"/>
              <w:rPr>
                <w:szCs w:val="24"/>
              </w:rPr>
            </w:pPr>
            <w:r w:rsidRPr="00294859">
              <w:rPr>
                <w:szCs w:val="24"/>
              </w:rPr>
              <w:t>10,679</w:t>
            </w:r>
          </w:p>
        </w:tc>
      </w:tr>
      <w:tr w:rsidR="006C7F72" w:rsidRPr="00D948C1" w14:paraId="1F20EE85" w14:textId="77777777" w:rsidTr="003572E5">
        <w:trPr>
          <w:trHeight w:val="278"/>
        </w:trPr>
        <w:tc>
          <w:tcPr>
            <w:tcW w:w="4680" w:type="dxa"/>
          </w:tcPr>
          <w:p w14:paraId="6856D8B2" w14:textId="0A3482A1" w:rsidR="006C7F72" w:rsidRPr="00D948C1" w:rsidRDefault="006C7F72" w:rsidP="006C7F72">
            <w:pPr>
              <w:tabs>
                <w:tab w:val="left" w:pos="720"/>
                <w:tab w:val="center" w:pos="6930"/>
              </w:tabs>
              <w:rPr>
                <w:szCs w:val="24"/>
              </w:rPr>
            </w:pPr>
            <w:r w:rsidRPr="00D948C1">
              <w:rPr>
                <w:szCs w:val="24"/>
              </w:rPr>
              <w:t>(Increase)</w:t>
            </w:r>
            <w:r w:rsidR="00F70717">
              <w:rPr>
                <w:szCs w:val="24"/>
              </w:rPr>
              <w:t xml:space="preserve"> or </w:t>
            </w:r>
            <w:r w:rsidRPr="00D948C1">
              <w:rPr>
                <w:szCs w:val="24"/>
              </w:rPr>
              <w:t>decrease in stock</w:t>
            </w:r>
          </w:p>
        </w:tc>
        <w:tc>
          <w:tcPr>
            <w:tcW w:w="1867" w:type="dxa"/>
            <w:vAlign w:val="center"/>
          </w:tcPr>
          <w:p w14:paraId="66C41BB9" w14:textId="3C69B9AB" w:rsidR="006C7F72" w:rsidRPr="00294859" w:rsidRDefault="00935583" w:rsidP="006C7F72">
            <w:pPr>
              <w:tabs>
                <w:tab w:val="decimal" w:pos="1080"/>
              </w:tabs>
              <w:jc w:val="right"/>
              <w:rPr>
                <w:szCs w:val="24"/>
              </w:rPr>
            </w:pPr>
            <w:r>
              <w:rPr>
                <w:szCs w:val="24"/>
              </w:rPr>
              <w:t>(8)</w:t>
            </w:r>
          </w:p>
        </w:tc>
        <w:tc>
          <w:tcPr>
            <w:tcW w:w="1867" w:type="dxa"/>
            <w:vAlign w:val="center"/>
          </w:tcPr>
          <w:p w14:paraId="1CDE43E2" w14:textId="0C9396FD" w:rsidR="006C7F72" w:rsidRPr="00DF39E9" w:rsidRDefault="006C7F72" w:rsidP="006C7F72">
            <w:pPr>
              <w:tabs>
                <w:tab w:val="decimal" w:pos="1080"/>
              </w:tabs>
              <w:jc w:val="right"/>
              <w:rPr>
                <w:szCs w:val="24"/>
              </w:rPr>
            </w:pPr>
            <w:r w:rsidRPr="00294859">
              <w:rPr>
                <w:szCs w:val="24"/>
              </w:rPr>
              <w:t>15</w:t>
            </w:r>
          </w:p>
        </w:tc>
      </w:tr>
      <w:tr w:rsidR="006C7F72" w:rsidRPr="00D948C1" w14:paraId="7A616F14" w14:textId="77777777" w:rsidTr="003572E5">
        <w:trPr>
          <w:trHeight w:val="278"/>
        </w:trPr>
        <w:tc>
          <w:tcPr>
            <w:tcW w:w="4680" w:type="dxa"/>
          </w:tcPr>
          <w:p w14:paraId="4D6B2B33" w14:textId="77777777" w:rsidR="006C7F72" w:rsidRPr="00D948C1" w:rsidRDefault="006C7F72" w:rsidP="006C7F72">
            <w:pPr>
              <w:tabs>
                <w:tab w:val="left" w:pos="720"/>
                <w:tab w:val="center" w:pos="6930"/>
              </w:tabs>
              <w:rPr>
                <w:szCs w:val="24"/>
              </w:rPr>
            </w:pPr>
            <w:r w:rsidRPr="00D948C1">
              <w:rPr>
                <w:szCs w:val="24"/>
              </w:rPr>
              <w:t>Movement in pension liability</w:t>
            </w:r>
          </w:p>
        </w:tc>
        <w:tc>
          <w:tcPr>
            <w:tcW w:w="1867" w:type="dxa"/>
            <w:vAlign w:val="center"/>
          </w:tcPr>
          <w:p w14:paraId="236516ED" w14:textId="03BE8B5A" w:rsidR="006C7F72" w:rsidRPr="00294859" w:rsidRDefault="00474291" w:rsidP="006C7F72">
            <w:pPr>
              <w:tabs>
                <w:tab w:val="decimal" w:pos="1080"/>
              </w:tabs>
              <w:jc w:val="right"/>
              <w:rPr>
                <w:szCs w:val="24"/>
              </w:rPr>
            </w:pPr>
            <w:r>
              <w:rPr>
                <w:szCs w:val="24"/>
              </w:rPr>
              <w:t>2,589</w:t>
            </w:r>
          </w:p>
        </w:tc>
        <w:tc>
          <w:tcPr>
            <w:tcW w:w="1867" w:type="dxa"/>
            <w:vAlign w:val="center"/>
          </w:tcPr>
          <w:p w14:paraId="407168FB" w14:textId="3EDBBD1A" w:rsidR="006C7F72" w:rsidRPr="00DF39E9" w:rsidRDefault="006C7F72" w:rsidP="006C7F72">
            <w:pPr>
              <w:tabs>
                <w:tab w:val="decimal" w:pos="1080"/>
              </w:tabs>
              <w:jc w:val="right"/>
              <w:rPr>
                <w:szCs w:val="24"/>
              </w:rPr>
            </w:pPr>
            <w:r w:rsidRPr="00294859">
              <w:rPr>
                <w:szCs w:val="24"/>
              </w:rPr>
              <w:t>3,709</w:t>
            </w:r>
          </w:p>
        </w:tc>
      </w:tr>
      <w:tr w:rsidR="006C7F72" w:rsidRPr="00D948C1" w14:paraId="5C8F41CE" w14:textId="77777777" w:rsidTr="003572E5">
        <w:trPr>
          <w:trHeight w:val="278"/>
        </w:trPr>
        <w:tc>
          <w:tcPr>
            <w:tcW w:w="4680" w:type="dxa"/>
          </w:tcPr>
          <w:p w14:paraId="175BAAD6" w14:textId="6F311A86" w:rsidR="006C7F72" w:rsidRPr="00D948C1" w:rsidRDefault="00446334" w:rsidP="006C7F72">
            <w:pPr>
              <w:tabs>
                <w:tab w:val="left" w:pos="720"/>
                <w:tab w:val="center" w:pos="6930"/>
              </w:tabs>
              <w:rPr>
                <w:szCs w:val="24"/>
              </w:rPr>
            </w:pPr>
            <w:r>
              <w:rPr>
                <w:szCs w:val="24"/>
              </w:rPr>
              <w:t>Reclassified NWFC intangible assets</w:t>
            </w:r>
          </w:p>
        </w:tc>
        <w:tc>
          <w:tcPr>
            <w:tcW w:w="1867" w:type="dxa"/>
            <w:vAlign w:val="center"/>
          </w:tcPr>
          <w:p w14:paraId="32B59D2C" w14:textId="3F4D0385" w:rsidR="006C7F72" w:rsidRPr="00294859" w:rsidRDefault="006411F8" w:rsidP="006C7F72">
            <w:pPr>
              <w:tabs>
                <w:tab w:val="decimal" w:pos="1080"/>
              </w:tabs>
              <w:jc w:val="right"/>
              <w:rPr>
                <w:szCs w:val="24"/>
              </w:rPr>
            </w:pPr>
            <w:r>
              <w:rPr>
                <w:szCs w:val="24"/>
              </w:rPr>
              <w:t>108</w:t>
            </w:r>
          </w:p>
        </w:tc>
        <w:tc>
          <w:tcPr>
            <w:tcW w:w="1867" w:type="dxa"/>
            <w:vAlign w:val="center"/>
          </w:tcPr>
          <w:p w14:paraId="7C5B7B1F" w14:textId="06A87266" w:rsidR="006C7F72" w:rsidRPr="00DF39E9" w:rsidRDefault="006C7F72" w:rsidP="006C7F72">
            <w:pPr>
              <w:tabs>
                <w:tab w:val="decimal" w:pos="1080"/>
              </w:tabs>
              <w:jc w:val="right"/>
              <w:rPr>
                <w:szCs w:val="24"/>
              </w:rPr>
            </w:pPr>
            <w:r w:rsidRPr="00294859">
              <w:rPr>
                <w:szCs w:val="24"/>
              </w:rPr>
              <w:t>-</w:t>
            </w:r>
          </w:p>
        </w:tc>
      </w:tr>
      <w:tr w:rsidR="006C7F72" w:rsidRPr="00D948C1" w14:paraId="569ACD92" w14:textId="77777777" w:rsidTr="003572E5">
        <w:trPr>
          <w:trHeight w:val="278"/>
        </w:trPr>
        <w:tc>
          <w:tcPr>
            <w:tcW w:w="4680" w:type="dxa"/>
          </w:tcPr>
          <w:p w14:paraId="0DFF8239" w14:textId="7B258245" w:rsidR="006C7F72" w:rsidRPr="00D948C1" w:rsidRDefault="006411F8" w:rsidP="006C7F72">
            <w:pPr>
              <w:tabs>
                <w:tab w:val="left" w:pos="720"/>
                <w:tab w:val="center" w:pos="6930"/>
              </w:tabs>
              <w:rPr>
                <w:szCs w:val="24"/>
              </w:rPr>
            </w:pPr>
            <w:r>
              <w:rPr>
                <w:szCs w:val="24"/>
              </w:rPr>
              <w:t>Net book value of assets sold</w:t>
            </w:r>
          </w:p>
        </w:tc>
        <w:tc>
          <w:tcPr>
            <w:tcW w:w="1867" w:type="dxa"/>
            <w:vAlign w:val="center"/>
          </w:tcPr>
          <w:p w14:paraId="1E339050" w14:textId="758273E3" w:rsidR="006C7F72" w:rsidRPr="00294859" w:rsidRDefault="00955B43" w:rsidP="006C7F72">
            <w:pPr>
              <w:tabs>
                <w:tab w:val="decimal" w:pos="1080"/>
              </w:tabs>
              <w:jc w:val="right"/>
              <w:rPr>
                <w:szCs w:val="24"/>
              </w:rPr>
            </w:pPr>
            <w:r>
              <w:rPr>
                <w:szCs w:val="24"/>
              </w:rPr>
              <w:t>4</w:t>
            </w:r>
          </w:p>
        </w:tc>
        <w:tc>
          <w:tcPr>
            <w:tcW w:w="1867" w:type="dxa"/>
            <w:vAlign w:val="center"/>
          </w:tcPr>
          <w:p w14:paraId="3B340B1B" w14:textId="4166F256" w:rsidR="006C7F72" w:rsidRPr="00DF39E9" w:rsidRDefault="006C7F72" w:rsidP="006C7F72">
            <w:pPr>
              <w:tabs>
                <w:tab w:val="decimal" w:pos="1080"/>
              </w:tabs>
              <w:jc w:val="right"/>
              <w:rPr>
                <w:szCs w:val="24"/>
              </w:rPr>
            </w:pPr>
            <w:r w:rsidRPr="00294859">
              <w:rPr>
                <w:szCs w:val="24"/>
              </w:rPr>
              <w:t>7</w:t>
            </w:r>
          </w:p>
        </w:tc>
      </w:tr>
      <w:tr w:rsidR="006C7F72" w:rsidRPr="00D948C1" w14:paraId="0AFF733D" w14:textId="77777777" w:rsidTr="003572E5">
        <w:trPr>
          <w:trHeight w:val="278"/>
        </w:trPr>
        <w:tc>
          <w:tcPr>
            <w:tcW w:w="4680" w:type="dxa"/>
          </w:tcPr>
          <w:p w14:paraId="06EF4D14" w14:textId="669EBEB8" w:rsidR="006C7F72" w:rsidRPr="00D948C1" w:rsidRDefault="006C7F72" w:rsidP="006C7F72">
            <w:pPr>
              <w:tabs>
                <w:tab w:val="left" w:pos="720"/>
                <w:tab w:val="center" w:pos="6930"/>
              </w:tabs>
              <w:rPr>
                <w:szCs w:val="24"/>
              </w:rPr>
            </w:pPr>
            <w:r w:rsidRPr="00D948C1">
              <w:rPr>
                <w:szCs w:val="24"/>
              </w:rPr>
              <w:t>Total</w:t>
            </w:r>
          </w:p>
        </w:tc>
        <w:tc>
          <w:tcPr>
            <w:tcW w:w="1867" w:type="dxa"/>
            <w:vAlign w:val="center"/>
          </w:tcPr>
          <w:p w14:paraId="256CA0A7" w14:textId="6179AF1C" w:rsidR="006C7F72" w:rsidRPr="00294859" w:rsidRDefault="006411F8" w:rsidP="006C7F72">
            <w:pPr>
              <w:tabs>
                <w:tab w:val="decimal" w:pos="1080"/>
              </w:tabs>
              <w:jc w:val="right"/>
              <w:rPr>
                <w:szCs w:val="24"/>
              </w:rPr>
            </w:pPr>
            <w:r>
              <w:rPr>
                <w:szCs w:val="24"/>
              </w:rPr>
              <w:t>(8</w:t>
            </w:r>
            <w:r w:rsidR="00566AA4">
              <w:rPr>
                <w:szCs w:val="24"/>
              </w:rPr>
              <w:t>3</w:t>
            </w:r>
            <w:r>
              <w:rPr>
                <w:szCs w:val="24"/>
              </w:rPr>
              <w:t>4)</w:t>
            </w:r>
          </w:p>
        </w:tc>
        <w:tc>
          <w:tcPr>
            <w:tcW w:w="1867" w:type="dxa"/>
            <w:vAlign w:val="center"/>
          </w:tcPr>
          <w:p w14:paraId="639509B9" w14:textId="2C7A3360" w:rsidR="006C7F72" w:rsidRPr="00DF39E9" w:rsidRDefault="006C7F72" w:rsidP="006C7F72">
            <w:pPr>
              <w:tabs>
                <w:tab w:val="decimal" w:pos="1080"/>
              </w:tabs>
              <w:jc w:val="right"/>
              <w:rPr>
                <w:szCs w:val="24"/>
              </w:rPr>
            </w:pPr>
            <w:r w:rsidRPr="00294859">
              <w:rPr>
                <w:szCs w:val="24"/>
              </w:rPr>
              <w:t>30,251</w:t>
            </w:r>
          </w:p>
        </w:tc>
      </w:tr>
    </w:tbl>
    <w:p w14:paraId="04F4A84E" w14:textId="77777777" w:rsidR="0008007D" w:rsidRPr="00D948C1" w:rsidRDefault="0008007D">
      <w:pPr>
        <w:rPr>
          <w:b/>
          <w:sz w:val="22"/>
        </w:rPr>
      </w:pPr>
    </w:p>
    <w:p w14:paraId="38E97434" w14:textId="5D289B11" w:rsidR="0083182E" w:rsidRPr="00D948C1" w:rsidRDefault="001C592E" w:rsidP="000F38E6">
      <w:pPr>
        <w:pStyle w:val="Heading2"/>
        <w:ind w:left="720" w:hanging="720"/>
        <w:jc w:val="left"/>
        <w:rPr>
          <w:sz w:val="24"/>
          <w:szCs w:val="24"/>
        </w:rPr>
      </w:pPr>
      <w:bookmarkStart w:id="78" w:name="_25_Adjust_for"/>
      <w:bookmarkStart w:id="79" w:name="_Toc233717544"/>
      <w:bookmarkEnd w:id="78"/>
      <w:r w:rsidRPr="00D948C1">
        <w:rPr>
          <w:sz w:val="24"/>
          <w:szCs w:val="24"/>
        </w:rPr>
        <w:t>2</w:t>
      </w:r>
      <w:r w:rsidR="00B62A26">
        <w:rPr>
          <w:sz w:val="24"/>
          <w:szCs w:val="24"/>
        </w:rPr>
        <w:t>5</w:t>
      </w:r>
      <w:r w:rsidR="0083182E" w:rsidRPr="00D948C1">
        <w:rPr>
          <w:sz w:val="24"/>
          <w:szCs w:val="24"/>
        </w:rPr>
        <w:tab/>
      </w:r>
      <w:bookmarkStart w:id="80" w:name="N24"/>
      <w:bookmarkEnd w:id="80"/>
      <w:r w:rsidR="0083182E" w:rsidRPr="00D948C1">
        <w:rPr>
          <w:sz w:val="24"/>
          <w:szCs w:val="24"/>
        </w:rPr>
        <w:t>Adjust for items included in the net surplus</w:t>
      </w:r>
      <w:r w:rsidR="00AB65D6">
        <w:rPr>
          <w:sz w:val="24"/>
          <w:szCs w:val="24"/>
        </w:rPr>
        <w:t xml:space="preserve"> or </w:t>
      </w:r>
      <w:r w:rsidR="0083182E" w:rsidRPr="00D948C1">
        <w:rPr>
          <w:sz w:val="24"/>
          <w:szCs w:val="24"/>
        </w:rPr>
        <w:t>(deficit) on the provision of services that are investing and financing activities</w:t>
      </w:r>
      <w:bookmarkEnd w:id="79"/>
    </w:p>
    <w:p w14:paraId="6F1BCDBF" w14:textId="77777777" w:rsidR="00D90216" w:rsidRPr="00D948C1" w:rsidRDefault="00D90216" w:rsidP="00D90216">
      <w:pPr>
        <w:ind w:left="709"/>
        <w:jc w:val="both"/>
        <w:rPr>
          <w:szCs w:val="24"/>
        </w:rPr>
      </w:pPr>
    </w:p>
    <w:tbl>
      <w:tblPr>
        <w:tblW w:w="84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867"/>
        <w:gridCol w:w="1867"/>
      </w:tblGrid>
      <w:tr w:rsidR="006C7F72" w:rsidRPr="00D948C1" w14:paraId="2B0533FB" w14:textId="77777777" w:rsidTr="00611673">
        <w:trPr>
          <w:trHeight w:hRule="exact" w:val="633"/>
          <w:tblHeader/>
        </w:trPr>
        <w:tc>
          <w:tcPr>
            <w:tcW w:w="4680" w:type="dxa"/>
            <w:shd w:val="clear" w:color="auto" w:fill="BD2716"/>
          </w:tcPr>
          <w:p w14:paraId="18B116F1" w14:textId="77777777" w:rsidR="006C7F72" w:rsidRPr="00D948C1" w:rsidRDefault="006C7F72" w:rsidP="006C7F72">
            <w:pPr>
              <w:tabs>
                <w:tab w:val="left" w:pos="720"/>
                <w:tab w:val="center" w:pos="6930"/>
              </w:tabs>
              <w:rPr>
                <w:color w:val="FFFFFF" w:themeColor="background1"/>
                <w:szCs w:val="24"/>
              </w:rPr>
            </w:pPr>
          </w:p>
        </w:tc>
        <w:tc>
          <w:tcPr>
            <w:tcW w:w="1867" w:type="dxa"/>
            <w:shd w:val="clear" w:color="auto" w:fill="BD2716"/>
            <w:vAlign w:val="center"/>
          </w:tcPr>
          <w:p w14:paraId="45D0C34A" w14:textId="4A5F5489" w:rsidR="006C7F72" w:rsidRPr="00D948C1" w:rsidRDefault="001A42DD" w:rsidP="006C7F72">
            <w:pPr>
              <w:jc w:val="right"/>
              <w:rPr>
                <w:color w:val="FFFFFF" w:themeColor="background1"/>
                <w:szCs w:val="24"/>
              </w:rPr>
            </w:pPr>
            <w:r>
              <w:rPr>
                <w:color w:val="FFFFFF" w:themeColor="background1"/>
                <w:szCs w:val="24"/>
              </w:rPr>
              <w:t>2025-26</w:t>
            </w:r>
          </w:p>
          <w:p w14:paraId="5CC9ED72" w14:textId="74E0C938" w:rsidR="006C7F72" w:rsidRPr="00D948C1" w:rsidRDefault="006C7F72" w:rsidP="006C7F72">
            <w:pPr>
              <w:jc w:val="right"/>
              <w:rPr>
                <w:color w:val="FFFFFF" w:themeColor="background1"/>
                <w:szCs w:val="24"/>
              </w:rPr>
            </w:pPr>
            <w:r w:rsidRPr="00D948C1">
              <w:rPr>
                <w:color w:val="FFFFFF" w:themeColor="background1"/>
                <w:szCs w:val="24"/>
              </w:rPr>
              <w:t>£000</w:t>
            </w:r>
          </w:p>
        </w:tc>
        <w:tc>
          <w:tcPr>
            <w:tcW w:w="1867" w:type="dxa"/>
            <w:shd w:val="clear" w:color="auto" w:fill="BD2716"/>
            <w:vAlign w:val="center"/>
          </w:tcPr>
          <w:p w14:paraId="4B4C3817" w14:textId="39D2A1A6" w:rsidR="006C7F72" w:rsidRPr="00D948C1" w:rsidRDefault="001A42DD" w:rsidP="006C7F72">
            <w:pPr>
              <w:jc w:val="right"/>
              <w:rPr>
                <w:color w:val="FFFFFF" w:themeColor="background1"/>
                <w:szCs w:val="24"/>
              </w:rPr>
            </w:pPr>
            <w:r>
              <w:rPr>
                <w:color w:val="FFFFFF" w:themeColor="background1"/>
                <w:szCs w:val="24"/>
              </w:rPr>
              <w:t>2024-25</w:t>
            </w:r>
          </w:p>
          <w:p w14:paraId="48CC5AD3" w14:textId="4610AE16" w:rsidR="006C7F72" w:rsidRPr="00D948C1" w:rsidRDefault="006C7F72" w:rsidP="006C7F72">
            <w:pPr>
              <w:jc w:val="right"/>
              <w:rPr>
                <w:color w:val="FFFFFF" w:themeColor="background1"/>
                <w:szCs w:val="24"/>
              </w:rPr>
            </w:pPr>
            <w:r w:rsidRPr="00D948C1">
              <w:rPr>
                <w:color w:val="FFFFFF" w:themeColor="background1"/>
                <w:szCs w:val="24"/>
              </w:rPr>
              <w:t>£000</w:t>
            </w:r>
          </w:p>
        </w:tc>
      </w:tr>
      <w:tr w:rsidR="006C7F72" w:rsidRPr="00D948C1" w14:paraId="4E9E2D50" w14:textId="77777777" w:rsidTr="003572E5">
        <w:trPr>
          <w:trHeight w:hRule="exact" w:val="278"/>
        </w:trPr>
        <w:tc>
          <w:tcPr>
            <w:tcW w:w="4680" w:type="dxa"/>
          </w:tcPr>
          <w:p w14:paraId="6C76CCF2" w14:textId="77777777" w:rsidR="006C7F72" w:rsidRPr="00D948C1" w:rsidRDefault="006C7F72" w:rsidP="006C7F72">
            <w:pPr>
              <w:tabs>
                <w:tab w:val="left" w:pos="720"/>
                <w:tab w:val="center" w:pos="6930"/>
              </w:tabs>
              <w:rPr>
                <w:szCs w:val="24"/>
              </w:rPr>
            </w:pPr>
            <w:r w:rsidRPr="00D948C1">
              <w:rPr>
                <w:szCs w:val="24"/>
              </w:rPr>
              <w:t>Interest received</w:t>
            </w:r>
          </w:p>
        </w:tc>
        <w:tc>
          <w:tcPr>
            <w:tcW w:w="1867" w:type="dxa"/>
            <w:vAlign w:val="center"/>
          </w:tcPr>
          <w:p w14:paraId="24A13FE6" w14:textId="460E70D5" w:rsidR="006C7F72" w:rsidRPr="00294859" w:rsidRDefault="00FE51B1" w:rsidP="006C7F72">
            <w:pPr>
              <w:tabs>
                <w:tab w:val="decimal" w:pos="1080"/>
              </w:tabs>
              <w:jc w:val="right"/>
              <w:rPr>
                <w:szCs w:val="24"/>
              </w:rPr>
            </w:pPr>
            <w:r>
              <w:rPr>
                <w:szCs w:val="24"/>
              </w:rPr>
              <w:t>(1,302)</w:t>
            </w:r>
          </w:p>
        </w:tc>
        <w:tc>
          <w:tcPr>
            <w:tcW w:w="1867" w:type="dxa"/>
            <w:vAlign w:val="center"/>
          </w:tcPr>
          <w:p w14:paraId="7B291C64" w14:textId="0CE535E0" w:rsidR="006C7F72" w:rsidRPr="00DF39E9" w:rsidRDefault="006C7F72" w:rsidP="006C7F72">
            <w:pPr>
              <w:tabs>
                <w:tab w:val="decimal" w:pos="1080"/>
              </w:tabs>
              <w:jc w:val="right"/>
              <w:rPr>
                <w:szCs w:val="24"/>
              </w:rPr>
            </w:pPr>
            <w:r w:rsidRPr="00294859">
              <w:rPr>
                <w:szCs w:val="24"/>
              </w:rPr>
              <w:t>(1,931)</w:t>
            </w:r>
          </w:p>
        </w:tc>
      </w:tr>
      <w:tr w:rsidR="006C7F72" w:rsidRPr="00D948C1" w14:paraId="40CF4BAA" w14:textId="77777777" w:rsidTr="003572E5">
        <w:trPr>
          <w:trHeight w:hRule="exact" w:val="278"/>
        </w:trPr>
        <w:tc>
          <w:tcPr>
            <w:tcW w:w="4680" w:type="dxa"/>
          </w:tcPr>
          <w:p w14:paraId="253D3EE4" w14:textId="77777777" w:rsidR="006C7F72" w:rsidRPr="00D948C1" w:rsidRDefault="006C7F72" w:rsidP="006C7F72">
            <w:pPr>
              <w:tabs>
                <w:tab w:val="left" w:pos="720"/>
                <w:tab w:val="center" w:pos="6930"/>
              </w:tabs>
              <w:rPr>
                <w:szCs w:val="24"/>
              </w:rPr>
            </w:pPr>
            <w:r w:rsidRPr="00D948C1">
              <w:rPr>
                <w:szCs w:val="24"/>
              </w:rPr>
              <w:t>Interest paid</w:t>
            </w:r>
          </w:p>
        </w:tc>
        <w:tc>
          <w:tcPr>
            <w:tcW w:w="1867" w:type="dxa"/>
            <w:vAlign w:val="center"/>
          </w:tcPr>
          <w:p w14:paraId="39A268BA" w14:textId="31F424C7" w:rsidR="006C7F72" w:rsidRPr="00294859" w:rsidRDefault="00FE51B1" w:rsidP="006C7F72">
            <w:pPr>
              <w:tabs>
                <w:tab w:val="decimal" w:pos="1080"/>
              </w:tabs>
              <w:jc w:val="right"/>
              <w:rPr>
                <w:szCs w:val="24"/>
              </w:rPr>
            </w:pPr>
            <w:r>
              <w:rPr>
                <w:szCs w:val="24"/>
              </w:rPr>
              <w:t>1,197</w:t>
            </w:r>
          </w:p>
        </w:tc>
        <w:tc>
          <w:tcPr>
            <w:tcW w:w="1867" w:type="dxa"/>
            <w:vAlign w:val="center"/>
          </w:tcPr>
          <w:p w14:paraId="09FD79E2" w14:textId="3E1FF75D" w:rsidR="006C7F72" w:rsidRPr="00DF39E9" w:rsidRDefault="006C7F72" w:rsidP="006C7F72">
            <w:pPr>
              <w:tabs>
                <w:tab w:val="decimal" w:pos="1080"/>
              </w:tabs>
              <w:jc w:val="right"/>
              <w:rPr>
                <w:szCs w:val="24"/>
              </w:rPr>
            </w:pPr>
            <w:r w:rsidRPr="00294859">
              <w:rPr>
                <w:szCs w:val="24"/>
              </w:rPr>
              <w:t>1,249</w:t>
            </w:r>
          </w:p>
        </w:tc>
      </w:tr>
    </w:tbl>
    <w:p w14:paraId="6B969D16" w14:textId="77777777" w:rsidR="00D90216" w:rsidRPr="00D948C1" w:rsidRDefault="00D90216" w:rsidP="00D90216">
      <w:pPr>
        <w:tabs>
          <w:tab w:val="left" w:pos="720"/>
          <w:tab w:val="right" w:pos="5580"/>
          <w:tab w:val="right" w:pos="7740"/>
        </w:tabs>
        <w:rPr>
          <w:sz w:val="16"/>
          <w:szCs w:val="16"/>
        </w:rPr>
      </w:pPr>
    </w:p>
    <w:p w14:paraId="0C153727" w14:textId="7B7D7C03" w:rsidR="003B0AD2" w:rsidRPr="00D948C1" w:rsidRDefault="000B3A5D" w:rsidP="00787228">
      <w:pPr>
        <w:ind w:left="720"/>
      </w:pPr>
      <w:r>
        <w:t xml:space="preserve">Interest paid includes </w:t>
      </w:r>
      <w:r w:rsidR="0073567B">
        <w:t xml:space="preserve">interest </w:t>
      </w:r>
      <w:r>
        <w:t xml:space="preserve">payments in respect of both finance leases and PFI schemes (see accounting policy </w:t>
      </w:r>
      <w:hyperlink w:anchor="_30_Accounting_Policies" w:history="1">
        <w:r w:rsidR="00DE1A4B" w:rsidRPr="27AC2A67">
          <w:rPr>
            <w:rStyle w:val="Hyperlink"/>
          </w:rPr>
          <w:t>Note 30</w:t>
        </w:r>
      </w:hyperlink>
      <w:r>
        <w:t>, sectio</w:t>
      </w:r>
      <w:r w:rsidR="006F6C1D">
        <w:t>n j</w:t>
      </w:r>
      <w:r>
        <w:t>)</w:t>
      </w:r>
    </w:p>
    <w:p w14:paraId="60823CB7" w14:textId="0CD1F0DC" w:rsidR="00EC0C46" w:rsidRPr="00D948C1" w:rsidRDefault="00EC0C46">
      <w:pPr>
        <w:rPr>
          <w:b/>
          <w:sz w:val="22"/>
          <w:szCs w:val="22"/>
        </w:rPr>
      </w:pPr>
    </w:p>
    <w:p w14:paraId="7F60280C" w14:textId="0AB5DF20" w:rsidR="00925174" w:rsidRPr="00D948C1" w:rsidRDefault="001C592E" w:rsidP="006563F1">
      <w:pPr>
        <w:pStyle w:val="Heading2"/>
        <w:jc w:val="left"/>
        <w:rPr>
          <w:sz w:val="24"/>
          <w:szCs w:val="24"/>
        </w:rPr>
      </w:pPr>
      <w:bookmarkStart w:id="81" w:name="_Toc233717545"/>
      <w:r w:rsidRPr="00D948C1">
        <w:rPr>
          <w:sz w:val="24"/>
          <w:szCs w:val="24"/>
        </w:rPr>
        <w:t>2</w:t>
      </w:r>
      <w:r w:rsidR="00B62A26">
        <w:rPr>
          <w:sz w:val="24"/>
          <w:szCs w:val="24"/>
        </w:rPr>
        <w:t>6</w:t>
      </w:r>
      <w:r w:rsidR="0029602A" w:rsidRPr="00D948C1">
        <w:rPr>
          <w:sz w:val="24"/>
          <w:szCs w:val="24"/>
        </w:rPr>
        <w:tab/>
      </w:r>
      <w:r w:rsidR="00925174" w:rsidRPr="00D948C1">
        <w:rPr>
          <w:sz w:val="24"/>
          <w:szCs w:val="24"/>
        </w:rPr>
        <w:t>Reconciliation of liabilities arising from financing activities</w:t>
      </w:r>
      <w:bookmarkEnd w:id="81"/>
    </w:p>
    <w:p w14:paraId="26ED3FF5" w14:textId="77777777" w:rsidR="00925174" w:rsidRPr="00D948C1" w:rsidRDefault="00925174" w:rsidP="00F60A77">
      <w:pPr>
        <w:rPr>
          <w:szCs w:val="24"/>
        </w:rPr>
      </w:pPr>
    </w:p>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49343B" w:rsidRPr="00D948C1" w14:paraId="4BD3803D" w14:textId="77777777" w:rsidTr="00611673">
        <w:trPr>
          <w:tblHeader/>
        </w:trPr>
        <w:tc>
          <w:tcPr>
            <w:tcW w:w="2163" w:type="dxa"/>
            <w:shd w:val="clear" w:color="auto" w:fill="BD2716"/>
          </w:tcPr>
          <w:p w14:paraId="76BB6D8C" w14:textId="77777777" w:rsidR="0049343B" w:rsidRPr="00D948C1" w:rsidRDefault="0049343B" w:rsidP="00925174">
            <w:pPr>
              <w:rPr>
                <w:color w:val="FFFFFF" w:themeColor="background1"/>
                <w:szCs w:val="24"/>
              </w:rPr>
            </w:pPr>
          </w:p>
        </w:tc>
        <w:tc>
          <w:tcPr>
            <w:tcW w:w="1972" w:type="dxa"/>
            <w:shd w:val="clear" w:color="auto" w:fill="BD2716"/>
            <w:vAlign w:val="center"/>
          </w:tcPr>
          <w:p w14:paraId="0B49A58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Long</w:t>
            </w:r>
            <w:r w:rsidR="00A16368" w:rsidRPr="00D948C1">
              <w:rPr>
                <w:rFonts w:cs="Arial"/>
                <w:color w:val="FFFFFF" w:themeColor="background1"/>
                <w:szCs w:val="24"/>
              </w:rPr>
              <w:t>-</w:t>
            </w:r>
            <w:r w:rsidRPr="00D948C1">
              <w:rPr>
                <w:rFonts w:cs="Arial"/>
                <w:color w:val="FFFFFF" w:themeColor="background1"/>
                <w:szCs w:val="24"/>
              </w:rPr>
              <w:t>Term borrowings</w:t>
            </w:r>
          </w:p>
          <w:p w14:paraId="0F668202" w14:textId="00A2C79C"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66" w:type="dxa"/>
            <w:shd w:val="clear" w:color="auto" w:fill="BD2716"/>
            <w:vAlign w:val="center"/>
          </w:tcPr>
          <w:p w14:paraId="7A4BEA8A"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Short</w:t>
            </w:r>
            <w:r w:rsidR="00A16368" w:rsidRPr="00D948C1">
              <w:rPr>
                <w:rFonts w:cs="Arial"/>
                <w:color w:val="FFFFFF" w:themeColor="background1"/>
                <w:szCs w:val="24"/>
              </w:rPr>
              <w:t>-</w:t>
            </w:r>
            <w:r w:rsidRPr="00D948C1">
              <w:rPr>
                <w:rFonts w:cs="Arial"/>
                <w:color w:val="FFFFFF" w:themeColor="background1"/>
                <w:szCs w:val="24"/>
              </w:rPr>
              <w:t>Term borrowings</w:t>
            </w:r>
          </w:p>
          <w:p w14:paraId="6A963ACD" w14:textId="096F1019"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71" w:type="dxa"/>
            <w:shd w:val="clear" w:color="auto" w:fill="BD2716"/>
            <w:vAlign w:val="center"/>
          </w:tcPr>
          <w:p w14:paraId="35C3B3E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Lease liabilities</w:t>
            </w:r>
          </w:p>
          <w:p w14:paraId="205AAD88" w14:textId="3BAA8962"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c>
          <w:tcPr>
            <w:tcW w:w="1971" w:type="dxa"/>
            <w:shd w:val="clear" w:color="auto" w:fill="BD2716"/>
            <w:vAlign w:val="center"/>
          </w:tcPr>
          <w:p w14:paraId="030EA4C0" w14:textId="77777777" w:rsidR="0049343B" w:rsidRPr="00D948C1" w:rsidRDefault="0049343B" w:rsidP="00611673">
            <w:pPr>
              <w:jc w:val="right"/>
              <w:rPr>
                <w:rFonts w:cs="Arial"/>
                <w:color w:val="FFFFFF" w:themeColor="background1"/>
                <w:szCs w:val="24"/>
              </w:rPr>
            </w:pPr>
            <w:r w:rsidRPr="00D948C1">
              <w:rPr>
                <w:rFonts w:cs="Arial"/>
                <w:color w:val="FFFFFF" w:themeColor="background1"/>
                <w:szCs w:val="24"/>
              </w:rPr>
              <w:t>Total</w:t>
            </w:r>
          </w:p>
          <w:p w14:paraId="51BFF2D4" w14:textId="2D875BE9" w:rsidR="001431C3" w:rsidRPr="00D948C1" w:rsidRDefault="001431C3" w:rsidP="00611673">
            <w:pPr>
              <w:jc w:val="right"/>
              <w:rPr>
                <w:rFonts w:cs="Arial"/>
                <w:color w:val="FFFFFF" w:themeColor="background1"/>
                <w:szCs w:val="24"/>
              </w:rPr>
            </w:pPr>
            <w:r w:rsidRPr="00D948C1">
              <w:rPr>
                <w:rFonts w:cs="Arial"/>
                <w:color w:val="FFFFFF" w:themeColor="background1"/>
                <w:szCs w:val="24"/>
              </w:rPr>
              <w:t>£000</w:t>
            </w:r>
          </w:p>
        </w:tc>
      </w:tr>
      <w:tr w:rsidR="001948A3" w:rsidRPr="00D948C1" w14:paraId="2CE1AB02" w14:textId="77777777" w:rsidTr="00F7299E">
        <w:tc>
          <w:tcPr>
            <w:tcW w:w="2163" w:type="dxa"/>
          </w:tcPr>
          <w:p w14:paraId="21FB4E38" w14:textId="7760858C" w:rsidR="001948A3" w:rsidRPr="00D948C1" w:rsidRDefault="001948A3" w:rsidP="001948A3">
            <w:pPr>
              <w:rPr>
                <w:szCs w:val="24"/>
              </w:rPr>
            </w:pPr>
            <w:r w:rsidRPr="00D948C1">
              <w:rPr>
                <w:szCs w:val="24"/>
              </w:rPr>
              <w:t>1 April 202</w:t>
            </w:r>
            <w:r w:rsidR="00463832">
              <w:rPr>
                <w:szCs w:val="24"/>
              </w:rPr>
              <w:t>5</w:t>
            </w:r>
          </w:p>
        </w:tc>
        <w:tc>
          <w:tcPr>
            <w:tcW w:w="1972" w:type="dxa"/>
          </w:tcPr>
          <w:p w14:paraId="40F47A68" w14:textId="4985E093" w:rsidR="001948A3" w:rsidRPr="00294859" w:rsidRDefault="001948A3" w:rsidP="001948A3">
            <w:pPr>
              <w:tabs>
                <w:tab w:val="decimal" w:pos="1080"/>
              </w:tabs>
              <w:jc w:val="right"/>
              <w:rPr>
                <w:szCs w:val="24"/>
              </w:rPr>
            </w:pPr>
            <w:r w:rsidRPr="00294859">
              <w:rPr>
                <w:szCs w:val="24"/>
              </w:rPr>
              <w:t>13,783</w:t>
            </w:r>
          </w:p>
        </w:tc>
        <w:tc>
          <w:tcPr>
            <w:tcW w:w="1966" w:type="dxa"/>
          </w:tcPr>
          <w:p w14:paraId="7E08CD3B" w14:textId="549EF974" w:rsidR="001948A3" w:rsidRPr="00294859" w:rsidRDefault="001948A3" w:rsidP="001948A3">
            <w:pPr>
              <w:tabs>
                <w:tab w:val="decimal" w:pos="1080"/>
              </w:tabs>
              <w:jc w:val="right"/>
              <w:rPr>
                <w:szCs w:val="24"/>
              </w:rPr>
            </w:pPr>
            <w:r w:rsidRPr="00294859">
              <w:rPr>
                <w:szCs w:val="24"/>
              </w:rPr>
              <w:t>661</w:t>
            </w:r>
          </w:p>
        </w:tc>
        <w:tc>
          <w:tcPr>
            <w:tcW w:w="1971" w:type="dxa"/>
          </w:tcPr>
          <w:p w14:paraId="32B64E64" w14:textId="08C15169" w:rsidR="001948A3" w:rsidRPr="00294859" w:rsidRDefault="001948A3" w:rsidP="001948A3">
            <w:pPr>
              <w:tabs>
                <w:tab w:val="decimal" w:pos="1080"/>
              </w:tabs>
              <w:jc w:val="right"/>
              <w:rPr>
                <w:szCs w:val="24"/>
              </w:rPr>
            </w:pPr>
            <w:r w:rsidRPr="00294859">
              <w:rPr>
                <w:szCs w:val="24"/>
              </w:rPr>
              <w:t>98</w:t>
            </w:r>
          </w:p>
        </w:tc>
        <w:tc>
          <w:tcPr>
            <w:tcW w:w="1971" w:type="dxa"/>
          </w:tcPr>
          <w:p w14:paraId="16EA12D8" w14:textId="33801D55" w:rsidR="001948A3" w:rsidRPr="00294859" w:rsidRDefault="001948A3" w:rsidP="001948A3">
            <w:pPr>
              <w:tabs>
                <w:tab w:val="decimal" w:pos="1080"/>
              </w:tabs>
              <w:jc w:val="right"/>
              <w:rPr>
                <w:szCs w:val="24"/>
              </w:rPr>
            </w:pPr>
            <w:r w:rsidRPr="00294859">
              <w:rPr>
                <w:szCs w:val="24"/>
              </w:rPr>
              <w:t>14,542</w:t>
            </w:r>
          </w:p>
        </w:tc>
      </w:tr>
      <w:tr w:rsidR="00BF446E" w:rsidRPr="00D948C1" w14:paraId="5A519221" w14:textId="77777777" w:rsidTr="0078602B">
        <w:tc>
          <w:tcPr>
            <w:tcW w:w="2163" w:type="dxa"/>
          </w:tcPr>
          <w:p w14:paraId="2152CEFD" w14:textId="5A1F8B87" w:rsidR="00BF446E" w:rsidRPr="00D948C1" w:rsidRDefault="00BF446E" w:rsidP="002823FC">
            <w:pPr>
              <w:rPr>
                <w:szCs w:val="24"/>
              </w:rPr>
            </w:pPr>
            <w:r>
              <w:rPr>
                <w:szCs w:val="24"/>
              </w:rPr>
              <w:t>IFRS 16 indexation</w:t>
            </w:r>
          </w:p>
        </w:tc>
        <w:tc>
          <w:tcPr>
            <w:tcW w:w="1972" w:type="dxa"/>
            <w:vAlign w:val="center"/>
          </w:tcPr>
          <w:p w14:paraId="00DB8898" w14:textId="2DBA9D77" w:rsidR="00BF446E" w:rsidRPr="00456BDD" w:rsidRDefault="000E28C1" w:rsidP="001F23E6">
            <w:pPr>
              <w:tabs>
                <w:tab w:val="decimal" w:pos="1080"/>
              </w:tabs>
              <w:jc w:val="right"/>
              <w:rPr>
                <w:szCs w:val="24"/>
              </w:rPr>
            </w:pPr>
            <w:r>
              <w:rPr>
                <w:szCs w:val="24"/>
              </w:rPr>
              <w:t>59</w:t>
            </w:r>
          </w:p>
        </w:tc>
        <w:tc>
          <w:tcPr>
            <w:tcW w:w="1966" w:type="dxa"/>
            <w:vAlign w:val="center"/>
          </w:tcPr>
          <w:p w14:paraId="0113EA0B" w14:textId="6B37BB5D" w:rsidR="00BF446E" w:rsidRPr="00456BDD" w:rsidRDefault="000E28C1" w:rsidP="001F23E6">
            <w:pPr>
              <w:tabs>
                <w:tab w:val="decimal" w:pos="1080"/>
              </w:tabs>
              <w:jc w:val="right"/>
              <w:rPr>
                <w:szCs w:val="24"/>
              </w:rPr>
            </w:pPr>
            <w:r>
              <w:rPr>
                <w:szCs w:val="24"/>
              </w:rPr>
              <w:t>3</w:t>
            </w:r>
          </w:p>
        </w:tc>
        <w:tc>
          <w:tcPr>
            <w:tcW w:w="1971" w:type="dxa"/>
            <w:vAlign w:val="center"/>
          </w:tcPr>
          <w:p w14:paraId="74064BA9" w14:textId="29EC46D3" w:rsidR="00BF446E" w:rsidRPr="00B87C7E" w:rsidRDefault="00505E01" w:rsidP="001F23E6">
            <w:pPr>
              <w:tabs>
                <w:tab w:val="decimal" w:pos="1080"/>
              </w:tabs>
              <w:jc w:val="right"/>
              <w:rPr>
                <w:szCs w:val="24"/>
              </w:rPr>
            </w:pPr>
            <w:r>
              <w:rPr>
                <w:szCs w:val="24"/>
              </w:rPr>
              <w:t>-</w:t>
            </w:r>
          </w:p>
        </w:tc>
        <w:tc>
          <w:tcPr>
            <w:tcW w:w="1971" w:type="dxa"/>
            <w:vAlign w:val="center"/>
          </w:tcPr>
          <w:p w14:paraId="3091896B" w14:textId="4CFCC53D" w:rsidR="00BF446E" w:rsidRPr="00294859" w:rsidRDefault="00375AFA" w:rsidP="001F23E6">
            <w:pPr>
              <w:tabs>
                <w:tab w:val="decimal" w:pos="1080"/>
              </w:tabs>
              <w:jc w:val="right"/>
              <w:rPr>
                <w:szCs w:val="24"/>
              </w:rPr>
            </w:pPr>
            <w:r>
              <w:rPr>
                <w:szCs w:val="24"/>
              </w:rPr>
              <w:t>62</w:t>
            </w:r>
          </w:p>
        </w:tc>
      </w:tr>
    </w:tbl>
    <w:p w14:paraId="73FC0C18" w14:textId="77777777" w:rsidR="00EC3487" w:rsidRPr="00D948C1" w:rsidRDefault="00EC3487"/>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BA4CBD" w:rsidRPr="00D948C1" w14:paraId="5C94C1EC" w14:textId="77777777" w:rsidTr="00982FEC">
        <w:tc>
          <w:tcPr>
            <w:tcW w:w="10043" w:type="dxa"/>
            <w:gridSpan w:val="5"/>
            <w:shd w:val="clear" w:color="auto" w:fill="D9D9D9" w:themeFill="background1" w:themeFillShade="D9"/>
          </w:tcPr>
          <w:p w14:paraId="6185943D" w14:textId="7A2C2F00" w:rsidR="00BA4CBD" w:rsidRPr="00D948C1" w:rsidRDefault="00BA4CBD" w:rsidP="000F5BFB">
            <w:pPr>
              <w:tabs>
                <w:tab w:val="decimal" w:pos="1080"/>
              </w:tabs>
              <w:rPr>
                <w:b/>
                <w:bCs/>
                <w:szCs w:val="24"/>
              </w:rPr>
            </w:pPr>
            <w:r w:rsidRPr="00D948C1">
              <w:rPr>
                <w:b/>
                <w:bCs/>
                <w:szCs w:val="24"/>
              </w:rPr>
              <w:t>Cash flows:</w:t>
            </w:r>
          </w:p>
        </w:tc>
      </w:tr>
      <w:tr w:rsidR="0049343B" w:rsidRPr="00D948C1" w14:paraId="62E53A17" w14:textId="77777777" w:rsidTr="00746F3D">
        <w:tc>
          <w:tcPr>
            <w:tcW w:w="2163" w:type="dxa"/>
          </w:tcPr>
          <w:p w14:paraId="51E06BCD" w14:textId="77777777" w:rsidR="0049343B" w:rsidRPr="00D948C1" w:rsidRDefault="0049343B" w:rsidP="00EC3487">
            <w:pPr>
              <w:rPr>
                <w:szCs w:val="24"/>
              </w:rPr>
            </w:pPr>
            <w:r w:rsidRPr="00D948C1">
              <w:rPr>
                <w:szCs w:val="24"/>
              </w:rPr>
              <w:t>Repayment</w:t>
            </w:r>
          </w:p>
        </w:tc>
        <w:tc>
          <w:tcPr>
            <w:tcW w:w="1972" w:type="dxa"/>
            <w:vAlign w:val="center"/>
          </w:tcPr>
          <w:p w14:paraId="299474FC" w14:textId="300B3395" w:rsidR="0049343B" w:rsidRPr="00294859" w:rsidRDefault="00D80F4F" w:rsidP="00746F3D">
            <w:pPr>
              <w:tabs>
                <w:tab w:val="decimal" w:pos="1080"/>
              </w:tabs>
              <w:jc w:val="right"/>
              <w:rPr>
                <w:szCs w:val="24"/>
              </w:rPr>
            </w:pPr>
            <w:r>
              <w:rPr>
                <w:szCs w:val="24"/>
              </w:rPr>
              <w:t>(718)</w:t>
            </w:r>
          </w:p>
        </w:tc>
        <w:tc>
          <w:tcPr>
            <w:tcW w:w="1966" w:type="dxa"/>
            <w:vAlign w:val="center"/>
          </w:tcPr>
          <w:p w14:paraId="3F58B566" w14:textId="0ACE0D22" w:rsidR="0049343B" w:rsidRPr="00294859" w:rsidRDefault="00875368" w:rsidP="00746F3D">
            <w:pPr>
              <w:tabs>
                <w:tab w:val="decimal" w:pos="1080"/>
              </w:tabs>
              <w:jc w:val="right"/>
              <w:rPr>
                <w:szCs w:val="24"/>
              </w:rPr>
            </w:pPr>
            <w:r>
              <w:rPr>
                <w:szCs w:val="24"/>
              </w:rPr>
              <w:t>5</w:t>
            </w:r>
            <w:r w:rsidR="00463832">
              <w:rPr>
                <w:szCs w:val="24"/>
              </w:rPr>
              <w:t>4</w:t>
            </w:r>
          </w:p>
        </w:tc>
        <w:tc>
          <w:tcPr>
            <w:tcW w:w="1971" w:type="dxa"/>
            <w:vAlign w:val="center"/>
          </w:tcPr>
          <w:p w14:paraId="4933D954" w14:textId="1462D0DF" w:rsidR="0049343B" w:rsidRPr="00294859" w:rsidRDefault="008369E7" w:rsidP="00746F3D">
            <w:pPr>
              <w:tabs>
                <w:tab w:val="decimal" w:pos="1080"/>
              </w:tabs>
              <w:jc w:val="right"/>
              <w:rPr>
                <w:szCs w:val="24"/>
              </w:rPr>
            </w:pPr>
            <w:r>
              <w:rPr>
                <w:szCs w:val="24"/>
              </w:rPr>
              <w:t>(6)</w:t>
            </w:r>
          </w:p>
        </w:tc>
        <w:tc>
          <w:tcPr>
            <w:tcW w:w="1971" w:type="dxa"/>
            <w:vAlign w:val="center"/>
          </w:tcPr>
          <w:p w14:paraId="65254C19" w14:textId="1C2CCE50" w:rsidR="0049343B" w:rsidRPr="00294859" w:rsidRDefault="00581C43" w:rsidP="00746F3D">
            <w:pPr>
              <w:tabs>
                <w:tab w:val="decimal" w:pos="1080"/>
              </w:tabs>
              <w:jc w:val="right"/>
              <w:rPr>
                <w:szCs w:val="24"/>
              </w:rPr>
            </w:pPr>
            <w:r>
              <w:rPr>
                <w:szCs w:val="24"/>
              </w:rPr>
              <w:t>(670)</w:t>
            </w:r>
          </w:p>
        </w:tc>
      </w:tr>
      <w:tr w:rsidR="0049343B" w:rsidRPr="00D948C1" w14:paraId="4A68BDF3" w14:textId="77777777" w:rsidTr="00280297">
        <w:trPr>
          <w:trHeight w:val="272"/>
        </w:trPr>
        <w:tc>
          <w:tcPr>
            <w:tcW w:w="2163" w:type="dxa"/>
          </w:tcPr>
          <w:p w14:paraId="0EF26A7C" w14:textId="77777777" w:rsidR="0049343B" w:rsidRPr="00D948C1" w:rsidRDefault="0049343B" w:rsidP="00EC3487">
            <w:pPr>
              <w:rPr>
                <w:szCs w:val="24"/>
              </w:rPr>
            </w:pPr>
            <w:r w:rsidRPr="00D948C1">
              <w:rPr>
                <w:szCs w:val="24"/>
              </w:rPr>
              <w:t>Proceeds</w:t>
            </w:r>
          </w:p>
        </w:tc>
        <w:tc>
          <w:tcPr>
            <w:tcW w:w="1972" w:type="dxa"/>
            <w:vAlign w:val="center"/>
          </w:tcPr>
          <w:p w14:paraId="04EBE0A1" w14:textId="1B57DEEF" w:rsidR="0049343B" w:rsidRPr="00294859" w:rsidRDefault="00A002B5" w:rsidP="00746F3D">
            <w:pPr>
              <w:tabs>
                <w:tab w:val="decimal" w:pos="1080"/>
              </w:tabs>
              <w:jc w:val="right"/>
              <w:rPr>
                <w:szCs w:val="24"/>
              </w:rPr>
            </w:pPr>
            <w:r>
              <w:rPr>
                <w:szCs w:val="24"/>
              </w:rPr>
              <w:t>-</w:t>
            </w:r>
          </w:p>
        </w:tc>
        <w:tc>
          <w:tcPr>
            <w:tcW w:w="1966" w:type="dxa"/>
            <w:vAlign w:val="center"/>
          </w:tcPr>
          <w:p w14:paraId="68154233" w14:textId="15104A86" w:rsidR="0049343B" w:rsidRPr="00294859" w:rsidRDefault="00A002B5" w:rsidP="00746F3D">
            <w:pPr>
              <w:tabs>
                <w:tab w:val="decimal" w:pos="1080"/>
              </w:tabs>
              <w:jc w:val="right"/>
              <w:rPr>
                <w:szCs w:val="24"/>
              </w:rPr>
            </w:pPr>
            <w:r>
              <w:rPr>
                <w:szCs w:val="24"/>
              </w:rPr>
              <w:t>-</w:t>
            </w:r>
          </w:p>
        </w:tc>
        <w:tc>
          <w:tcPr>
            <w:tcW w:w="1971" w:type="dxa"/>
            <w:vAlign w:val="center"/>
          </w:tcPr>
          <w:p w14:paraId="129983D5" w14:textId="2D07BD0A" w:rsidR="0049343B" w:rsidRPr="00294859" w:rsidRDefault="00A002B5" w:rsidP="00746F3D">
            <w:pPr>
              <w:tabs>
                <w:tab w:val="decimal" w:pos="1080"/>
              </w:tabs>
              <w:jc w:val="right"/>
              <w:rPr>
                <w:szCs w:val="24"/>
              </w:rPr>
            </w:pPr>
            <w:r>
              <w:rPr>
                <w:szCs w:val="24"/>
              </w:rPr>
              <w:t>-</w:t>
            </w:r>
          </w:p>
        </w:tc>
        <w:tc>
          <w:tcPr>
            <w:tcW w:w="1971" w:type="dxa"/>
            <w:vAlign w:val="center"/>
          </w:tcPr>
          <w:p w14:paraId="26634C09" w14:textId="1CEBF19E" w:rsidR="0049343B" w:rsidRPr="00294859" w:rsidRDefault="00A002B5" w:rsidP="00746F3D">
            <w:pPr>
              <w:tabs>
                <w:tab w:val="decimal" w:pos="1080"/>
              </w:tabs>
              <w:jc w:val="right"/>
              <w:rPr>
                <w:szCs w:val="24"/>
              </w:rPr>
            </w:pPr>
            <w:r>
              <w:rPr>
                <w:szCs w:val="24"/>
              </w:rPr>
              <w:t>-</w:t>
            </w:r>
          </w:p>
        </w:tc>
      </w:tr>
    </w:tbl>
    <w:p w14:paraId="2768F346" w14:textId="77777777" w:rsidR="00EC3487" w:rsidRPr="00D948C1" w:rsidRDefault="00EC3487"/>
    <w:tbl>
      <w:tblPr>
        <w:tblStyle w:val="TableGrid"/>
        <w:tblW w:w="0" w:type="auto"/>
        <w:tblInd w:w="720" w:type="dxa"/>
        <w:tblLook w:val="04A0" w:firstRow="1" w:lastRow="0" w:firstColumn="1" w:lastColumn="0" w:noHBand="0" w:noVBand="1"/>
      </w:tblPr>
      <w:tblGrid>
        <w:gridCol w:w="2163"/>
        <w:gridCol w:w="1972"/>
        <w:gridCol w:w="1966"/>
        <w:gridCol w:w="1971"/>
        <w:gridCol w:w="1971"/>
      </w:tblGrid>
      <w:tr w:rsidR="00BA4CBD" w:rsidRPr="00D948C1" w14:paraId="68521E9B" w14:textId="77777777" w:rsidTr="00982FEC">
        <w:tc>
          <w:tcPr>
            <w:tcW w:w="10043" w:type="dxa"/>
            <w:gridSpan w:val="5"/>
            <w:shd w:val="clear" w:color="auto" w:fill="D9D9D9" w:themeFill="background1" w:themeFillShade="D9"/>
          </w:tcPr>
          <w:p w14:paraId="560A685A" w14:textId="51DB85E9" w:rsidR="00BA4CBD" w:rsidRPr="00D948C1" w:rsidRDefault="00BA4CBD" w:rsidP="000F5BFB">
            <w:pPr>
              <w:tabs>
                <w:tab w:val="decimal" w:pos="1080"/>
              </w:tabs>
              <w:rPr>
                <w:b/>
                <w:bCs/>
                <w:szCs w:val="24"/>
              </w:rPr>
            </w:pPr>
            <w:r w:rsidRPr="00D948C1">
              <w:rPr>
                <w:b/>
                <w:bCs/>
                <w:szCs w:val="24"/>
              </w:rPr>
              <w:t>Non-cash:</w:t>
            </w:r>
          </w:p>
        </w:tc>
      </w:tr>
      <w:tr w:rsidR="0049343B" w:rsidRPr="00D948C1" w14:paraId="18E913C8" w14:textId="77777777" w:rsidTr="00EC3487">
        <w:tc>
          <w:tcPr>
            <w:tcW w:w="2163" w:type="dxa"/>
          </w:tcPr>
          <w:p w14:paraId="316D1F50" w14:textId="77777777" w:rsidR="0049343B" w:rsidRPr="00D948C1" w:rsidRDefault="0049343B" w:rsidP="00EC3487">
            <w:pPr>
              <w:rPr>
                <w:szCs w:val="24"/>
              </w:rPr>
            </w:pPr>
            <w:r w:rsidRPr="00D948C1">
              <w:rPr>
                <w:szCs w:val="24"/>
              </w:rPr>
              <w:t>Acquisition</w:t>
            </w:r>
          </w:p>
        </w:tc>
        <w:tc>
          <w:tcPr>
            <w:tcW w:w="1972" w:type="dxa"/>
          </w:tcPr>
          <w:p w14:paraId="42571555" w14:textId="492C815F" w:rsidR="0049343B" w:rsidRPr="00294859" w:rsidRDefault="00B10C19" w:rsidP="000F5BFB">
            <w:pPr>
              <w:tabs>
                <w:tab w:val="decimal" w:pos="1080"/>
              </w:tabs>
              <w:jc w:val="right"/>
              <w:rPr>
                <w:szCs w:val="24"/>
              </w:rPr>
            </w:pPr>
            <w:r>
              <w:rPr>
                <w:szCs w:val="24"/>
              </w:rPr>
              <w:t>-</w:t>
            </w:r>
          </w:p>
        </w:tc>
        <w:tc>
          <w:tcPr>
            <w:tcW w:w="1966" w:type="dxa"/>
          </w:tcPr>
          <w:p w14:paraId="21DA2C7B" w14:textId="4B6BFD51" w:rsidR="0049343B" w:rsidRPr="00294859" w:rsidRDefault="00B10C19" w:rsidP="000F5BFB">
            <w:pPr>
              <w:tabs>
                <w:tab w:val="decimal" w:pos="1080"/>
              </w:tabs>
              <w:jc w:val="right"/>
              <w:rPr>
                <w:szCs w:val="24"/>
              </w:rPr>
            </w:pPr>
            <w:r>
              <w:rPr>
                <w:szCs w:val="24"/>
              </w:rPr>
              <w:t>-</w:t>
            </w:r>
          </w:p>
        </w:tc>
        <w:tc>
          <w:tcPr>
            <w:tcW w:w="1971" w:type="dxa"/>
          </w:tcPr>
          <w:p w14:paraId="49E932EA" w14:textId="08E1E42C" w:rsidR="0049343B" w:rsidRPr="00294859" w:rsidRDefault="00B10C19" w:rsidP="000F5BFB">
            <w:pPr>
              <w:tabs>
                <w:tab w:val="decimal" w:pos="1080"/>
              </w:tabs>
              <w:jc w:val="right"/>
              <w:rPr>
                <w:szCs w:val="24"/>
              </w:rPr>
            </w:pPr>
            <w:r>
              <w:rPr>
                <w:szCs w:val="24"/>
              </w:rPr>
              <w:t>-</w:t>
            </w:r>
          </w:p>
        </w:tc>
        <w:tc>
          <w:tcPr>
            <w:tcW w:w="1971" w:type="dxa"/>
          </w:tcPr>
          <w:p w14:paraId="125318BF" w14:textId="5CFB13FF" w:rsidR="0049343B" w:rsidRPr="00294859" w:rsidRDefault="00B10C19" w:rsidP="000F5BFB">
            <w:pPr>
              <w:tabs>
                <w:tab w:val="decimal" w:pos="1080"/>
              </w:tabs>
              <w:jc w:val="right"/>
              <w:rPr>
                <w:szCs w:val="24"/>
              </w:rPr>
            </w:pPr>
            <w:r>
              <w:rPr>
                <w:szCs w:val="24"/>
              </w:rPr>
              <w:t>-</w:t>
            </w:r>
          </w:p>
        </w:tc>
      </w:tr>
      <w:tr w:rsidR="0049343B" w:rsidRPr="00D948C1" w14:paraId="6C2143FD" w14:textId="77777777" w:rsidTr="00EC3487">
        <w:tc>
          <w:tcPr>
            <w:tcW w:w="2163" w:type="dxa"/>
          </w:tcPr>
          <w:p w14:paraId="0731A663" w14:textId="36419A90" w:rsidR="0049343B" w:rsidRPr="00D948C1" w:rsidRDefault="0049343B" w:rsidP="000F5BFB">
            <w:pPr>
              <w:rPr>
                <w:szCs w:val="24"/>
              </w:rPr>
            </w:pPr>
            <w:r w:rsidRPr="00D948C1">
              <w:rPr>
                <w:szCs w:val="24"/>
              </w:rPr>
              <w:t xml:space="preserve">31 March </w:t>
            </w:r>
            <w:r w:rsidR="00D01A7F" w:rsidRPr="00D948C1">
              <w:rPr>
                <w:szCs w:val="24"/>
              </w:rPr>
              <w:t>202</w:t>
            </w:r>
            <w:r w:rsidR="00463832">
              <w:rPr>
                <w:szCs w:val="24"/>
              </w:rPr>
              <w:t>6</w:t>
            </w:r>
          </w:p>
        </w:tc>
        <w:tc>
          <w:tcPr>
            <w:tcW w:w="1972" w:type="dxa"/>
          </w:tcPr>
          <w:p w14:paraId="16C8E36F" w14:textId="702136FF" w:rsidR="0049343B" w:rsidRPr="00294859" w:rsidRDefault="005C4A2F" w:rsidP="005C4A2F">
            <w:pPr>
              <w:tabs>
                <w:tab w:val="decimal" w:pos="1080"/>
              </w:tabs>
              <w:jc w:val="right"/>
              <w:rPr>
                <w:szCs w:val="24"/>
              </w:rPr>
            </w:pPr>
            <w:r>
              <w:rPr>
                <w:szCs w:val="24"/>
              </w:rPr>
              <w:t>13</w:t>
            </w:r>
            <w:r w:rsidR="00866FBE">
              <w:rPr>
                <w:szCs w:val="24"/>
              </w:rPr>
              <w:t>,123</w:t>
            </w:r>
          </w:p>
        </w:tc>
        <w:tc>
          <w:tcPr>
            <w:tcW w:w="1966" w:type="dxa"/>
          </w:tcPr>
          <w:p w14:paraId="33C9C708" w14:textId="64983E19" w:rsidR="0049343B" w:rsidRPr="00294859" w:rsidRDefault="00463832" w:rsidP="000F5BFB">
            <w:pPr>
              <w:tabs>
                <w:tab w:val="decimal" w:pos="1080"/>
              </w:tabs>
              <w:jc w:val="right"/>
              <w:rPr>
                <w:szCs w:val="24"/>
              </w:rPr>
            </w:pPr>
            <w:r>
              <w:rPr>
                <w:szCs w:val="24"/>
              </w:rPr>
              <w:t>718</w:t>
            </w:r>
          </w:p>
        </w:tc>
        <w:tc>
          <w:tcPr>
            <w:tcW w:w="1971" w:type="dxa"/>
          </w:tcPr>
          <w:p w14:paraId="5EE5501A" w14:textId="053DC0F7" w:rsidR="0049343B" w:rsidRPr="00294859" w:rsidRDefault="006F29B2" w:rsidP="000F5BFB">
            <w:pPr>
              <w:tabs>
                <w:tab w:val="decimal" w:pos="1080"/>
              </w:tabs>
              <w:jc w:val="right"/>
              <w:rPr>
                <w:szCs w:val="24"/>
              </w:rPr>
            </w:pPr>
            <w:r>
              <w:rPr>
                <w:szCs w:val="24"/>
              </w:rPr>
              <w:t>92</w:t>
            </w:r>
          </w:p>
        </w:tc>
        <w:tc>
          <w:tcPr>
            <w:tcW w:w="1971" w:type="dxa"/>
          </w:tcPr>
          <w:p w14:paraId="1E3ED941" w14:textId="31603A18" w:rsidR="0049343B" w:rsidRPr="00294859" w:rsidRDefault="00CB69B7" w:rsidP="000F5BFB">
            <w:pPr>
              <w:tabs>
                <w:tab w:val="decimal" w:pos="1080"/>
              </w:tabs>
              <w:jc w:val="right"/>
              <w:rPr>
                <w:szCs w:val="24"/>
              </w:rPr>
            </w:pPr>
            <w:r>
              <w:rPr>
                <w:szCs w:val="24"/>
              </w:rPr>
              <w:t>13,933</w:t>
            </w:r>
          </w:p>
        </w:tc>
      </w:tr>
    </w:tbl>
    <w:p w14:paraId="533A35A6" w14:textId="77777777" w:rsidR="00925174" w:rsidRPr="00D948C1" w:rsidRDefault="00925174" w:rsidP="00925174">
      <w:pPr>
        <w:ind w:left="720"/>
        <w:rPr>
          <w:sz w:val="22"/>
          <w:szCs w:val="22"/>
        </w:rPr>
      </w:pPr>
    </w:p>
    <w:p w14:paraId="7B28FB24" w14:textId="18533584" w:rsidR="00DF4B1E" w:rsidRPr="00D948C1" w:rsidRDefault="001C592E" w:rsidP="000F38E6">
      <w:pPr>
        <w:pStyle w:val="Heading2"/>
        <w:ind w:left="720" w:hanging="720"/>
        <w:jc w:val="left"/>
        <w:rPr>
          <w:sz w:val="24"/>
          <w:szCs w:val="24"/>
        </w:rPr>
      </w:pPr>
      <w:bookmarkStart w:id="82" w:name="_Toc233717546"/>
      <w:r w:rsidRPr="00D948C1">
        <w:rPr>
          <w:sz w:val="24"/>
          <w:szCs w:val="24"/>
        </w:rPr>
        <w:t>2</w:t>
      </w:r>
      <w:r w:rsidR="00B62A26">
        <w:rPr>
          <w:sz w:val="24"/>
          <w:szCs w:val="24"/>
        </w:rPr>
        <w:t>7</w:t>
      </w:r>
      <w:r w:rsidR="00925174" w:rsidRPr="00D948C1">
        <w:rPr>
          <w:sz w:val="24"/>
          <w:szCs w:val="24"/>
        </w:rPr>
        <w:tab/>
      </w:r>
      <w:bookmarkStart w:id="83" w:name="_Hlk156489206"/>
      <w:r w:rsidR="00DF4B1E" w:rsidRPr="00D948C1">
        <w:rPr>
          <w:sz w:val="24"/>
          <w:szCs w:val="24"/>
        </w:rPr>
        <w:t xml:space="preserve">Assumptions made about the future and other major sources of estimation </w:t>
      </w:r>
      <w:r w:rsidR="008E01C3" w:rsidRPr="00D948C1">
        <w:rPr>
          <w:sz w:val="24"/>
          <w:szCs w:val="24"/>
        </w:rPr>
        <w:t xml:space="preserve">and </w:t>
      </w:r>
      <w:r w:rsidR="00DF4B1E" w:rsidRPr="00D948C1">
        <w:rPr>
          <w:sz w:val="24"/>
          <w:szCs w:val="24"/>
        </w:rPr>
        <w:t>uncertainty</w:t>
      </w:r>
      <w:bookmarkEnd w:id="82"/>
      <w:bookmarkEnd w:id="83"/>
    </w:p>
    <w:p w14:paraId="6E378C1C" w14:textId="77777777" w:rsidR="00DF4B1E" w:rsidRPr="00D948C1" w:rsidRDefault="00DF4B1E" w:rsidP="000F5BFB">
      <w:pPr>
        <w:ind w:left="374" w:hanging="374"/>
        <w:rPr>
          <w:b/>
        </w:rPr>
      </w:pPr>
    </w:p>
    <w:p w14:paraId="64070E13" w14:textId="588290E8" w:rsidR="00DF4B1E" w:rsidRPr="00EE1D9D" w:rsidRDefault="00DF4B1E" w:rsidP="000F5BFB">
      <w:pPr>
        <w:ind w:left="720"/>
      </w:pPr>
      <w:r>
        <w:t xml:space="preserve">The Statement of Accounts contains estimated figures that are based on assumptions made by the Authority about the future or that are otherwise uncertain. Estimates are made </w:t>
      </w:r>
      <w:r w:rsidR="0094180B">
        <w:t>considering</w:t>
      </w:r>
      <w:r>
        <w:t xml:space="preserve"> historical experience, current </w:t>
      </w:r>
      <w:r w:rsidR="00526A3B">
        <w:t>trends,</w:t>
      </w:r>
      <w:r>
        <w:t xml:space="preserve"> and other relevant factors. However, </w:t>
      </w:r>
      <w:r>
        <w:lastRenderedPageBreak/>
        <w:t>because balances cannot be determined with certainty, actual results could be materially different from the assumptions and estimates.</w:t>
      </w:r>
    </w:p>
    <w:p w14:paraId="7DB3CB23" w14:textId="77777777" w:rsidR="00B71D39" w:rsidRPr="00EE1D9D" w:rsidRDefault="00B71D39" w:rsidP="000F5BFB"/>
    <w:p w14:paraId="7584EE8E" w14:textId="26AD66EC" w:rsidR="00DF4B1E" w:rsidRPr="001D7BD7" w:rsidRDefault="00DF4B1E" w:rsidP="000F5BFB">
      <w:pPr>
        <w:ind w:left="720"/>
      </w:pPr>
      <w:r>
        <w:t xml:space="preserve">The items in the Authority’s Balance Sheet </w:t>
      </w:r>
      <w:proofErr w:type="gramStart"/>
      <w:r>
        <w:t>at</w:t>
      </w:r>
      <w:proofErr w:type="gramEnd"/>
      <w:r>
        <w:t xml:space="preserve"> 31 March 20</w:t>
      </w:r>
      <w:r w:rsidR="003A7ED4">
        <w:t>2</w:t>
      </w:r>
      <w:r w:rsidR="00EE1D9D">
        <w:t>6</w:t>
      </w:r>
      <w:r>
        <w:t xml:space="preserve"> for which there is a significant risk of material adjustment in the forthcoming financial year are as follows:</w:t>
      </w:r>
    </w:p>
    <w:p w14:paraId="07C0ACB5" w14:textId="77777777" w:rsidR="00DF4B1E" w:rsidRPr="00D948C1" w:rsidRDefault="00DF4B1E" w:rsidP="00DF4B1E">
      <w:pPr>
        <w:ind w:left="374"/>
        <w:jc w:val="both"/>
        <w:rPr>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4084"/>
        <w:gridCol w:w="3969"/>
      </w:tblGrid>
      <w:tr w:rsidR="00DF4B1E" w:rsidRPr="00D948C1" w14:paraId="2B5806AF" w14:textId="77777777" w:rsidTr="00611673">
        <w:trPr>
          <w:tblHeader/>
        </w:trPr>
        <w:tc>
          <w:tcPr>
            <w:tcW w:w="1870" w:type="dxa"/>
            <w:shd w:val="clear" w:color="auto" w:fill="BD2716"/>
            <w:vAlign w:val="center"/>
          </w:tcPr>
          <w:p w14:paraId="05AE5D9F" w14:textId="77777777" w:rsidR="00DF4B1E" w:rsidRPr="00D948C1" w:rsidRDefault="00DF4B1E" w:rsidP="00611673">
            <w:pPr>
              <w:rPr>
                <w:color w:val="FFFFFF" w:themeColor="background1"/>
                <w:szCs w:val="24"/>
              </w:rPr>
            </w:pPr>
            <w:r w:rsidRPr="00D948C1">
              <w:rPr>
                <w:color w:val="FFFFFF" w:themeColor="background1"/>
                <w:szCs w:val="24"/>
              </w:rPr>
              <w:t>Item</w:t>
            </w:r>
          </w:p>
        </w:tc>
        <w:tc>
          <w:tcPr>
            <w:tcW w:w="4084" w:type="dxa"/>
            <w:shd w:val="clear" w:color="auto" w:fill="BD2716"/>
            <w:vAlign w:val="center"/>
          </w:tcPr>
          <w:p w14:paraId="0D4A4347" w14:textId="77777777" w:rsidR="00DF4B1E" w:rsidRPr="00D948C1" w:rsidRDefault="00DF4B1E" w:rsidP="00611673">
            <w:pPr>
              <w:rPr>
                <w:color w:val="FFFFFF" w:themeColor="background1"/>
                <w:szCs w:val="24"/>
              </w:rPr>
            </w:pPr>
            <w:r w:rsidRPr="00D948C1">
              <w:rPr>
                <w:color w:val="FFFFFF" w:themeColor="background1"/>
                <w:szCs w:val="24"/>
              </w:rPr>
              <w:t>Uncertainties</w:t>
            </w:r>
          </w:p>
        </w:tc>
        <w:tc>
          <w:tcPr>
            <w:tcW w:w="3969" w:type="dxa"/>
            <w:shd w:val="clear" w:color="auto" w:fill="BD2716"/>
            <w:vAlign w:val="center"/>
          </w:tcPr>
          <w:p w14:paraId="7503BC34" w14:textId="77777777" w:rsidR="00DF4B1E" w:rsidRPr="00D948C1" w:rsidRDefault="00DF4B1E" w:rsidP="00611673">
            <w:pPr>
              <w:rPr>
                <w:color w:val="FFFFFF" w:themeColor="background1"/>
                <w:szCs w:val="24"/>
              </w:rPr>
            </w:pPr>
            <w:r w:rsidRPr="00D948C1">
              <w:rPr>
                <w:color w:val="FFFFFF" w:themeColor="background1"/>
                <w:szCs w:val="24"/>
              </w:rPr>
              <w:t>Effect if actual results differ from assumptions</w:t>
            </w:r>
          </w:p>
        </w:tc>
      </w:tr>
      <w:tr w:rsidR="00F45BA0" w:rsidRPr="00D948C1" w14:paraId="7F342223" w14:textId="77777777" w:rsidTr="00397070">
        <w:tc>
          <w:tcPr>
            <w:tcW w:w="1870" w:type="dxa"/>
          </w:tcPr>
          <w:p w14:paraId="1A4DBFCB" w14:textId="77777777" w:rsidR="00F45BA0" w:rsidRPr="00DF39E9" w:rsidRDefault="00F45BA0" w:rsidP="00E949AD">
            <w:r w:rsidRPr="00DF39E9">
              <w:t>Property, Plant &amp; Equipment</w:t>
            </w:r>
          </w:p>
          <w:p w14:paraId="33C3988D" w14:textId="77777777" w:rsidR="00393CDF" w:rsidRPr="00DF39E9" w:rsidRDefault="00393CDF" w:rsidP="00E949AD"/>
          <w:p w14:paraId="71C02FD6" w14:textId="13C94459" w:rsidR="00393CDF" w:rsidRPr="00DF39E9" w:rsidRDefault="00716389" w:rsidP="00E949AD">
            <w:r w:rsidRPr="00DF39E9">
              <w:t xml:space="preserve">Carrying value </w:t>
            </w:r>
            <w:r w:rsidRPr="0014383B">
              <w:t>£</w:t>
            </w:r>
            <w:r w:rsidR="00EF46AF" w:rsidRPr="0014383B">
              <w:t>1</w:t>
            </w:r>
            <w:r w:rsidR="008A1AE7" w:rsidRPr="0014383B">
              <w:t>28</w:t>
            </w:r>
            <w:r w:rsidR="00F31C2F" w:rsidRPr="0014383B">
              <w:t xml:space="preserve"> </w:t>
            </w:r>
            <w:r w:rsidR="00EF46AF" w:rsidRPr="0014383B">
              <w:t>m</w:t>
            </w:r>
            <w:r w:rsidR="00F31C2F" w:rsidRPr="0014383B">
              <w:t>illion</w:t>
            </w:r>
            <w:r w:rsidR="00EF46AF" w:rsidRPr="00DF39E9">
              <w:t xml:space="preserve"> </w:t>
            </w:r>
            <w:r w:rsidRPr="00DF39E9">
              <w:t>(</w:t>
            </w:r>
            <w:r w:rsidR="001A42DD">
              <w:t>2024-25</w:t>
            </w:r>
            <w:r w:rsidRPr="00DF39E9">
              <w:t>: £</w:t>
            </w:r>
            <w:r w:rsidR="00375C74" w:rsidRPr="00DF39E9">
              <w:t>1</w:t>
            </w:r>
            <w:r w:rsidR="00EE1D9D">
              <w:t>30</w:t>
            </w:r>
            <w:r w:rsidR="00F31C2F">
              <w:t xml:space="preserve"> </w:t>
            </w:r>
            <w:r w:rsidR="00375C74" w:rsidRPr="00DF39E9">
              <w:t>m</w:t>
            </w:r>
            <w:r w:rsidR="00F31C2F">
              <w:t>illion</w:t>
            </w:r>
            <w:r w:rsidRPr="00DF39E9">
              <w:t>)</w:t>
            </w:r>
          </w:p>
        </w:tc>
        <w:tc>
          <w:tcPr>
            <w:tcW w:w="4084" w:type="dxa"/>
          </w:tcPr>
          <w:p w14:paraId="74F8240B" w14:textId="513DCBD6" w:rsidR="00F45BA0" w:rsidRPr="008F5BF1" w:rsidRDefault="005774B3" w:rsidP="008F5BF1">
            <w:pPr>
              <w:autoSpaceDE w:val="0"/>
              <w:autoSpaceDN w:val="0"/>
              <w:adjustRightInd w:val="0"/>
            </w:pPr>
            <w:r w:rsidRPr="008F5BF1">
              <w:t xml:space="preserve">Assets are valued in accordance with Royal Institute </w:t>
            </w:r>
            <w:r w:rsidR="005E69F1" w:rsidRPr="008F5BF1">
              <w:t>o</w:t>
            </w:r>
            <w:r w:rsidRPr="00B05BA0">
              <w:t xml:space="preserve">f Chartered Surveyors (RICS) valuation standards and involve the use of </w:t>
            </w:r>
            <w:r w:rsidR="00C11328" w:rsidRPr="00B05BA0">
              <w:t>several</w:t>
            </w:r>
            <w:r w:rsidRPr="00B05BA0">
              <w:t xml:space="preserve"> estimation techniques including various property indices</w:t>
            </w:r>
            <w:r w:rsidRPr="008F5BF1">
              <w:t xml:space="preserve"> that fluctuat</w:t>
            </w:r>
            <w:r w:rsidR="00DA55C9" w:rsidRPr="008F5BF1">
              <w:t>e.</w:t>
            </w:r>
          </w:p>
        </w:tc>
        <w:tc>
          <w:tcPr>
            <w:tcW w:w="3969" w:type="dxa"/>
          </w:tcPr>
          <w:p w14:paraId="6E8BAB36" w14:textId="41C27552" w:rsidR="00F45BA0" w:rsidRPr="0014383B" w:rsidRDefault="0094180B" w:rsidP="00E949AD">
            <w:r w:rsidRPr="0014383B">
              <w:t>Most of</w:t>
            </w:r>
            <w:r w:rsidR="00DC6C97" w:rsidRPr="0014383B">
              <w:t xml:space="preserve"> the Authorities Property assets are valued under the Depreciated Replacement Cost (DRC) method, as specialised assets. There is the possibility that DRC valuations will increase due to shortages of raw materials and labour. </w:t>
            </w:r>
            <w:r w:rsidR="00A77547" w:rsidRPr="0014383B">
              <w:t>It is estimated that a 1% increase in DRC valuations would increase the assets values by £</w:t>
            </w:r>
            <w:r w:rsidR="00A62775" w:rsidRPr="0014383B">
              <w:t>1</w:t>
            </w:r>
            <w:r w:rsidR="0041234B" w:rsidRPr="0014383B">
              <w:t>.</w:t>
            </w:r>
            <w:r w:rsidR="005C5E39" w:rsidRPr="0014383B">
              <w:t>28</w:t>
            </w:r>
            <w:r w:rsidR="00F31C2F" w:rsidRPr="0014383B">
              <w:t xml:space="preserve"> </w:t>
            </w:r>
            <w:r w:rsidR="00A62775" w:rsidRPr="0014383B">
              <w:t>m</w:t>
            </w:r>
            <w:r w:rsidR="00F31C2F" w:rsidRPr="0014383B">
              <w:t>illion</w:t>
            </w:r>
            <w:r w:rsidR="00A77547" w:rsidRPr="0014383B">
              <w:t>.</w:t>
            </w:r>
          </w:p>
        </w:tc>
      </w:tr>
      <w:tr w:rsidR="00DF4B1E" w:rsidRPr="00D948C1" w14:paraId="220EEBC5" w14:textId="77777777" w:rsidTr="00397070">
        <w:tc>
          <w:tcPr>
            <w:tcW w:w="1870" w:type="dxa"/>
          </w:tcPr>
          <w:p w14:paraId="4029A877" w14:textId="77777777" w:rsidR="00DF4B1E" w:rsidRPr="00DF39E9" w:rsidRDefault="00DF4B1E" w:rsidP="000F5BFB">
            <w:r w:rsidRPr="00DF39E9">
              <w:t>Pension Liability</w:t>
            </w:r>
          </w:p>
          <w:p w14:paraId="1930AD7B" w14:textId="77777777" w:rsidR="00393CDF" w:rsidRPr="00DF39E9" w:rsidRDefault="00393CDF" w:rsidP="000F5BFB"/>
          <w:p w14:paraId="7B7C0FC3" w14:textId="2B9F11FA" w:rsidR="00393CDF" w:rsidRPr="00DF39E9" w:rsidRDefault="00C417B4" w:rsidP="000F5BFB">
            <w:r w:rsidRPr="00DF39E9">
              <w:t xml:space="preserve">Carrying value </w:t>
            </w:r>
            <w:r w:rsidRPr="0014383B">
              <w:t>£</w:t>
            </w:r>
            <w:r w:rsidR="001A645E" w:rsidRPr="0014383B">
              <w:t>5</w:t>
            </w:r>
            <w:r w:rsidR="00996CB2" w:rsidRPr="0014383B">
              <w:t>4</w:t>
            </w:r>
            <w:r w:rsidR="00603401" w:rsidRPr="0014383B">
              <w:t>7</w:t>
            </w:r>
            <w:r w:rsidR="00F31C2F" w:rsidRPr="0014383B">
              <w:t xml:space="preserve"> </w:t>
            </w:r>
            <w:r w:rsidRPr="0014383B">
              <w:t>m</w:t>
            </w:r>
            <w:r w:rsidR="00F31C2F" w:rsidRPr="0014383B">
              <w:t>illion</w:t>
            </w:r>
            <w:r w:rsidRPr="00DF39E9">
              <w:t xml:space="preserve"> (</w:t>
            </w:r>
            <w:r w:rsidR="001A42DD">
              <w:t>2024-25</w:t>
            </w:r>
            <w:r w:rsidRPr="00DF39E9">
              <w:t>: £</w:t>
            </w:r>
            <w:r w:rsidR="00EE1D9D">
              <w:t>556</w:t>
            </w:r>
            <w:r w:rsidR="00F31C2F">
              <w:t xml:space="preserve"> </w:t>
            </w:r>
            <w:r w:rsidRPr="00DF39E9">
              <w:t>m</w:t>
            </w:r>
            <w:r w:rsidR="00F31C2F">
              <w:t>illion</w:t>
            </w:r>
            <w:r w:rsidRPr="00DF39E9">
              <w:t>)</w:t>
            </w:r>
          </w:p>
        </w:tc>
        <w:tc>
          <w:tcPr>
            <w:tcW w:w="4084" w:type="dxa"/>
          </w:tcPr>
          <w:p w14:paraId="6175A200" w14:textId="344B209F" w:rsidR="00DF4B1E" w:rsidRPr="00DF39E9" w:rsidRDefault="00DF4B1E" w:rsidP="000F5BFB">
            <w:r w:rsidRPr="00DF39E9">
              <w:t xml:space="preserve">Estimation of the </w:t>
            </w:r>
            <w:r w:rsidR="00C417B4" w:rsidRPr="00DF39E9">
              <w:t xml:space="preserve">gross </w:t>
            </w:r>
            <w:r w:rsidRPr="00DF39E9">
              <w:t xml:space="preserve">liability to pay pensions depends on </w:t>
            </w:r>
            <w:r w:rsidR="0094180B" w:rsidRPr="00DF39E9">
              <w:t>several</w:t>
            </w:r>
            <w:r w:rsidRPr="00DF39E9">
              <w:t xml:space="preserve"> complex judgements relating to the discount rate used, the rate at which salaries are projected to increase, changes in retirement ages, mortality rates and expected returns on pension fund assets. </w:t>
            </w:r>
            <w:r w:rsidR="008F6E00" w:rsidRPr="00DF39E9">
              <w:t>C</w:t>
            </w:r>
            <w:r w:rsidRPr="00DF39E9">
              <w:t xml:space="preserve">onsulting actuaries </w:t>
            </w:r>
            <w:r w:rsidR="008F6E00" w:rsidRPr="00DF39E9">
              <w:t>are</w:t>
            </w:r>
            <w:r w:rsidRPr="00DF39E9">
              <w:t xml:space="preserve"> engaged to provide the Authority with expert advice about the assumptions to be applied</w:t>
            </w:r>
            <w:r w:rsidR="008F6E00" w:rsidRPr="00DF39E9">
              <w:t xml:space="preserve"> to each scheme</w:t>
            </w:r>
            <w:r w:rsidRPr="00DF39E9">
              <w:t>.</w:t>
            </w:r>
          </w:p>
        </w:tc>
        <w:tc>
          <w:tcPr>
            <w:tcW w:w="3969" w:type="dxa"/>
          </w:tcPr>
          <w:p w14:paraId="4D5A7387" w14:textId="0500CEF9" w:rsidR="00DF4B1E" w:rsidRPr="002B22AF" w:rsidRDefault="00C417B4" w:rsidP="000F5BFB">
            <w:r w:rsidRPr="002B22AF">
              <w:t>It is estimated that, for both pension schemes combined, a 0.5% increase in the discount rate would decrease the liability by £</w:t>
            </w:r>
            <w:r w:rsidR="00AB4320" w:rsidRPr="002B22AF">
              <w:t>40</w:t>
            </w:r>
            <w:r w:rsidR="00C11328" w:rsidRPr="002B22AF">
              <w:t xml:space="preserve"> </w:t>
            </w:r>
            <w:r w:rsidRPr="002B22AF">
              <w:t>m</w:t>
            </w:r>
            <w:r w:rsidR="00C11328" w:rsidRPr="002B22AF">
              <w:t>illion</w:t>
            </w:r>
            <w:r w:rsidRPr="002B22AF">
              <w:t xml:space="preserve"> (</w:t>
            </w:r>
            <w:r w:rsidR="001A42DD" w:rsidRPr="002B22AF">
              <w:t>2024-25</w:t>
            </w:r>
            <w:r w:rsidRPr="002B22AF">
              <w:t>: £4</w:t>
            </w:r>
            <w:r w:rsidR="00EE1D9D" w:rsidRPr="002B22AF">
              <w:t>2</w:t>
            </w:r>
            <w:r w:rsidR="00C11328" w:rsidRPr="002B22AF">
              <w:t xml:space="preserve"> </w:t>
            </w:r>
            <w:r w:rsidRPr="002B22AF">
              <w:t>m</w:t>
            </w:r>
            <w:r w:rsidR="00C11328" w:rsidRPr="002B22AF">
              <w:t>illion</w:t>
            </w:r>
            <w:r w:rsidRPr="002B22AF">
              <w:t>), a 1% increase in pay growth would increase the liability by £</w:t>
            </w:r>
            <w:r w:rsidR="003B0B65" w:rsidRPr="002B22AF">
              <w:t>9</w:t>
            </w:r>
            <w:r w:rsidR="00C11328" w:rsidRPr="002B22AF">
              <w:t xml:space="preserve"> </w:t>
            </w:r>
            <w:r w:rsidRPr="002B22AF">
              <w:t>m</w:t>
            </w:r>
            <w:r w:rsidR="00C11328" w:rsidRPr="002B22AF">
              <w:t>illion</w:t>
            </w:r>
            <w:r w:rsidRPr="002B22AF">
              <w:t xml:space="preserve"> (</w:t>
            </w:r>
            <w:r w:rsidR="001A42DD" w:rsidRPr="002B22AF">
              <w:t>2024-25</w:t>
            </w:r>
            <w:r w:rsidRPr="002B22AF">
              <w:t>: £1</w:t>
            </w:r>
            <w:r w:rsidR="00EE1D9D" w:rsidRPr="002B22AF">
              <w:t>1</w:t>
            </w:r>
            <w:r w:rsidR="00C11328" w:rsidRPr="002B22AF">
              <w:t xml:space="preserve"> </w:t>
            </w:r>
            <w:r w:rsidRPr="002B22AF">
              <w:t>m</w:t>
            </w:r>
            <w:r w:rsidR="00C11328" w:rsidRPr="002B22AF">
              <w:t>illion</w:t>
            </w:r>
            <w:r w:rsidRPr="002B22AF">
              <w:t xml:space="preserve">). In addition, a 1-year </w:t>
            </w:r>
            <w:r w:rsidR="00E02D4F" w:rsidRPr="002B22AF">
              <w:t xml:space="preserve">increase in the assumed life </w:t>
            </w:r>
            <w:r w:rsidRPr="002B22AF">
              <w:t>expectancy</w:t>
            </w:r>
            <w:r w:rsidR="00515A4B" w:rsidRPr="002B22AF">
              <w:t xml:space="preserve"> </w:t>
            </w:r>
            <w:r w:rsidRPr="002B22AF">
              <w:t>would increase the liability by £1</w:t>
            </w:r>
            <w:r w:rsidR="003567B6" w:rsidRPr="002B22AF">
              <w:t>6</w:t>
            </w:r>
            <w:r w:rsidR="00C11328" w:rsidRPr="002B22AF">
              <w:t xml:space="preserve"> </w:t>
            </w:r>
            <w:r w:rsidRPr="002B22AF">
              <w:t>m</w:t>
            </w:r>
            <w:r w:rsidR="00C11328" w:rsidRPr="002B22AF">
              <w:t>illion</w:t>
            </w:r>
            <w:r w:rsidRPr="002B22AF">
              <w:t xml:space="preserve"> (</w:t>
            </w:r>
            <w:r w:rsidR="001A42DD" w:rsidRPr="002B22AF">
              <w:t>2024-25</w:t>
            </w:r>
            <w:r w:rsidRPr="002B22AF">
              <w:t>: £1</w:t>
            </w:r>
            <w:r w:rsidR="00EE1D9D" w:rsidRPr="002B22AF">
              <w:t>5</w:t>
            </w:r>
            <w:r w:rsidR="00C11328" w:rsidRPr="002B22AF">
              <w:t xml:space="preserve"> </w:t>
            </w:r>
            <w:r w:rsidRPr="002B22AF">
              <w:t>m</w:t>
            </w:r>
            <w:r w:rsidR="00C11328" w:rsidRPr="002B22AF">
              <w:t>illion</w:t>
            </w:r>
            <w:r w:rsidRPr="002B22AF">
              <w:t xml:space="preserve">). </w:t>
            </w:r>
          </w:p>
        </w:tc>
      </w:tr>
      <w:tr w:rsidR="000F38E6" w:rsidRPr="00D948C1" w14:paraId="3720CCCA" w14:textId="77777777" w:rsidTr="00797087">
        <w:tc>
          <w:tcPr>
            <w:tcW w:w="1870" w:type="dxa"/>
            <w:vAlign w:val="center"/>
          </w:tcPr>
          <w:p w14:paraId="083CC251" w14:textId="77777777" w:rsidR="000F38E6" w:rsidRPr="00DF39E9" w:rsidRDefault="00B83AC7" w:rsidP="00797087">
            <w:bookmarkStart w:id="84" w:name="_Hlk156489282"/>
            <w:r w:rsidRPr="00DF39E9">
              <w:t>LGPS Asset Ceiling</w:t>
            </w:r>
          </w:p>
          <w:p w14:paraId="330D096B" w14:textId="77777777" w:rsidR="00B83AC7" w:rsidRPr="00DF39E9" w:rsidRDefault="00B83AC7" w:rsidP="00797087"/>
          <w:p w14:paraId="4488DA2C" w14:textId="5039706F" w:rsidR="00B83AC7" w:rsidRPr="00DF39E9" w:rsidRDefault="00B83AC7" w:rsidP="00797087">
            <w:r w:rsidRPr="00DF39E9">
              <w:t xml:space="preserve">Gross </w:t>
            </w:r>
            <w:r w:rsidR="005617F1" w:rsidRPr="00DF39E9">
              <w:t>defined benefit</w:t>
            </w:r>
            <w:r w:rsidRPr="00DF39E9">
              <w:t xml:space="preserve"> </w:t>
            </w:r>
            <w:r w:rsidR="005617F1" w:rsidRPr="00DF39E9">
              <w:t>asset</w:t>
            </w:r>
          </w:p>
          <w:p w14:paraId="3F1C8CE9" w14:textId="12651C72" w:rsidR="00B83AC7" w:rsidRPr="00DF39E9" w:rsidRDefault="00B83AC7" w:rsidP="00797087">
            <w:r w:rsidRPr="0014383B">
              <w:t>£</w:t>
            </w:r>
            <w:r w:rsidR="002228ED" w:rsidRPr="0014383B">
              <w:t>3</w:t>
            </w:r>
            <w:r w:rsidR="00D56CD4" w:rsidRPr="0014383B">
              <w:t>0</w:t>
            </w:r>
            <w:r w:rsidR="002228ED" w:rsidRPr="0014383B">
              <w:t>.</w:t>
            </w:r>
            <w:r w:rsidR="00D56CD4" w:rsidRPr="0014383B">
              <w:t>0</w:t>
            </w:r>
            <w:r w:rsidR="00C11328">
              <w:t xml:space="preserve"> </w:t>
            </w:r>
            <w:r w:rsidR="00D56CD4">
              <w:t>m</w:t>
            </w:r>
            <w:r w:rsidR="00C11328">
              <w:t>illion</w:t>
            </w:r>
          </w:p>
          <w:p w14:paraId="67A07AD2" w14:textId="1F94025D" w:rsidR="00B83AC7" w:rsidRPr="00DF39E9" w:rsidRDefault="00B83AC7" w:rsidP="00797087">
            <w:r w:rsidRPr="00DF39E9">
              <w:t>(</w:t>
            </w:r>
            <w:r w:rsidR="001A42DD">
              <w:t>2024-25</w:t>
            </w:r>
            <w:r w:rsidR="00DB72E6" w:rsidRPr="00DF39E9">
              <w:t xml:space="preserve">: </w:t>
            </w:r>
            <w:r w:rsidR="009410F0" w:rsidRPr="00DF39E9">
              <w:t>£</w:t>
            </w:r>
            <w:r w:rsidR="00F84C36">
              <w:t>32.0</w:t>
            </w:r>
            <w:r w:rsidR="00C11328">
              <w:t xml:space="preserve"> </w:t>
            </w:r>
            <w:r w:rsidR="009410F0" w:rsidRPr="00DF39E9">
              <w:t>m</w:t>
            </w:r>
            <w:r w:rsidR="00C11328">
              <w:t>illion</w:t>
            </w:r>
            <w:r w:rsidR="00DB72E6" w:rsidRPr="00DF39E9">
              <w:t>)</w:t>
            </w:r>
          </w:p>
          <w:p w14:paraId="6EB95182" w14:textId="77777777" w:rsidR="00DB72E6" w:rsidRPr="00DF39E9" w:rsidRDefault="00DB72E6" w:rsidP="00797087"/>
          <w:p w14:paraId="6D1124C5" w14:textId="45C68778" w:rsidR="00DB72E6" w:rsidRPr="00DF39E9" w:rsidRDefault="00DB72E6" w:rsidP="00797087">
            <w:r w:rsidRPr="00DF39E9">
              <w:t xml:space="preserve">Net </w:t>
            </w:r>
            <w:r w:rsidR="005617F1" w:rsidRPr="00DF39E9">
              <w:t>defined benefit asset</w:t>
            </w:r>
          </w:p>
          <w:p w14:paraId="2E57A351" w14:textId="77777777" w:rsidR="00DB72E6" w:rsidRPr="00DF39E9" w:rsidRDefault="00DB72E6" w:rsidP="00797087">
            <w:r w:rsidRPr="00F84C36">
              <w:t>£-</w:t>
            </w:r>
          </w:p>
          <w:p w14:paraId="4A892F95" w14:textId="76B6E43C" w:rsidR="00DB72E6" w:rsidRPr="00DF39E9" w:rsidRDefault="00DB72E6" w:rsidP="00797087">
            <w:r w:rsidRPr="00DF39E9">
              <w:t>(</w:t>
            </w:r>
            <w:r w:rsidR="001A42DD">
              <w:t>2024-25</w:t>
            </w:r>
            <w:r w:rsidRPr="00DF39E9">
              <w:t xml:space="preserve">: </w:t>
            </w:r>
            <w:r w:rsidR="009410F0" w:rsidRPr="00DF39E9">
              <w:t>£-</w:t>
            </w:r>
            <w:r w:rsidRPr="00DF39E9">
              <w:t>)</w:t>
            </w:r>
          </w:p>
        </w:tc>
        <w:tc>
          <w:tcPr>
            <w:tcW w:w="4084" w:type="dxa"/>
          </w:tcPr>
          <w:p w14:paraId="0BF34DDC" w14:textId="679CF2ED" w:rsidR="00116F83" w:rsidRPr="00DF39E9" w:rsidRDefault="00116F83" w:rsidP="000F5BFB">
            <w:r w:rsidRPr="00DF39E9">
              <w:t>The assumptions used are like those used to calculate the pension liability and actuaries are consulted to provide expert advice on the assumptions to be used.</w:t>
            </w:r>
          </w:p>
        </w:tc>
        <w:tc>
          <w:tcPr>
            <w:tcW w:w="3969" w:type="dxa"/>
          </w:tcPr>
          <w:p w14:paraId="6AFD40FC" w14:textId="34470AE6" w:rsidR="000F38E6" w:rsidRPr="0014383B" w:rsidRDefault="00116F83" w:rsidP="000F5BFB">
            <w:r w:rsidRPr="0014383B">
              <w:t xml:space="preserve">The Authority </w:t>
            </w:r>
            <w:r w:rsidR="00C7682B" w:rsidRPr="0014383B">
              <w:t xml:space="preserve">has reduced the scheme’s </w:t>
            </w:r>
            <w:r w:rsidR="00DD3316" w:rsidRPr="0014383B">
              <w:t>net</w:t>
            </w:r>
            <w:r w:rsidR="00C7682B" w:rsidRPr="0014383B">
              <w:t xml:space="preserve"> asset to nil based on this assessment.</w:t>
            </w:r>
          </w:p>
          <w:p w14:paraId="3A879DD5" w14:textId="77777777" w:rsidR="00C7682B" w:rsidRPr="0014383B" w:rsidRDefault="00C7682B" w:rsidP="000F5BFB"/>
          <w:p w14:paraId="0FFEA586" w14:textId="01BDB904" w:rsidR="00C7682B" w:rsidRPr="0014383B" w:rsidRDefault="00C7682B" w:rsidP="000F5BFB">
            <w:r w:rsidRPr="0014383B">
              <w:t xml:space="preserve">It is estimated that a 1% increase in the future accounting service cost would </w:t>
            </w:r>
            <w:r w:rsidR="006A0EE8" w:rsidRPr="0014383B">
              <w:t>not</w:t>
            </w:r>
            <w:r w:rsidRPr="0014383B">
              <w:t xml:space="preserve"> le</w:t>
            </w:r>
            <w:r w:rsidR="006A0EE8" w:rsidRPr="0014383B">
              <w:t>a</w:t>
            </w:r>
            <w:r w:rsidRPr="0014383B">
              <w:t xml:space="preserve">d to the Authority having a pension asset </w:t>
            </w:r>
            <w:r w:rsidR="00704E87" w:rsidRPr="0014383B">
              <w:t xml:space="preserve">ceiling </w:t>
            </w:r>
            <w:r w:rsidR="006A0EE8" w:rsidRPr="0014383B">
              <w:t>above £0.</w:t>
            </w:r>
          </w:p>
        </w:tc>
      </w:tr>
    </w:tbl>
    <w:bookmarkEnd w:id="84"/>
    <w:p w14:paraId="52731361" w14:textId="77777777" w:rsidR="00DF4B1E" w:rsidRPr="00D948C1" w:rsidRDefault="00DF4B1E" w:rsidP="00DF4B1E">
      <w:pPr>
        <w:ind w:left="374"/>
        <w:jc w:val="both"/>
        <w:rPr>
          <w:sz w:val="22"/>
          <w:szCs w:val="22"/>
        </w:rPr>
      </w:pPr>
      <w:r w:rsidRPr="00D948C1">
        <w:rPr>
          <w:sz w:val="22"/>
          <w:szCs w:val="22"/>
        </w:rPr>
        <w:t xml:space="preserve"> </w:t>
      </w:r>
    </w:p>
    <w:p w14:paraId="52685EC2" w14:textId="65E9F235" w:rsidR="00D43423" w:rsidRDefault="00DF4B1E" w:rsidP="00D93871">
      <w:pPr>
        <w:ind w:left="709"/>
        <w:rPr>
          <w:szCs w:val="24"/>
        </w:rPr>
      </w:pPr>
      <w:r w:rsidRPr="00D948C1">
        <w:rPr>
          <w:szCs w:val="24"/>
        </w:rPr>
        <w:t>This list does not include assets and liabilities that are carried at fair value based on a recently observed market price.</w:t>
      </w:r>
    </w:p>
    <w:p w14:paraId="5AFDC7D3" w14:textId="77777777" w:rsidR="00D43423" w:rsidRDefault="00D43423">
      <w:pPr>
        <w:rPr>
          <w:szCs w:val="24"/>
        </w:rPr>
      </w:pPr>
      <w:r>
        <w:rPr>
          <w:szCs w:val="24"/>
        </w:rPr>
        <w:br w:type="page"/>
      </w:r>
    </w:p>
    <w:p w14:paraId="6107AF67" w14:textId="5E506F36" w:rsidR="009B6F2A" w:rsidRPr="00D948C1" w:rsidRDefault="001C592E" w:rsidP="006563F1">
      <w:pPr>
        <w:pStyle w:val="Heading2"/>
        <w:jc w:val="left"/>
        <w:rPr>
          <w:sz w:val="24"/>
          <w:szCs w:val="24"/>
        </w:rPr>
      </w:pPr>
      <w:bookmarkStart w:id="85" w:name="_Toc233717547"/>
      <w:r w:rsidRPr="00D948C1">
        <w:rPr>
          <w:sz w:val="24"/>
          <w:szCs w:val="24"/>
        </w:rPr>
        <w:lastRenderedPageBreak/>
        <w:t>2</w:t>
      </w:r>
      <w:r w:rsidR="00B62A26">
        <w:rPr>
          <w:sz w:val="24"/>
          <w:szCs w:val="24"/>
        </w:rPr>
        <w:t>8</w:t>
      </w:r>
      <w:r w:rsidR="006626A8" w:rsidRPr="00D948C1">
        <w:rPr>
          <w:sz w:val="24"/>
          <w:szCs w:val="24"/>
        </w:rPr>
        <w:tab/>
      </w:r>
      <w:r w:rsidR="00792963" w:rsidRPr="00D948C1">
        <w:rPr>
          <w:sz w:val="24"/>
          <w:szCs w:val="24"/>
        </w:rPr>
        <w:t>Expenditure and Income Analysed by Nature</w:t>
      </w:r>
      <w:bookmarkEnd w:id="85"/>
      <w:r w:rsidR="00B669BB" w:rsidRPr="00D948C1">
        <w:rPr>
          <w:sz w:val="24"/>
          <w:szCs w:val="24"/>
        </w:rPr>
        <w:t xml:space="preserve"> </w:t>
      </w:r>
    </w:p>
    <w:p w14:paraId="7EE0F6EE" w14:textId="77777777" w:rsidR="00DF4B1E" w:rsidRPr="00D948C1" w:rsidRDefault="00DF4B1E" w:rsidP="000F5BFB">
      <w:pPr>
        <w:rPr>
          <w:szCs w:val="24"/>
        </w:rPr>
      </w:pPr>
    </w:p>
    <w:p w14:paraId="702777EB" w14:textId="65151043" w:rsidR="00B55DEC" w:rsidRPr="00D948C1" w:rsidRDefault="00B55DEC" w:rsidP="000F5BFB">
      <w:pPr>
        <w:ind w:left="720"/>
        <w:rPr>
          <w:szCs w:val="24"/>
        </w:rPr>
      </w:pPr>
      <w:r w:rsidRPr="0014383B">
        <w:rPr>
          <w:szCs w:val="24"/>
        </w:rPr>
        <w:t>The Authority’s expenditure and income is analysed as follows:</w:t>
      </w:r>
    </w:p>
    <w:p w14:paraId="71C24F82" w14:textId="77777777" w:rsidR="00787228" w:rsidRPr="00D948C1" w:rsidRDefault="00787228" w:rsidP="007446B1">
      <w:pPr>
        <w:ind w:left="720"/>
        <w:jc w:val="both"/>
        <w:rPr>
          <w:szCs w:val="24"/>
        </w:rPr>
      </w:pPr>
    </w:p>
    <w:tbl>
      <w:tblPr>
        <w:tblStyle w:val="TableGrid"/>
        <w:tblW w:w="8610" w:type="dxa"/>
        <w:tblInd w:w="720" w:type="dxa"/>
        <w:tblLook w:val="04A0" w:firstRow="1" w:lastRow="0" w:firstColumn="1" w:lastColumn="0" w:noHBand="0" w:noVBand="1"/>
      </w:tblPr>
      <w:tblGrid>
        <w:gridCol w:w="5342"/>
        <w:gridCol w:w="1635"/>
        <w:gridCol w:w="1633"/>
      </w:tblGrid>
      <w:tr w:rsidR="00670DBF" w:rsidRPr="00D948C1" w14:paraId="5BB1E432" w14:textId="77777777" w:rsidTr="009255CA">
        <w:trPr>
          <w:tblHeader/>
        </w:trPr>
        <w:tc>
          <w:tcPr>
            <w:tcW w:w="5342" w:type="dxa"/>
            <w:shd w:val="clear" w:color="auto" w:fill="BD2716"/>
          </w:tcPr>
          <w:p w14:paraId="353060D1" w14:textId="77777777" w:rsidR="00670DBF" w:rsidRPr="00D948C1" w:rsidRDefault="00670DBF" w:rsidP="00670DBF">
            <w:pPr>
              <w:jc w:val="both"/>
              <w:rPr>
                <w:color w:val="FFFFFF" w:themeColor="background1"/>
                <w:szCs w:val="24"/>
              </w:rPr>
            </w:pPr>
          </w:p>
        </w:tc>
        <w:tc>
          <w:tcPr>
            <w:tcW w:w="1635" w:type="dxa"/>
            <w:shd w:val="clear" w:color="auto" w:fill="BD2716"/>
            <w:vAlign w:val="center"/>
          </w:tcPr>
          <w:p w14:paraId="24FB8E3D" w14:textId="5A317E3E" w:rsidR="00670DBF" w:rsidRPr="00D948C1" w:rsidRDefault="001A42DD" w:rsidP="00611673">
            <w:pPr>
              <w:jc w:val="right"/>
              <w:rPr>
                <w:color w:val="FFFFFF" w:themeColor="background1"/>
                <w:szCs w:val="24"/>
              </w:rPr>
            </w:pPr>
            <w:r>
              <w:rPr>
                <w:color w:val="FFFFFF" w:themeColor="background1"/>
                <w:szCs w:val="24"/>
              </w:rPr>
              <w:t>2025-26</w:t>
            </w:r>
          </w:p>
          <w:p w14:paraId="1BFF01E0" w14:textId="36B6C32D" w:rsidR="001431C3" w:rsidRPr="00D948C1" w:rsidRDefault="001431C3" w:rsidP="00611673">
            <w:pPr>
              <w:jc w:val="right"/>
              <w:rPr>
                <w:color w:val="FFFFFF" w:themeColor="background1"/>
                <w:szCs w:val="24"/>
              </w:rPr>
            </w:pPr>
            <w:r w:rsidRPr="00D948C1">
              <w:rPr>
                <w:color w:val="FFFFFF" w:themeColor="background1"/>
                <w:szCs w:val="24"/>
              </w:rPr>
              <w:t>£000</w:t>
            </w:r>
          </w:p>
        </w:tc>
        <w:tc>
          <w:tcPr>
            <w:tcW w:w="1633" w:type="dxa"/>
            <w:shd w:val="clear" w:color="auto" w:fill="BD2716"/>
            <w:vAlign w:val="center"/>
          </w:tcPr>
          <w:p w14:paraId="205876BE" w14:textId="3C27C871" w:rsidR="001011C7" w:rsidRPr="00D948C1" w:rsidRDefault="001A42DD" w:rsidP="001011C7">
            <w:pPr>
              <w:jc w:val="right"/>
              <w:rPr>
                <w:color w:val="FFFFFF" w:themeColor="background1"/>
                <w:szCs w:val="24"/>
              </w:rPr>
            </w:pPr>
            <w:r>
              <w:rPr>
                <w:color w:val="FFFFFF" w:themeColor="background1"/>
                <w:szCs w:val="24"/>
              </w:rPr>
              <w:t>2024-25</w:t>
            </w:r>
          </w:p>
          <w:p w14:paraId="459813D8" w14:textId="7CD01A9B" w:rsidR="001431C3" w:rsidRPr="00D948C1" w:rsidRDefault="001011C7" w:rsidP="001011C7">
            <w:pPr>
              <w:jc w:val="right"/>
              <w:rPr>
                <w:color w:val="FFFFFF" w:themeColor="background1"/>
                <w:szCs w:val="24"/>
              </w:rPr>
            </w:pPr>
            <w:r w:rsidRPr="00D948C1">
              <w:rPr>
                <w:color w:val="FFFFFF" w:themeColor="background1"/>
                <w:szCs w:val="24"/>
              </w:rPr>
              <w:t>£000</w:t>
            </w:r>
          </w:p>
        </w:tc>
      </w:tr>
      <w:tr w:rsidR="006563F1" w:rsidRPr="00D948C1" w14:paraId="5253255C" w14:textId="77777777" w:rsidTr="009255CA">
        <w:tc>
          <w:tcPr>
            <w:tcW w:w="8610" w:type="dxa"/>
            <w:gridSpan w:val="3"/>
            <w:shd w:val="clear" w:color="auto" w:fill="D9D9D9" w:themeFill="background1" w:themeFillShade="D9"/>
          </w:tcPr>
          <w:p w14:paraId="60FA43F0" w14:textId="26CE5BEB" w:rsidR="006563F1" w:rsidRPr="00D948C1" w:rsidRDefault="006563F1" w:rsidP="006563F1">
            <w:pPr>
              <w:rPr>
                <w:b/>
                <w:bCs/>
                <w:szCs w:val="24"/>
              </w:rPr>
            </w:pPr>
            <w:r w:rsidRPr="00D948C1">
              <w:rPr>
                <w:b/>
                <w:bCs/>
                <w:szCs w:val="24"/>
              </w:rPr>
              <w:t>Expenditure</w:t>
            </w:r>
          </w:p>
        </w:tc>
      </w:tr>
      <w:tr w:rsidR="001011C7" w:rsidRPr="00D948C1" w14:paraId="30DDF015" w14:textId="77777777" w:rsidTr="009255CA">
        <w:trPr>
          <w:trHeight w:val="278"/>
        </w:trPr>
        <w:tc>
          <w:tcPr>
            <w:tcW w:w="5342" w:type="dxa"/>
          </w:tcPr>
          <w:p w14:paraId="5ACD2E8F" w14:textId="77777777" w:rsidR="001011C7" w:rsidRPr="00D948C1" w:rsidRDefault="001011C7" w:rsidP="001011C7">
            <w:pPr>
              <w:rPr>
                <w:szCs w:val="24"/>
              </w:rPr>
            </w:pPr>
            <w:r w:rsidRPr="00D948C1">
              <w:rPr>
                <w:szCs w:val="24"/>
              </w:rPr>
              <w:t>Employee benefits expenses</w:t>
            </w:r>
          </w:p>
        </w:tc>
        <w:tc>
          <w:tcPr>
            <w:tcW w:w="1635" w:type="dxa"/>
            <w:vAlign w:val="center"/>
          </w:tcPr>
          <w:p w14:paraId="0C80129F" w14:textId="35E8B2D4" w:rsidR="001011C7" w:rsidRPr="00294859" w:rsidRDefault="00E3568F" w:rsidP="001011C7">
            <w:pPr>
              <w:tabs>
                <w:tab w:val="decimal" w:pos="1080"/>
              </w:tabs>
              <w:jc w:val="right"/>
              <w:rPr>
                <w:szCs w:val="24"/>
              </w:rPr>
            </w:pPr>
            <w:r>
              <w:rPr>
                <w:szCs w:val="24"/>
              </w:rPr>
              <w:t>35,660</w:t>
            </w:r>
          </w:p>
        </w:tc>
        <w:tc>
          <w:tcPr>
            <w:tcW w:w="1633" w:type="dxa"/>
            <w:vAlign w:val="center"/>
          </w:tcPr>
          <w:p w14:paraId="2379FB8A" w14:textId="6549B741" w:rsidR="001011C7" w:rsidRPr="00DF39E9" w:rsidRDefault="001011C7" w:rsidP="001011C7">
            <w:pPr>
              <w:tabs>
                <w:tab w:val="decimal" w:pos="1080"/>
              </w:tabs>
              <w:jc w:val="right"/>
              <w:rPr>
                <w:szCs w:val="24"/>
              </w:rPr>
            </w:pPr>
            <w:r w:rsidRPr="00294859">
              <w:rPr>
                <w:szCs w:val="24"/>
              </w:rPr>
              <w:t>32,614</w:t>
            </w:r>
          </w:p>
        </w:tc>
      </w:tr>
      <w:tr w:rsidR="001011C7" w:rsidRPr="00D948C1" w14:paraId="5D019BE9" w14:textId="77777777" w:rsidTr="009255CA">
        <w:trPr>
          <w:trHeight w:val="278"/>
        </w:trPr>
        <w:tc>
          <w:tcPr>
            <w:tcW w:w="5342" w:type="dxa"/>
          </w:tcPr>
          <w:p w14:paraId="4D5018EA" w14:textId="77777777" w:rsidR="001011C7" w:rsidRPr="00D948C1" w:rsidRDefault="001011C7" w:rsidP="001011C7">
            <w:pPr>
              <w:rPr>
                <w:szCs w:val="24"/>
              </w:rPr>
            </w:pPr>
            <w:r w:rsidRPr="00D948C1">
              <w:rPr>
                <w:szCs w:val="24"/>
              </w:rPr>
              <w:t>Other services expenses</w:t>
            </w:r>
          </w:p>
        </w:tc>
        <w:tc>
          <w:tcPr>
            <w:tcW w:w="1635" w:type="dxa"/>
            <w:vAlign w:val="center"/>
          </w:tcPr>
          <w:p w14:paraId="14D8A732" w14:textId="738AA7FD" w:rsidR="001011C7" w:rsidRPr="00294859" w:rsidRDefault="00E3568F" w:rsidP="001011C7">
            <w:pPr>
              <w:tabs>
                <w:tab w:val="decimal" w:pos="1080"/>
              </w:tabs>
              <w:jc w:val="right"/>
              <w:rPr>
                <w:szCs w:val="24"/>
              </w:rPr>
            </w:pPr>
            <w:r>
              <w:rPr>
                <w:szCs w:val="24"/>
              </w:rPr>
              <w:t>19,527</w:t>
            </w:r>
          </w:p>
        </w:tc>
        <w:tc>
          <w:tcPr>
            <w:tcW w:w="1633" w:type="dxa"/>
            <w:vAlign w:val="center"/>
          </w:tcPr>
          <w:p w14:paraId="1BD8DEA7" w14:textId="49C131EA" w:rsidR="001011C7" w:rsidRPr="00DF39E9" w:rsidRDefault="001011C7" w:rsidP="001011C7">
            <w:pPr>
              <w:tabs>
                <w:tab w:val="decimal" w:pos="1080"/>
              </w:tabs>
              <w:jc w:val="right"/>
              <w:rPr>
                <w:szCs w:val="24"/>
              </w:rPr>
            </w:pPr>
            <w:r w:rsidRPr="00294859">
              <w:rPr>
                <w:szCs w:val="24"/>
              </w:rPr>
              <w:t>16,589</w:t>
            </w:r>
          </w:p>
        </w:tc>
      </w:tr>
      <w:tr w:rsidR="001011C7" w:rsidRPr="00D948C1" w14:paraId="22BBC866" w14:textId="77777777" w:rsidTr="009255CA">
        <w:trPr>
          <w:trHeight w:val="278"/>
        </w:trPr>
        <w:tc>
          <w:tcPr>
            <w:tcW w:w="5342" w:type="dxa"/>
          </w:tcPr>
          <w:p w14:paraId="21C71D9A" w14:textId="77777777" w:rsidR="001011C7" w:rsidRPr="00D948C1" w:rsidRDefault="001011C7" w:rsidP="001011C7">
            <w:pPr>
              <w:rPr>
                <w:szCs w:val="24"/>
              </w:rPr>
            </w:pPr>
            <w:r w:rsidRPr="00D948C1">
              <w:rPr>
                <w:szCs w:val="24"/>
              </w:rPr>
              <w:t>Support service recharges</w:t>
            </w:r>
          </w:p>
        </w:tc>
        <w:tc>
          <w:tcPr>
            <w:tcW w:w="1635" w:type="dxa"/>
            <w:vAlign w:val="center"/>
          </w:tcPr>
          <w:p w14:paraId="6EC75C42" w14:textId="295B79EA" w:rsidR="001011C7" w:rsidRPr="00294859" w:rsidRDefault="00E3568F" w:rsidP="001011C7">
            <w:pPr>
              <w:tabs>
                <w:tab w:val="decimal" w:pos="1080"/>
              </w:tabs>
              <w:jc w:val="right"/>
              <w:rPr>
                <w:szCs w:val="24"/>
              </w:rPr>
            </w:pPr>
            <w:r>
              <w:rPr>
                <w:szCs w:val="24"/>
              </w:rPr>
              <w:t>-</w:t>
            </w:r>
          </w:p>
        </w:tc>
        <w:tc>
          <w:tcPr>
            <w:tcW w:w="1633" w:type="dxa"/>
            <w:vAlign w:val="center"/>
          </w:tcPr>
          <w:p w14:paraId="2E83669D" w14:textId="31C90A85" w:rsidR="001011C7" w:rsidRPr="00DF39E9" w:rsidRDefault="001011C7" w:rsidP="001011C7">
            <w:pPr>
              <w:tabs>
                <w:tab w:val="decimal" w:pos="1080"/>
              </w:tabs>
              <w:jc w:val="right"/>
              <w:rPr>
                <w:szCs w:val="24"/>
              </w:rPr>
            </w:pPr>
            <w:r w:rsidRPr="00294859">
              <w:rPr>
                <w:szCs w:val="24"/>
              </w:rPr>
              <w:t>-</w:t>
            </w:r>
          </w:p>
        </w:tc>
      </w:tr>
      <w:tr w:rsidR="001011C7" w:rsidRPr="00D948C1" w14:paraId="40D88B66" w14:textId="77777777" w:rsidTr="009255CA">
        <w:trPr>
          <w:trHeight w:val="278"/>
        </w:trPr>
        <w:tc>
          <w:tcPr>
            <w:tcW w:w="5342" w:type="dxa"/>
          </w:tcPr>
          <w:p w14:paraId="1903ADD3" w14:textId="61463E78" w:rsidR="001011C7" w:rsidRPr="00D948C1" w:rsidRDefault="001011C7" w:rsidP="001011C7">
            <w:pPr>
              <w:rPr>
                <w:szCs w:val="24"/>
              </w:rPr>
            </w:pPr>
            <w:r w:rsidRPr="00D948C1">
              <w:rPr>
                <w:szCs w:val="24"/>
              </w:rPr>
              <w:t xml:space="preserve">Depreciation, amortisation, and impairment </w:t>
            </w:r>
          </w:p>
        </w:tc>
        <w:tc>
          <w:tcPr>
            <w:tcW w:w="1635" w:type="dxa"/>
            <w:vAlign w:val="center"/>
          </w:tcPr>
          <w:p w14:paraId="3D30370B" w14:textId="22ED5FB8" w:rsidR="001011C7" w:rsidRPr="00294859" w:rsidRDefault="00E3568F" w:rsidP="001011C7">
            <w:pPr>
              <w:tabs>
                <w:tab w:val="decimal" w:pos="1080"/>
              </w:tabs>
              <w:jc w:val="right"/>
              <w:rPr>
                <w:szCs w:val="24"/>
              </w:rPr>
            </w:pPr>
            <w:r>
              <w:rPr>
                <w:szCs w:val="24"/>
              </w:rPr>
              <w:t>6,</w:t>
            </w:r>
            <w:r w:rsidR="00CD7648">
              <w:rPr>
                <w:szCs w:val="24"/>
              </w:rPr>
              <w:t>79</w:t>
            </w:r>
            <w:r>
              <w:rPr>
                <w:szCs w:val="24"/>
              </w:rPr>
              <w:t>3</w:t>
            </w:r>
          </w:p>
        </w:tc>
        <w:tc>
          <w:tcPr>
            <w:tcW w:w="1633" w:type="dxa"/>
            <w:vAlign w:val="center"/>
          </w:tcPr>
          <w:p w14:paraId="7B13879A" w14:textId="4DFA45CA" w:rsidR="001011C7" w:rsidRPr="00DF39E9" w:rsidRDefault="001011C7" w:rsidP="001011C7">
            <w:pPr>
              <w:tabs>
                <w:tab w:val="decimal" w:pos="1080"/>
              </w:tabs>
              <w:jc w:val="right"/>
              <w:rPr>
                <w:szCs w:val="24"/>
              </w:rPr>
            </w:pPr>
            <w:r w:rsidRPr="00294859">
              <w:rPr>
                <w:szCs w:val="24"/>
              </w:rPr>
              <w:t>6,938</w:t>
            </w:r>
          </w:p>
        </w:tc>
      </w:tr>
      <w:tr w:rsidR="001011C7" w:rsidRPr="00D948C1" w14:paraId="6E9A6706" w14:textId="77777777" w:rsidTr="009255CA">
        <w:trPr>
          <w:trHeight w:val="278"/>
        </w:trPr>
        <w:tc>
          <w:tcPr>
            <w:tcW w:w="5342" w:type="dxa"/>
          </w:tcPr>
          <w:p w14:paraId="4E68AB7C" w14:textId="77777777" w:rsidR="001011C7" w:rsidRPr="00D948C1" w:rsidRDefault="001011C7" w:rsidP="001011C7">
            <w:pPr>
              <w:rPr>
                <w:szCs w:val="24"/>
              </w:rPr>
            </w:pPr>
            <w:r w:rsidRPr="00D948C1">
              <w:rPr>
                <w:szCs w:val="24"/>
              </w:rPr>
              <w:t>Interest payments</w:t>
            </w:r>
          </w:p>
        </w:tc>
        <w:tc>
          <w:tcPr>
            <w:tcW w:w="1635" w:type="dxa"/>
            <w:vAlign w:val="center"/>
          </w:tcPr>
          <w:p w14:paraId="20878F50" w14:textId="27B5581D" w:rsidR="001011C7" w:rsidRPr="00294859" w:rsidRDefault="00E3568F" w:rsidP="001011C7">
            <w:pPr>
              <w:tabs>
                <w:tab w:val="decimal" w:pos="1080"/>
              </w:tabs>
              <w:jc w:val="right"/>
              <w:rPr>
                <w:szCs w:val="24"/>
              </w:rPr>
            </w:pPr>
            <w:r>
              <w:rPr>
                <w:szCs w:val="24"/>
              </w:rPr>
              <w:t>31,756</w:t>
            </w:r>
          </w:p>
        </w:tc>
        <w:tc>
          <w:tcPr>
            <w:tcW w:w="1633" w:type="dxa"/>
            <w:vAlign w:val="center"/>
          </w:tcPr>
          <w:p w14:paraId="1631B3FC" w14:textId="57EDA1D9" w:rsidR="001011C7" w:rsidRPr="00DF39E9" w:rsidRDefault="001011C7" w:rsidP="001011C7">
            <w:pPr>
              <w:tabs>
                <w:tab w:val="decimal" w:pos="1080"/>
              </w:tabs>
              <w:jc w:val="right"/>
              <w:rPr>
                <w:szCs w:val="24"/>
              </w:rPr>
            </w:pPr>
            <w:r w:rsidRPr="00294859">
              <w:rPr>
                <w:szCs w:val="24"/>
              </w:rPr>
              <w:t>30,399</w:t>
            </w:r>
          </w:p>
        </w:tc>
      </w:tr>
      <w:tr w:rsidR="001011C7" w:rsidRPr="00D948C1" w14:paraId="2818003E" w14:textId="77777777" w:rsidTr="009255CA">
        <w:trPr>
          <w:trHeight w:val="278"/>
        </w:trPr>
        <w:tc>
          <w:tcPr>
            <w:tcW w:w="5342" w:type="dxa"/>
          </w:tcPr>
          <w:p w14:paraId="346F4CE3" w14:textId="3E38EBD0" w:rsidR="001011C7" w:rsidRPr="00D948C1" w:rsidRDefault="001011C7" w:rsidP="001011C7">
            <w:pPr>
              <w:rPr>
                <w:szCs w:val="24"/>
              </w:rPr>
            </w:pPr>
            <w:r w:rsidRPr="00D948C1">
              <w:rPr>
                <w:szCs w:val="24"/>
              </w:rPr>
              <w:t>(Gain)</w:t>
            </w:r>
            <w:r w:rsidR="00972859">
              <w:rPr>
                <w:szCs w:val="24"/>
              </w:rPr>
              <w:t xml:space="preserve"> or </w:t>
            </w:r>
            <w:r w:rsidRPr="00D948C1">
              <w:rPr>
                <w:szCs w:val="24"/>
              </w:rPr>
              <w:t>loss on disposal of fixed assets</w:t>
            </w:r>
          </w:p>
        </w:tc>
        <w:tc>
          <w:tcPr>
            <w:tcW w:w="1635" w:type="dxa"/>
            <w:vAlign w:val="center"/>
          </w:tcPr>
          <w:p w14:paraId="2CE5761C" w14:textId="7846643A" w:rsidR="001011C7" w:rsidRPr="00294859" w:rsidRDefault="00E3568F" w:rsidP="001011C7">
            <w:pPr>
              <w:tabs>
                <w:tab w:val="decimal" w:pos="1080"/>
              </w:tabs>
              <w:jc w:val="right"/>
              <w:rPr>
                <w:szCs w:val="24"/>
              </w:rPr>
            </w:pPr>
            <w:r>
              <w:rPr>
                <w:szCs w:val="24"/>
              </w:rPr>
              <w:t>(74)</w:t>
            </w:r>
          </w:p>
        </w:tc>
        <w:tc>
          <w:tcPr>
            <w:tcW w:w="1633" w:type="dxa"/>
            <w:vAlign w:val="center"/>
          </w:tcPr>
          <w:p w14:paraId="27C6007F" w14:textId="4DFDB30E" w:rsidR="001011C7" w:rsidRPr="00DF39E9" w:rsidRDefault="001011C7" w:rsidP="001011C7">
            <w:pPr>
              <w:tabs>
                <w:tab w:val="decimal" w:pos="1080"/>
              </w:tabs>
              <w:jc w:val="right"/>
              <w:rPr>
                <w:szCs w:val="24"/>
              </w:rPr>
            </w:pPr>
            <w:r w:rsidRPr="00294859">
              <w:rPr>
                <w:szCs w:val="24"/>
              </w:rPr>
              <w:t>(116)</w:t>
            </w:r>
          </w:p>
        </w:tc>
      </w:tr>
      <w:tr w:rsidR="001011C7" w:rsidRPr="00D948C1" w14:paraId="4AE3A16A" w14:textId="77777777" w:rsidTr="009255CA">
        <w:trPr>
          <w:trHeight w:val="278"/>
        </w:trPr>
        <w:tc>
          <w:tcPr>
            <w:tcW w:w="5342" w:type="dxa"/>
          </w:tcPr>
          <w:p w14:paraId="3BCE03D8" w14:textId="77777777" w:rsidR="001011C7" w:rsidRPr="00D948C1" w:rsidRDefault="001011C7" w:rsidP="001011C7">
            <w:pPr>
              <w:rPr>
                <w:b/>
                <w:bCs/>
                <w:szCs w:val="24"/>
              </w:rPr>
            </w:pPr>
            <w:r w:rsidRPr="00D948C1">
              <w:rPr>
                <w:b/>
                <w:bCs/>
                <w:szCs w:val="24"/>
              </w:rPr>
              <w:t>Total expenditure</w:t>
            </w:r>
          </w:p>
        </w:tc>
        <w:tc>
          <w:tcPr>
            <w:tcW w:w="1635" w:type="dxa"/>
            <w:vAlign w:val="center"/>
          </w:tcPr>
          <w:p w14:paraId="69764D95" w14:textId="556DA700" w:rsidR="001011C7" w:rsidRPr="00294859" w:rsidRDefault="00E3568F" w:rsidP="001011C7">
            <w:pPr>
              <w:tabs>
                <w:tab w:val="decimal" w:pos="1080"/>
              </w:tabs>
              <w:jc w:val="right"/>
              <w:rPr>
                <w:b/>
                <w:szCs w:val="24"/>
              </w:rPr>
            </w:pPr>
            <w:r>
              <w:rPr>
                <w:b/>
                <w:szCs w:val="24"/>
              </w:rPr>
              <w:t>93,6</w:t>
            </w:r>
            <w:r w:rsidR="00A46CB2">
              <w:rPr>
                <w:b/>
                <w:szCs w:val="24"/>
              </w:rPr>
              <w:t>6</w:t>
            </w:r>
            <w:r>
              <w:rPr>
                <w:b/>
                <w:szCs w:val="24"/>
              </w:rPr>
              <w:t>2</w:t>
            </w:r>
          </w:p>
        </w:tc>
        <w:tc>
          <w:tcPr>
            <w:tcW w:w="1633" w:type="dxa"/>
            <w:vAlign w:val="center"/>
          </w:tcPr>
          <w:p w14:paraId="175B7FC0" w14:textId="3D25134E" w:rsidR="001011C7" w:rsidRPr="00DF39E9" w:rsidRDefault="001011C7" w:rsidP="001011C7">
            <w:pPr>
              <w:tabs>
                <w:tab w:val="decimal" w:pos="1080"/>
              </w:tabs>
              <w:jc w:val="right"/>
              <w:rPr>
                <w:b/>
                <w:bCs/>
                <w:szCs w:val="24"/>
              </w:rPr>
            </w:pPr>
            <w:r w:rsidRPr="00294859">
              <w:rPr>
                <w:b/>
                <w:szCs w:val="24"/>
              </w:rPr>
              <w:t>86,422</w:t>
            </w:r>
          </w:p>
        </w:tc>
      </w:tr>
    </w:tbl>
    <w:p w14:paraId="00499655" w14:textId="77777777" w:rsidR="00EC3487" w:rsidRPr="00D948C1" w:rsidRDefault="00EC3487"/>
    <w:tbl>
      <w:tblPr>
        <w:tblStyle w:val="TableGrid"/>
        <w:tblW w:w="8637" w:type="dxa"/>
        <w:tblInd w:w="720" w:type="dxa"/>
        <w:tblLayout w:type="fixed"/>
        <w:tblLook w:val="04A0" w:firstRow="1" w:lastRow="0" w:firstColumn="1" w:lastColumn="0" w:noHBand="0" w:noVBand="1"/>
      </w:tblPr>
      <w:tblGrid>
        <w:gridCol w:w="5371"/>
        <w:gridCol w:w="1633"/>
        <w:gridCol w:w="1625"/>
        <w:gridCol w:w="8"/>
      </w:tblGrid>
      <w:tr w:rsidR="006563F1" w:rsidRPr="00D948C1" w14:paraId="0BDC29F3" w14:textId="77777777" w:rsidTr="00530212">
        <w:trPr>
          <w:gridAfter w:val="1"/>
          <w:wAfter w:w="8" w:type="dxa"/>
        </w:trPr>
        <w:tc>
          <w:tcPr>
            <w:tcW w:w="8629" w:type="dxa"/>
            <w:gridSpan w:val="3"/>
            <w:shd w:val="clear" w:color="auto" w:fill="D9D9D9" w:themeFill="background1" w:themeFillShade="D9"/>
          </w:tcPr>
          <w:p w14:paraId="524B03A5" w14:textId="4BCE9E2D" w:rsidR="006563F1" w:rsidRPr="00D948C1" w:rsidRDefault="006563F1" w:rsidP="006563F1">
            <w:pPr>
              <w:ind w:right="410"/>
              <w:rPr>
                <w:b/>
                <w:bCs/>
                <w:szCs w:val="24"/>
              </w:rPr>
            </w:pPr>
            <w:r w:rsidRPr="00D948C1">
              <w:rPr>
                <w:b/>
                <w:bCs/>
                <w:szCs w:val="24"/>
              </w:rPr>
              <w:t>Income</w:t>
            </w:r>
          </w:p>
        </w:tc>
      </w:tr>
      <w:tr w:rsidR="001011C7" w:rsidRPr="00DF39E9" w14:paraId="2C43A9A1" w14:textId="77777777" w:rsidTr="00530212">
        <w:trPr>
          <w:trHeight w:val="278"/>
        </w:trPr>
        <w:tc>
          <w:tcPr>
            <w:tcW w:w="5371" w:type="dxa"/>
          </w:tcPr>
          <w:p w14:paraId="1841F412" w14:textId="6531D34F" w:rsidR="001011C7" w:rsidRPr="00DF39E9" w:rsidRDefault="001011C7" w:rsidP="001011C7">
            <w:pPr>
              <w:rPr>
                <w:szCs w:val="24"/>
              </w:rPr>
            </w:pPr>
            <w:r w:rsidRPr="00DF39E9">
              <w:rPr>
                <w:szCs w:val="24"/>
              </w:rPr>
              <w:t>Fees, charges, and other service income</w:t>
            </w:r>
          </w:p>
        </w:tc>
        <w:tc>
          <w:tcPr>
            <w:tcW w:w="1633" w:type="dxa"/>
          </w:tcPr>
          <w:p w14:paraId="353D1122" w14:textId="264D4C29" w:rsidR="001011C7" w:rsidRPr="00294859" w:rsidRDefault="00D24DB4" w:rsidP="001011C7">
            <w:pPr>
              <w:tabs>
                <w:tab w:val="decimal" w:pos="1080"/>
              </w:tabs>
              <w:jc w:val="right"/>
              <w:rPr>
                <w:szCs w:val="24"/>
              </w:rPr>
            </w:pPr>
            <w:r>
              <w:rPr>
                <w:szCs w:val="24"/>
              </w:rPr>
              <w:t>(4,504)</w:t>
            </w:r>
          </w:p>
        </w:tc>
        <w:tc>
          <w:tcPr>
            <w:tcW w:w="1633" w:type="dxa"/>
            <w:gridSpan w:val="2"/>
          </w:tcPr>
          <w:p w14:paraId="47C8006E" w14:textId="301CE0FE" w:rsidR="001011C7" w:rsidRPr="00DF39E9" w:rsidRDefault="001011C7" w:rsidP="001011C7">
            <w:pPr>
              <w:tabs>
                <w:tab w:val="decimal" w:pos="1080"/>
              </w:tabs>
              <w:jc w:val="right"/>
              <w:rPr>
                <w:szCs w:val="24"/>
              </w:rPr>
            </w:pPr>
            <w:r w:rsidRPr="00294859">
              <w:rPr>
                <w:szCs w:val="24"/>
              </w:rPr>
              <w:t>(</w:t>
            </w:r>
            <w:r>
              <w:rPr>
                <w:szCs w:val="24"/>
              </w:rPr>
              <w:t>2</w:t>
            </w:r>
            <w:r w:rsidRPr="00294859">
              <w:rPr>
                <w:szCs w:val="24"/>
              </w:rPr>
              <w:t>,</w:t>
            </w:r>
            <w:r>
              <w:rPr>
                <w:szCs w:val="24"/>
              </w:rPr>
              <w:t>291</w:t>
            </w:r>
            <w:r w:rsidRPr="00294859">
              <w:rPr>
                <w:szCs w:val="24"/>
              </w:rPr>
              <w:t>)</w:t>
            </w:r>
          </w:p>
        </w:tc>
      </w:tr>
      <w:tr w:rsidR="001011C7" w:rsidRPr="00DF39E9" w14:paraId="46248DBE" w14:textId="77777777" w:rsidTr="00530212">
        <w:trPr>
          <w:trHeight w:val="278"/>
        </w:trPr>
        <w:tc>
          <w:tcPr>
            <w:tcW w:w="5371" w:type="dxa"/>
          </w:tcPr>
          <w:p w14:paraId="3ACF50F2" w14:textId="77777777" w:rsidR="001011C7" w:rsidRPr="00DF39E9" w:rsidRDefault="001011C7" w:rsidP="001011C7">
            <w:pPr>
              <w:rPr>
                <w:szCs w:val="24"/>
              </w:rPr>
            </w:pPr>
            <w:r w:rsidRPr="00DF39E9">
              <w:rPr>
                <w:szCs w:val="24"/>
              </w:rPr>
              <w:t>Interest and investment income</w:t>
            </w:r>
          </w:p>
        </w:tc>
        <w:tc>
          <w:tcPr>
            <w:tcW w:w="1633" w:type="dxa"/>
          </w:tcPr>
          <w:p w14:paraId="3E611B05" w14:textId="051D4A71" w:rsidR="001011C7" w:rsidRPr="00294859" w:rsidRDefault="00D24DB4" w:rsidP="001011C7">
            <w:pPr>
              <w:tabs>
                <w:tab w:val="decimal" w:pos="1080"/>
              </w:tabs>
              <w:jc w:val="right"/>
              <w:rPr>
                <w:szCs w:val="24"/>
              </w:rPr>
            </w:pPr>
            <w:r>
              <w:rPr>
                <w:szCs w:val="24"/>
              </w:rPr>
              <w:t>(2,120)</w:t>
            </w:r>
          </w:p>
        </w:tc>
        <w:tc>
          <w:tcPr>
            <w:tcW w:w="1633" w:type="dxa"/>
            <w:gridSpan w:val="2"/>
          </w:tcPr>
          <w:p w14:paraId="5414A429" w14:textId="3F4D3AC4" w:rsidR="001011C7" w:rsidRPr="00DF39E9" w:rsidRDefault="001011C7" w:rsidP="001011C7">
            <w:pPr>
              <w:tabs>
                <w:tab w:val="decimal" w:pos="1080"/>
              </w:tabs>
              <w:jc w:val="right"/>
              <w:rPr>
                <w:szCs w:val="24"/>
              </w:rPr>
            </w:pPr>
            <w:r>
              <w:rPr>
                <w:szCs w:val="24"/>
              </w:rPr>
              <w:t>(2,291)</w:t>
            </w:r>
          </w:p>
        </w:tc>
      </w:tr>
      <w:tr w:rsidR="001011C7" w:rsidRPr="00DF39E9" w14:paraId="177EA97B" w14:textId="77777777" w:rsidTr="00530212">
        <w:tc>
          <w:tcPr>
            <w:tcW w:w="5371" w:type="dxa"/>
          </w:tcPr>
          <w:p w14:paraId="035E95AF" w14:textId="541BB0CE" w:rsidR="001011C7" w:rsidRPr="00DF39E9" w:rsidRDefault="001011C7" w:rsidP="001011C7">
            <w:pPr>
              <w:rPr>
                <w:szCs w:val="24"/>
              </w:rPr>
            </w:pPr>
            <w:r w:rsidRPr="00DF39E9">
              <w:rPr>
                <w:szCs w:val="24"/>
              </w:rPr>
              <w:t>Income from council tax, business rates and revenue support grant</w:t>
            </w:r>
          </w:p>
        </w:tc>
        <w:tc>
          <w:tcPr>
            <w:tcW w:w="1633" w:type="dxa"/>
            <w:vAlign w:val="center"/>
          </w:tcPr>
          <w:p w14:paraId="5EA0FE04" w14:textId="794AA3A3" w:rsidR="001011C7" w:rsidRPr="00294859" w:rsidRDefault="00D24DB4" w:rsidP="001011C7">
            <w:pPr>
              <w:tabs>
                <w:tab w:val="decimal" w:pos="1080"/>
              </w:tabs>
              <w:jc w:val="right"/>
              <w:rPr>
                <w:szCs w:val="24"/>
              </w:rPr>
            </w:pPr>
            <w:r>
              <w:rPr>
                <w:szCs w:val="24"/>
              </w:rPr>
              <w:t>(73,844)</w:t>
            </w:r>
          </w:p>
        </w:tc>
        <w:tc>
          <w:tcPr>
            <w:tcW w:w="1633" w:type="dxa"/>
            <w:gridSpan w:val="2"/>
            <w:vAlign w:val="center"/>
          </w:tcPr>
          <w:p w14:paraId="611FFB8D" w14:textId="395B8D2C" w:rsidR="001011C7" w:rsidRPr="00DF39E9" w:rsidRDefault="001011C7" w:rsidP="001011C7">
            <w:pPr>
              <w:tabs>
                <w:tab w:val="decimal" w:pos="1080"/>
              </w:tabs>
              <w:jc w:val="right"/>
              <w:rPr>
                <w:szCs w:val="24"/>
              </w:rPr>
            </w:pPr>
            <w:r w:rsidRPr="00294859">
              <w:rPr>
                <w:szCs w:val="24"/>
              </w:rPr>
              <w:t>(70,122)</w:t>
            </w:r>
          </w:p>
        </w:tc>
      </w:tr>
      <w:tr w:rsidR="001011C7" w:rsidRPr="00DF39E9" w14:paraId="0A633656" w14:textId="77777777" w:rsidTr="00530212">
        <w:trPr>
          <w:trHeight w:val="278"/>
        </w:trPr>
        <w:tc>
          <w:tcPr>
            <w:tcW w:w="5371" w:type="dxa"/>
          </w:tcPr>
          <w:p w14:paraId="71389E76" w14:textId="77777777" w:rsidR="001011C7" w:rsidRPr="00DF39E9" w:rsidRDefault="001011C7" w:rsidP="001011C7">
            <w:pPr>
              <w:rPr>
                <w:szCs w:val="24"/>
              </w:rPr>
            </w:pPr>
            <w:r w:rsidRPr="00DF39E9">
              <w:rPr>
                <w:szCs w:val="24"/>
              </w:rPr>
              <w:t>Government grants and contributions</w:t>
            </w:r>
          </w:p>
        </w:tc>
        <w:tc>
          <w:tcPr>
            <w:tcW w:w="1633" w:type="dxa"/>
          </w:tcPr>
          <w:p w14:paraId="2423F959" w14:textId="1F12227F" w:rsidR="001011C7" w:rsidRPr="00294859" w:rsidRDefault="00D24DB4" w:rsidP="001011C7">
            <w:pPr>
              <w:tabs>
                <w:tab w:val="decimal" w:pos="1080"/>
              </w:tabs>
              <w:jc w:val="right"/>
              <w:rPr>
                <w:szCs w:val="24"/>
              </w:rPr>
            </w:pPr>
            <w:r>
              <w:rPr>
                <w:szCs w:val="24"/>
              </w:rPr>
              <w:t>(10,360)</w:t>
            </w:r>
          </w:p>
        </w:tc>
        <w:tc>
          <w:tcPr>
            <w:tcW w:w="1633" w:type="dxa"/>
            <w:gridSpan w:val="2"/>
          </w:tcPr>
          <w:p w14:paraId="28F70CBD" w14:textId="2525C789" w:rsidR="001011C7" w:rsidRPr="00DF39E9" w:rsidRDefault="001011C7" w:rsidP="001011C7">
            <w:pPr>
              <w:tabs>
                <w:tab w:val="decimal" w:pos="1080"/>
              </w:tabs>
              <w:jc w:val="right"/>
              <w:rPr>
                <w:szCs w:val="24"/>
              </w:rPr>
            </w:pPr>
            <w:r w:rsidRPr="00294859">
              <w:rPr>
                <w:szCs w:val="24"/>
              </w:rPr>
              <w:t>(8,665)</w:t>
            </w:r>
          </w:p>
        </w:tc>
      </w:tr>
      <w:tr w:rsidR="001011C7" w:rsidRPr="00DF39E9" w14:paraId="333A40D6" w14:textId="77777777" w:rsidTr="00530212">
        <w:trPr>
          <w:trHeight w:val="278"/>
        </w:trPr>
        <w:tc>
          <w:tcPr>
            <w:tcW w:w="5371" w:type="dxa"/>
          </w:tcPr>
          <w:p w14:paraId="1B2833D2" w14:textId="77777777" w:rsidR="001011C7" w:rsidRPr="00DF39E9" w:rsidRDefault="001011C7" w:rsidP="001011C7">
            <w:pPr>
              <w:rPr>
                <w:b/>
                <w:bCs/>
                <w:szCs w:val="24"/>
              </w:rPr>
            </w:pPr>
            <w:r w:rsidRPr="00DF39E9">
              <w:rPr>
                <w:b/>
                <w:bCs/>
                <w:szCs w:val="24"/>
              </w:rPr>
              <w:t>Total Income</w:t>
            </w:r>
          </w:p>
        </w:tc>
        <w:tc>
          <w:tcPr>
            <w:tcW w:w="1633" w:type="dxa"/>
          </w:tcPr>
          <w:p w14:paraId="7058CA11" w14:textId="20D3AC73" w:rsidR="001011C7" w:rsidRPr="00294859" w:rsidRDefault="00D24DB4" w:rsidP="001011C7">
            <w:pPr>
              <w:tabs>
                <w:tab w:val="decimal" w:pos="1080"/>
              </w:tabs>
              <w:jc w:val="right"/>
              <w:rPr>
                <w:b/>
                <w:szCs w:val="24"/>
              </w:rPr>
            </w:pPr>
            <w:r>
              <w:rPr>
                <w:b/>
                <w:szCs w:val="24"/>
              </w:rPr>
              <w:t>(90,828)</w:t>
            </w:r>
          </w:p>
        </w:tc>
        <w:tc>
          <w:tcPr>
            <w:tcW w:w="1633" w:type="dxa"/>
            <w:gridSpan w:val="2"/>
          </w:tcPr>
          <w:p w14:paraId="1668F413" w14:textId="6FFA0877" w:rsidR="001011C7" w:rsidRPr="00DF39E9" w:rsidRDefault="001011C7" w:rsidP="001011C7">
            <w:pPr>
              <w:tabs>
                <w:tab w:val="decimal" w:pos="1080"/>
              </w:tabs>
              <w:jc w:val="right"/>
              <w:rPr>
                <w:b/>
                <w:bCs/>
                <w:szCs w:val="24"/>
              </w:rPr>
            </w:pPr>
            <w:r w:rsidRPr="00294859">
              <w:rPr>
                <w:b/>
                <w:szCs w:val="24"/>
              </w:rPr>
              <w:t>(83,369)</w:t>
            </w:r>
          </w:p>
        </w:tc>
      </w:tr>
    </w:tbl>
    <w:p w14:paraId="0C40016D" w14:textId="77777777" w:rsidR="00746F3D" w:rsidRPr="00DF39E9" w:rsidRDefault="00746F3D"/>
    <w:tbl>
      <w:tblPr>
        <w:tblStyle w:val="TableGrid"/>
        <w:tblW w:w="8642" w:type="dxa"/>
        <w:tblInd w:w="720" w:type="dxa"/>
        <w:tblLook w:val="04A0" w:firstRow="1" w:lastRow="0" w:firstColumn="1" w:lastColumn="0" w:noHBand="0" w:noVBand="1"/>
      </w:tblPr>
      <w:tblGrid>
        <w:gridCol w:w="5374"/>
        <w:gridCol w:w="1635"/>
        <w:gridCol w:w="1633"/>
      </w:tblGrid>
      <w:tr w:rsidR="002C390E" w:rsidRPr="00D948C1" w14:paraId="1AD2AFF0" w14:textId="77777777" w:rsidTr="00C4656D">
        <w:trPr>
          <w:trHeight w:val="278"/>
        </w:trPr>
        <w:tc>
          <w:tcPr>
            <w:tcW w:w="5374" w:type="dxa"/>
          </w:tcPr>
          <w:p w14:paraId="2ED2A97A" w14:textId="0D10EC38" w:rsidR="002C390E" w:rsidRPr="00DF39E9" w:rsidRDefault="000F6495" w:rsidP="000F5BFB">
            <w:pPr>
              <w:rPr>
                <w:b/>
                <w:bCs/>
                <w:szCs w:val="24"/>
              </w:rPr>
            </w:pPr>
            <w:r>
              <w:rPr>
                <w:b/>
                <w:bCs/>
                <w:szCs w:val="24"/>
              </w:rPr>
              <w:t>(S</w:t>
            </w:r>
            <w:r w:rsidR="002C390E" w:rsidRPr="00DF39E9">
              <w:rPr>
                <w:b/>
                <w:bCs/>
                <w:szCs w:val="24"/>
              </w:rPr>
              <w:t>urplus</w:t>
            </w:r>
            <w:r>
              <w:rPr>
                <w:b/>
                <w:bCs/>
                <w:szCs w:val="24"/>
              </w:rPr>
              <w:t>)</w:t>
            </w:r>
            <w:r w:rsidR="00972859">
              <w:rPr>
                <w:b/>
                <w:bCs/>
                <w:szCs w:val="24"/>
              </w:rPr>
              <w:t xml:space="preserve"> or </w:t>
            </w:r>
            <w:r w:rsidR="00CE3033">
              <w:rPr>
                <w:b/>
                <w:bCs/>
                <w:szCs w:val="24"/>
              </w:rPr>
              <w:t>Deficit</w:t>
            </w:r>
            <w:r w:rsidR="002C390E" w:rsidRPr="00DF39E9">
              <w:rPr>
                <w:b/>
                <w:bCs/>
                <w:szCs w:val="24"/>
              </w:rPr>
              <w:t xml:space="preserve"> on the provision of services</w:t>
            </w:r>
          </w:p>
        </w:tc>
        <w:tc>
          <w:tcPr>
            <w:tcW w:w="1635" w:type="dxa"/>
            <w:vAlign w:val="center"/>
          </w:tcPr>
          <w:p w14:paraId="62BC7CF8" w14:textId="77CA19C4" w:rsidR="002C390E" w:rsidRPr="00294859" w:rsidRDefault="00065BCB" w:rsidP="001011C7">
            <w:pPr>
              <w:tabs>
                <w:tab w:val="decimal" w:pos="1080"/>
              </w:tabs>
              <w:jc w:val="right"/>
              <w:rPr>
                <w:b/>
                <w:szCs w:val="24"/>
              </w:rPr>
            </w:pPr>
            <w:r>
              <w:rPr>
                <w:b/>
                <w:szCs w:val="24"/>
              </w:rPr>
              <w:t>2,8</w:t>
            </w:r>
            <w:r w:rsidR="00A46CB2">
              <w:rPr>
                <w:b/>
                <w:szCs w:val="24"/>
              </w:rPr>
              <w:t>3</w:t>
            </w:r>
            <w:r>
              <w:rPr>
                <w:b/>
                <w:szCs w:val="24"/>
              </w:rPr>
              <w:t>4</w:t>
            </w:r>
          </w:p>
        </w:tc>
        <w:tc>
          <w:tcPr>
            <w:tcW w:w="1633" w:type="dxa"/>
            <w:vAlign w:val="center"/>
          </w:tcPr>
          <w:p w14:paraId="6F48481C" w14:textId="130C2AD6" w:rsidR="002C390E" w:rsidRPr="00D948C1" w:rsidRDefault="001011C7" w:rsidP="00C4656D">
            <w:pPr>
              <w:tabs>
                <w:tab w:val="decimal" w:pos="1080"/>
              </w:tabs>
              <w:jc w:val="right"/>
              <w:rPr>
                <w:b/>
                <w:bCs/>
                <w:szCs w:val="24"/>
              </w:rPr>
            </w:pPr>
            <w:r w:rsidRPr="00294859">
              <w:rPr>
                <w:b/>
                <w:szCs w:val="24"/>
              </w:rPr>
              <w:t>3,054</w:t>
            </w:r>
          </w:p>
        </w:tc>
      </w:tr>
    </w:tbl>
    <w:p w14:paraId="0053A330" w14:textId="77777777" w:rsidR="00D43423" w:rsidRPr="0062713E" w:rsidRDefault="00D43423" w:rsidP="00D43423"/>
    <w:p w14:paraId="77F81093" w14:textId="51EF9C41" w:rsidR="00920F2A" w:rsidRPr="00D948C1" w:rsidRDefault="00C52475" w:rsidP="006563F1">
      <w:pPr>
        <w:pStyle w:val="Heading2"/>
        <w:jc w:val="left"/>
        <w:rPr>
          <w:sz w:val="24"/>
          <w:szCs w:val="24"/>
        </w:rPr>
      </w:pPr>
      <w:bookmarkStart w:id="86" w:name="_29_Significant_Judgements"/>
      <w:bookmarkStart w:id="87" w:name="_Toc233717548"/>
      <w:bookmarkEnd w:id="86"/>
      <w:r w:rsidRPr="77119DA7">
        <w:rPr>
          <w:sz w:val="24"/>
          <w:szCs w:val="24"/>
        </w:rPr>
        <w:t>2</w:t>
      </w:r>
      <w:r w:rsidR="00B62A26">
        <w:rPr>
          <w:sz w:val="24"/>
          <w:szCs w:val="24"/>
        </w:rPr>
        <w:t>9</w:t>
      </w:r>
      <w:r>
        <w:tab/>
      </w:r>
      <w:bookmarkStart w:id="88" w:name="N28"/>
      <w:bookmarkEnd w:id="88"/>
      <w:r w:rsidR="00BA769B" w:rsidRPr="77119DA7">
        <w:rPr>
          <w:sz w:val="24"/>
          <w:szCs w:val="24"/>
        </w:rPr>
        <w:t xml:space="preserve">Significant </w:t>
      </w:r>
      <w:r w:rsidR="00920F2A" w:rsidRPr="77119DA7">
        <w:rPr>
          <w:sz w:val="24"/>
          <w:szCs w:val="24"/>
        </w:rPr>
        <w:t>Judgements</w:t>
      </w:r>
      <w:bookmarkEnd w:id="87"/>
    </w:p>
    <w:p w14:paraId="02A0C673" w14:textId="77777777" w:rsidR="00920F2A" w:rsidRPr="00D948C1" w:rsidRDefault="00920F2A" w:rsidP="007446B1">
      <w:pPr>
        <w:tabs>
          <w:tab w:val="decimal" w:pos="709"/>
        </w:tabs>
        <w:ind w:left="709"/>
      </w:pPr>
    </w:p>
    <w:p w14:paraId="6F7F8BE9" w14:textId="6ED2D7B7" w:rsidR="005E1E00" w:rsidRPr="001011C7" w:rsidRDefault="005E1E00" w:rsidP="007446B1">
      <w:pPr>
        <w:ind w:left="720"/>
        <w:rPr>
          <w:u w:val="single"/>
        </w:rPr>
      </w:pPr>
      <w:r w:rsidRPr="79AA5BEA">
        <w:rPr>
          <w:u w:val="single"/>
        </w:rPr>
        <w:t xml:space="preserve">Joint Operation – </w:t>
      </w:r>
      <w:proofErr w:type="gramStart"/>
      <w:r w:rsidRPr="79AA5BEA">
        <w:rPr>
          <w:u w:val="single"/>
        </w:rPr>
        <w:t>North West</w:t>
      </w:r>
      <w:proofErr w:type="gramEnd"/>
      <w:r w:rsidRPr="79AA5BEA">
        <w:rPr>
          <w:u w:val="single"/>
        </w:rPr>
        <w:t xml:space="preserve"> FireControl</w:t>
      </w:r>
    </w:p>
    <w:p w14:paraId="5DF5D385" w14:textId="1A486D79" w:rsidR="005E1E00" w:rsidRPr="001011C7" w:rsidRDefault="005E1E00" w:rsidP="007446B1">
      <w:pPr>
        <w:spacing w:after="240"/>
        <w:ind w:left="720"/>
        <w:rPr>
          <w:rFonts w:cs="Arial"/>
          <w:lang w:eastAsia="en-GB"/>
        </w:rPr>
      </w:pPr>
      <w:r w:rsidRPr="79AA5BEA">
        <w:rPr>
          <w:rFonts w:cs="Arial"/>
          <w:lang w:eastAsia="en-GB"/>
        </w:rPr>
        <w:t xml:space="preserve">An assessment for Group Accounting requirements has taken place during </w:t>
      </w:r>
      <w:r w:rsidR="001A42DD">
        <w:rPr>
          <w:rFonts w:cs="Arial"/>
          <w:lang w:eastAsia="en-GB"/>
        </w:rPr>
        <w:t>2025-26</w:t>
      </w:r>
      <w:r w:rsidRPr="79AA5BEA">
        <w:rPr>
          <w:rFonts w:cs="Arial"/>
          <w:lang w:eastAsia="en-GB"/>
        </w:rPr>
        <w:t xml:space="preserve"> in respect of NW FireControl Limited. This is in accordance with the Code of Practice on Local Authority Accounting in the United Kingdom Based on International Financial Reporting Standards (IFRS 10, 11 &amp; 12).</w:t>
      </w:r>
    </w:p>
    <w:p w14:paraId="3AC06EC8" w14:textId="305F3A0A" w:rsidR="005E1E00" w:rsidRPr="00D948C1" w:rsidRDefault="005E1E00" w:rsidP="007446B1">
      <w:pPr>
        <w:spacing w:after="240"/>
        <w:ind w:left="720"/>
        <w:rPr>
          <w:rFonts w:cs="Arial"/>
          <w:lang w:eastAsia="en-GB"/>
        </w:rPr>
      </w:pPr>
      <w:r w:rsidRPr="79AA5BEA">
        <w:rPr>
          <w:rFonts w:cs="Arial"/>
          <w:lang w:eastAsia="en-GB"/>
        </w:rPr>
        <w:t xml:space="preserve">It has been determined that the company is governed by Joint Control </w:t>
      </w:r>
      <w:r w:rsidR="000F5BFB" w:rsidRPr="79AA5BEA">
        <w:rPr>
          <w:rFonts w:cs="Arial"/>
          <w:lang w:eastAsia="en-GB"/>
        </w:rPr>
        <w:t>since</w:t>
      </w:r>
      <w:r w:rsidRPr="79AA5BEA">
        <w:rPr>
          <w:rFonts w:cs="Arial"/>
          <w:lang w:eastAsia="en-GB"/>
        </w:rPr>
        <w:t xml:space="preserve"> unanimous consent exists for key decisions and that each Authority has equal voting rights. This joint arrangement has been deemed to be a Joint Operation as the parties have rights to the assets, and obligations for the liabilities relating to the arrangement, and on this basis, the Authority’s 25% share of the transactions and balances of NW FireControl Limited have been recognised within the accounts.</w:t>
      </w:r>
    </w:p>
    <w:p w14:paraId="1ED1A0B1" w14:textId="08D8E307" w:rsidR="009B6F2A" w:rsidRPr="00D948C1" w:rsidRDefault="00B62A26" w:rsidP="006563F1">
      <w:pPr>
        <w:pStyle w:val="Heading2"/>
        <w:jc w:val="left"/>
        <w:rPr>
          <w:sz w:val="24"/>
          <w:szCs w:val="24"/>
        </w:rPr>
      </w:pPr>
      <w:bookmarkStart w:id="89" w:name="_30_Accounting_Policies"/>
      <w:bookmarkStart w:id="90" w:name="_Hlk170823081"/>
      <w:bookmarkStart w:id="91" w:name="_Toc233717549"/>
      <w:bookmarkEnd w:id="89"/>
      <w:r>
        <w:rPr>
          <w:sz w:val="24"/>
          <w:szCs w:val="24"/>
        </w:rPr>
        <w:t>30</w:t>
      </w:r>
      <w:r w:rsidR="00920F2A" w:rsidRPr="00D948C1">
        <w:rPr>
          <w:sz w:val="24"/>
          <w:szCs w:val="24"/>
        </w:rPr>
        <w:tab/>
      </w:r>
      <w:bookmarkStart w:id="92" w:name="N29"/>
      <w:bookmarkEnd w:id="92"/>
      <w:r w:rsidR="009B6F2A" w:rsidRPr="00D948C1">
        <w:rPr>
          <w:sz w:val="24"/>
          <w:szCs w:val="24"/>
        </w:rPr>
        <w:t>Accounting Policies</w:t>
      </w:r>
      <w:bookmarkEnd w:id="91"/>
    </w:p>
    <w:p w14:paraId="6B0E6E3B" w14:textId="77777777" w:rsidR="009B6F2A" w:rsidRPr="00D948C1" w:rsidRDefault="009B6F2A" w:rsidP="007446B1">
      <w:pPr>
        <w:rPr>
          <w:b/>
          <w:szCs w:val="24"/>
        </w:rPr>
      </w:pPr>
    </w:p>
    <w:p w14:paraId="23A7B5A9" w14:textId="77777777" w:rsidR="00FB3503" w:rsidRPr="00DA34EC" w:rsidRDefault="00FB3503" w:rsidP="007446B1">
      <w:pPr>
        <w:ind w:left="720"/>
        <w:rPr>
          <w:b/>
        </w:rPr>
      </w:pPr>
      <w:r w:rsidRPr="2DDE738B">
        <w:rPr>
          <w:b/>
        </w:rPr>
        <w:t>a</w:t>
      </w:r>
      <w:r>
        <w:tab/>
      </w:r>
      <w:r w:rsidRPr="00DA34EC">
        <w:rPr>
          <w:b/>
        </w:rPr>
        <w:t>General Principles</w:t>
      </w:r>
    </w:p>
    <w:p w14:paraId="73F0E158" w14:textId="77777777" w:rsidR="00FB3503" w:rsidRPr="00DA34EC" w:rsidRDefault="00FB3503" w:rsidP="007446B1">
      <w:pPr>
        <w:pStyle w:val="Footer"/>
        <w:tabs>
          <w:tab w:val="clear" w:pos="4153"/>
          <w:tab w:val="clear" w:pos="8306"/>
        </w:tabs>
        <w:ind w:left="720"/>
      </w:pPr>
    </w:p>
    <w:p w14:paraId="0BDB833E" w14:textId="7B72B9E2" w:rsidR="00FB3503" w:rsidRPr="001011C7" w:rsidRDefault="00BB513F" w:rsidP="77119DA7">
      <w:pPr>
        <w:pStyle w:val="BodyTextIndent2"/>
        <w:ind w:left="1440" w:firstLine="0"/>
      </w:pPr>
      <w:r>
        <w:t xml:space="preserve">The Statement of Accounts summarises the Authority’s transactions for the </w:t>
      </w:r>
      <w:r w:rsidR="001A42DD">
        <w:t>2025-26</w:t>
      </w:r>
      <w:r>
        <w:t xml:space="preserve"> financial year and its position at the year end of 31 March 202</w:t>
      </w:r>
      <w:r w:rsidR="001011C7">
        <w:t>6</w:t>
      </w:r>
      <w:r>
        <w:t>.</w:t>
      </w:r>
      <w:r w:rsidR="00365CAA">
        <w:t xml:space="preserve"> </w:t>
      </w:r>
    </w:p>
    <w:p w14:paraId="087118A5" w14:textId="770F6F25" w:rsidR="00FB3503" w:rsidRPr="001011C7" w:rsidRDefault="00FB3503" w:rsidP="77119DA7">
      <w:pPr>
        <w:pStyle w:val="BodyTextIndent2"/>
        <w:ind w:left="1440" w:firstLine="0"/>
      </w:pPr>
    </w:p>
    <w:p w14:paraId="7B01DBB6" w14:textId="16E3A746" w:rsidR="00FB3503" w:rsidRPr="00DA34EC" w:rsidRDefault="00BB513F" w:rsidP="007446B1">
      <w:pPr>
        <w:pStyle w:val="BodyTextIndent2"/>
        <w:ind w:left="1440" w:firstLine="0"/>
      </w:pPr>
      <w:r>
        <w:t>The Authority is required to prepare an annual Statement of Accounts by the Accounts and Audit Regulations 2015</w:t>
      </w:r>
      <w:r w:rsidR="00C52475">
        <w:t xml:space="preserve">, </w:t>
      </w:r>
      <w:r w:rsidR="00D01A7F">
        <w:t>as amended by the Accounts and Audit (Coronavirus)(Amendment) Regulations 202</w:t>
      </w:r>
      <w:r w:rsidR="00D63CF1">
        <w:t>1</w:t>
      </w:r>
      <w:r>
        <w:t xml:space="preserve">, which those regulations require to be </w:t>
      </w:r>
      <w:r>
        <w:lastRenderedPageBreak/>
        <w:t xml:space="preserve">prepared in accordance with proper accounting practices. These practices primarily comprise the Code of Practice on Local Authority Accounting in the United Kingdom – </w:t>
      </w:r>
      <w:r w:rsidR="001A42DD">
        <w:t>2025-26</w:t>
      </w:r>
      <w:r>
        <w:t>, supported by International Financial Reporting Standards (IFRS).</w:t>
      </w:r>
    </w:p>
    <w:p w14:paraId="1156C0F1" w14:textId="77777777" w:rsidR="00FB3503" w:rsidRPr="00DA34EC" w:rsidRDefault="00FB3503" w:rsidP="007446B1">
      <w:pPr>
        <w:pStyle w:val="BodyTextIndent2"/>
        <w:ind w:left="1440" w:firstLine="0"/>
      </w:pPr>
    </w:p>
    <w:p w14:paraId="48349FB6" w14:textId="450D33BB" w:rsidR="00FB3503" w:rsidRPr="00DA34EC" w:rsidRDefault="00FB3503" w:rsidP="007446B1">
      <w:pPr>
        <w:pStyle w:val="BodyTextIndent2"/>
        <w:ind w:left="1440" w:firstLine="0"/>
      </w:pPr>
      <w:r>
        <w:t>The accounting convention adopted in the Statement of Accounts is principally historical cost, modified by the revaluation of certain categories of non-current assets and financial instruments.</w:t>
      </w:r>
    </w:p>
    <w:p w14:paraId="25DFF1DE" w14:textId="77777777" w:rsidR="00FB3503" w:rsidRPr="00DA34EC" w:rsidRDefault="00FB3503" w:rsidP="007446B1">
      <w:pPr>
        <w:ind w:left="720"/>
      </w:pPr>
    </w:p>
    <w:p w14:paraId="1B4EA8F1" w14:textId="77777777" w:rsidR="00FB3503" w:rsidRPr="00DA34EC" w:rsidRDefault="00FB3503" w:rsidP="007446B1">
      <w:pPr>
        <w:ind w:left="720"/>
        <w:rPr>
          <w:b/>
        </w:rPr>
      </w:pPr>
      <w:r w:rsidRPr="00DA34EC">
        <w:rPr>
          <w:b/>
        </w:rPr>
        <w:t>b</w:t>
      </w:r>
      <w:r>
        <w:tab/>
      </w:r>
      <w:r w:rsidRPr="00DA34EC">
        <w:rPr>
          <w:b/>
        </w:rPr>
        <w:t>Accruals of income and expenditure</w:t>
      </w:r>
    </w:p>
    <w:p w14:paraId="33B3F07B" w14:textId="77777777" w:rsidR="00FB3503" w:rsidRPr="00DA34EC" w:rsidRDefault="00FB3503" w:rsidP="007446B1">
      <w:pPr>
        <w:ind w:left="720"/>
      </w:pPr>
    </w:p>
    <w:p w14:paraId="191D6ABD" w14:textId="68BA4C44" w:rsidR="00FB3503" w:rsidRPr="001011C7" w:rsidRDefault="00FB3503" w:rsidP="007446B1">
      <w:pPr>
        <w:pStyle w:val="BodyTextIndent"/>
        <w:ind w:left="1440"/>
        <w:rPr>
          <w:lang w:val="en-GB"/>
        </w:rPr>
      </w:pPr>
      <w:r w:rsidRPr="13A46D37">
        <w:rPr>
          <w:lang w:val="en-GB"/>
        </w:rPr>
        <w:t>Activity is accounted for in the year that it takes place, not simply when cash payments are made or received</w:t>
      </w:r>
      <w:r w:rsidR="2FA79221" w:rsidRPr="13A46D37">
        <w:rPr>
          <w:lang w:val="en-GB"/>
        </w:rPr>
        <w:t xml:space="preserve"> in accordance with section 2.7 of IFRS 15.</w:t>
      </w:r>
      <w:r w:rsidRPr="13A46D37">
        <w:rPr>
          <w:lang w:val="en-GB"/>
        </w:rPr>
        <w:t xml:space="preserve"> In particular:</w:t>
      </w:r>
    </w:p>
    <w:p w14:paraId="6696749A" w14:textId="2B251D7C" w:rsidR="2E0ABF7F" w:rsidRPr="001011C7" w:rsidRDefault="2E0ABF7F" w:rsidP="00DA34EC">
      <w:pPr>
        <w:pStyle w:val="BodyTextIndent"/>
        <w:numPr>
          <w:ilvl w:val="0"/>
          <w:numId w:val="10"/>
        </w:numPr>
        <w:rPr>
          <w:lang w:val="en-GB"/>
        </w:rPr>
      </w:pPr>
      <w:r w:rsidRPr="13A46D37">
        <w:rPr>
          <w:lang w:val="en-GB"/>
        </w:rPr>
        <w:t>Revenue from provision of services is recognised when the Authority can measure reliability of the transaction.</w:t>
      </w:r>
    </w:p>
    <w:p w14:paraId="18949626" w14:textId="77777777" w:rsidR="00FB3503" w:rsidRPr="001011C7" w:rsidRDefault="00FB3503" w:rsidP="007446B1">
      <w:pPr>
        <w:pStyle w:val="BodyTextIndent"/>
        <w:numPr>
          <w:ilvl w:val="0"/>
          <w:numId w:val="10"/>
        </w:numPr>
        <w:rPr>
          <w:lang w:val="en-GB"/>
        </w:rPr>
      </w:pPr>
      <w:r w:rsidRPr="13A46D37">
        <w:rPr>
          <w:lang w:val="en-GB"/>
        </w:rPr>
        <w:t>Supplies are recorded as expenditure when they are consumed – where there is a gap between the date supplies are received and their consumption, they are carried as inventories on the Balance Sheet.</w:t>
      </w:r>
    </w:p>
    <w:p w14:paraId="17510035" w14:textId="77777777" w:rsidR="00FB3503" w:rsidRPr="001011C7" w:rsidRDefault="00FB3503" w:rsidP="007446B1">
      <w:pPr>
        <w:pStyle w:val="BodyTextIndent"/>
        <w:numPr>
          <w:ilvl w:val="0"/>
          <w:numId w:val="10"/>
        </w:numPr>
        <w:rPr>
          <w:lang w:val="en-GB"/>
        </w:rPr>
      </w:pPr>
      <w:r w:rsidRPr="13A46D37">
        <w:rPr>
          <w:lang w:val="en-GB"/>
        </w:rPr>
        <w:t>Expenses in relation to services received (including services provided by employees) are recorded as expenditure when the services are received rather than when payments are made.</w:t>
      </w:r>
    </w:p>
    <w:p w14:paraId="1981A0E9" w14:textId="70FDDCC6" w:rsidR="00FB3503" w:rsidRPr="001011C7" w:rsidRDefault="00FB3503" w:rsidP="007446B1">
      <w:pPr>
        <w:pStyle w:val="BodyTextIndent"/>
        <w:numPr>
          <w:ilvl w:val="0"/>
          <w:numId w:val="10"/>
        </w:numPr>
        <w:rPr>
          <w:lang w:val="en-GB"/>
        </w:rPr>
      </w:pPr>
      <w:r w:rsidRPr="13A46D37">
        <w:rPr>
          <w:lang w:val="en-GB"/>
        </w:rPr>
        <w:t xml:space="preserve">Interest receivable on investments and payable on borrowings is accounted for respectively as income and expenditure </w:t>
      </w:r>
      <w:r w:rsidR="0094180B" w:rsidRPr="13A46D37">
        <w:rPr>
          <w:lang w:val="en-GB"/>
        </w:rPr>
        <w:t>based on</w:t>
      </w:r>
      <w:r w:rsidRPr="13A46D37">
        <w:rPr>
          <w:lang w:val="en-GB"/>
        </w:rPr>
        <w:t xml:space="preserve"> the effective interest rate for the relevant financial instrument rather than the cash flows fixed or determined by the contract. </w:t>
      </w:r>
    </w:p>
    <w:p w14:paraId="1D06D234" w14:textId="42C20D82" w:rsidR="00FB3503" w:rsidRPr="001011C7" w:rsidRDefault="00FB3503" w:rsidP="007446B1">
      <w:pPr>
        <w:pStyle w:val="BodyTextIndent"/>
        <w:numPr>
          <w:ilvl w:val="0"/>
          <w:numId w:val="10"/>
        </w:numPr>
        <w:rPr>
          <w:lang w:val="en-GB"/>
        </w:rPr>
      </w:pPr>
      <w:r w:rsidRPr="13A46D37">
        <w:rPr>
          <w:lang w:val="en-GB"/>
        </w:rPr>
        <w:t>Where income and expenditure have been recognised but cash has not been received or paid, a debtor or a creditor for the relevant amount is recorded in the Balance Sheet. Where debts may not be settled, the balance of debtors is written down and a charge made to revenue for the income that might not be collected.</w:t>
      </w:r>
    </w:p>
    <w:p w14:paraId="29BADA47" w14:textId="77777777" w:rsidR="00703D67" w:rsidRPr="001011C7" w:rsidRDefault="00703D67" w:rsidP="007446B1">
      <w:pPr>
        <w:rPr>
          <w:b/>
        </w:rPr>
      </w:pPr>
    </w:p>
    <w:p w14:paraId="005490EA" w14:textId="77777777" w:rsidR="00FB3503" w:rsidRPr="001011C7" w:rsidRDefault="00FB3503" w:rsidP="007446B1">
      <w:pPr>
        <w:ind w:left="720"/>
        <w:rPr>
          <w:b/>
        </w:rPr>
      </w:pPr>
      <w:r w:rsidRPr="13A46D37">
        <w:rPr>
          <w:b/>
        </w:rPr>
        <w:t>c</w:t>
      </w:r>
      <w:r>
        <w:tab/>
      </w:r>
      <w:r w:rsidRPr="13A46D37">
        <w:rPr>
          <w:b/>
        </w:rPr>
        <w:t>Cash &amp; cash equivalents</w:t>
      </w:r>
    </w:p>
    <w:p w14:paraId="4748208C" w14:textId="77777777" w:rsidR="00FB3503" w:rsidRPr="001011C7" w:rsidRDefault="00FB3503" w:rsidP="007446B1">
      <w:pPr>
        <w:ind w:left="720"/>
        <w:rPr>
          <w:b/>
        </w:rPr>
      </w:pPr>
    </w:p>
    <w:p w14:paraId="351575E6" w14:textId="298D0C7E" w:rsidR="00FB3503" w:rsidRPr="001011C7" w:rsidRDefault="00FB3503" w:rsidP="007446B1">
      <w:pPr>
        <w:pStyle w:val="BodyTextIndent"/>
        <w:ind w:left="1440"/>
      </w:pPr>
      <w:r>
        <w:t>Cash is represented by cash in hand and deposits repayable without penalty on notice of not more than 24 hours. Cash equivalents are investments that mature in three months or less from the date of acquisition and that are readily convertible to known amounts of cash with insignificant risk of change in value.</w:t>
      </w:r>
    </w:p>
    <w:p w14:paraId="1358D505" w14:textId="77777777" w:rsidR="00FB3503" w:rsidRPr="001011C7" w:rsidRDefault="00FB3503" w:rsidP="007446B1">
      <w:pPr>
        <w:pStyle w:val="BodyTextIndent"/>
        <w:ind w:left="1440"/>
      </w:pPr>
    </w:p>
    <w:p w14:paraId="51F0D9D6" w14:textId="77777777" w:rsidR="00FB3503" w:rsidRPr="00DA34EC" w:rsidRDefault="00FB3503" w:rsidP="007446B1">
      <w:pPr>
        <w:pStyle w:val="BodyTextIndent"/>
        <w:ind w:left="1440"/>
      </w:pPr>
      <w:r>
        <w:t>In the Cash Flow Statement, cash and cash equivalents are shown net of bank overdrafts that are repayable on demand and form an integral part of the Authority’s cash management.</w:t>
      </w:r>
    </w:p>
    <w:p w14:paraId="33F636AC" w14:textId="761687A4" w:rsidR="00FB3503" w:rsidRPr="00DA34EC" w:rsidRDefault="00FB3503" w:rsidP="007446B1">
      <w:pPr>
        <w:rPr>
          <w:b/>
        </w:rPr>
      </w:pPr>
      <w:r w:rsidRPr="00D948C1">
        <w:rPr>
          <w:b/>
          <w:szCs w:val="24"/>
        </w:rPr>
        <w:tab/>
      </w:r>
    </w:p>
    <w:p w14:paraId="079C2813" w14:textId="77777777" w:rsidR="00FB3503" w:rsidRPr="001011C7" w:rsidRDefault="00FB3503" w:rsidP="007446B1">
      <w:pPr>
        <w:ind w:left="720"/>
        <w:rPr>
          <w:b/>
        </w:rPr>
      </w:pPr>
      <w:r w:rsidRPr="00DA34EC">
        <w:rPr>
          <w:b/>
        </w:rPr>
        <w:t>d</w:t>
      </w:r>
      <w:r>
        <w:tab/>
      </w:r>
      <w:r w:rsidRPr="13A46D37">
        <w:rPr>
          <w:b/>
        </w:rPr>
        <w:t>Charges to Revenue for Non-Current Assets</w:t>
      </w:r>
    </w:p>
    <w:p w14:paraId="0CBA0E3D" w14:textId="77777777" w:rsidR="00FB3503" w:rsidRPr="001011C7" w:rsidRDefault="00FB3503" w:rsidP="007446B1">
      <w:pPr>
        <w:ind w:left="720"/>
        <w:rPr>
          <w:highlight w:val="green"/>
        </w:rPr>
      </w:pPr>
    </w:p>
    <w:p w14:paraId="58C0E983" w14:textId="77777777" w:rsidR="00FB3503" w:rsidRPr="001011C7" w:rsidRDefault="00FB3503" w:rsidP="007446B1">
      <w:pPr>
        <w:pStyle w:val="BodyTextIndent"/>
        <w:ind w:left="1440"/>
        <w:rPr>
          <w:lang w:val="en-GB"/>
        </w:rPr>
      </w:pPr>
      <w:r w:rsidRPr="7D015F5B">
        <w:rPr>
          <w:lang w:val="en-GB"/>
        </w:rPr>
        <w:t>Services, support services and trading accounts are debited with the following amounts to record the cost of holding fixed assets during the year:</w:t>
      </w:r>
    </w:p>
    <w:p w14:paraId="7BCB3EFF" w14:textId="560B93A3" w:rsidR="00FB3503" w:rsidRPr="001011C7" w:rsidRDefault="00FB3503" w:rsidP="007446B1">
      <w:pPr>
        <w:pStyle w:val="BodyTextIndent"/>
        <w:numPr>
          <w:ilvl w:val="0"/>
          <w:numId w:val="11"/>
        </w:numPr>
        <w:rPr>
          <w:lang w:val="en-GB"/>
        </w:rPr>
      </w:pPr>
      <w:r w:rsidRPr="7D015F5B">
        <w:rPr>
          <w:lang w:val="en-GB"/>
        </w:rPr>
        <w:t>Depreciation attributable to the assets used by the relevant service</w:t>
      </w:r>
      <w:r w:rsidR="0094180B" w:rsidRPr="7D015F5B">
        <w:rPr>
          <w:lang w:val="en-GB"/>
        </w:rPr>
        <w:t>.</w:t>
      </w:r>
    </w:p>
    <w:p w14:paraId="3F3CB8DE" w14:textId="42BEC9E3" w:rsidR="00FB3503" w:rsidRPr="001011C7" w:rsidRDefault="00FB3503" w:rsidP="007446B1">
      <w:pPr>
        <w:pStyle w:val="BodyTextIndent"/>
        <w:numPr>
          <w:ilvl w:val="0"/>
          <w:numId w:val="11"/>
        </w:numPr>
        <w:rPr>
          <w:lang w:val="en-GB"/>
        </w:rPr>
      </w:pPr>
      <w:r w:rsidRPr="7D015F5B">
        <w:rPr>
          <w:lang w:val="en-GB"/>
        </w:rPr>
        <w:t>Revaluation and impairment losses on assets used by the service where there are no accumulated gains in the Revaluation Reserve against which the losses can be written off</w:t>
      </w:r>
    </w:p>
    <w:p w14:paraId="178CFCC9" w14:textId="77777777" w:rsidR="00FB3503" w:rsidRPr="001011C7" w:rsidRDefault="00FB3503" w:rsidP="007446B1">
      <w:pPr>
        <w:pStyle w:val="BodyTextIndent"/>
        <w:numPr>
          <w:ilvl w:val="0"/>
          <w:numId w:val="11"/>
        </w:numPr>
        <w:rPr>
          <w:lang w:val="en-GB"/>
        </w:rPr>
      </w:pPr>
      <w:r w:rsidRPr="7D015F5B">
        <w:rPr>
          <w:lang w:val="en-GB"/>
        </w:rPr>
        <w:t>Amortisation of intangible fixed assets attributable to the service.</w:t>
      </w:r>
    </w:p>
    <w:p w14:paraId="16CA6039" w14:textId="77777777" w:rsidR="00FB3503" w:rsidRPr="001011C7" w:rsidRDefault="00FB3503" w:rsidP="007446B1"/>
    <w:p w14:paraId="6CDA1CD5" w14:textId="77AC35AC" w:rsidR="00FB3503" w:rsidRPr="00DA34EC" w:rsidRDefault="00FB3503" w:rsidP="007446B1">
      <w:pPr>
        <w:pStyle w:val="BodyTextIndent"/>
        <w:ind w:left="1440"/>
        <w:rPr>
          <w:lang w:val="en-GB"/>
        </w:rPr>
      </w:pPr>
      <w:r w:rsidRPr="7D015F5B">
        <w:rPr>
          <w:lang w:val="en-GB"/>
        </w:rPr>
        <w:lastRenderedPageBreak/>
        <w:t>The Authority is not required to raise council tax to cover these charges. However, it is required to make an annual contribution from revenue (Minimum Revenue Provision (MRP)) towards the reduction in its overall borrowing requirement equal to either an amount calculated on a prudent basis determined by the Authority in accordance with statutory guidance, or a minimum of 4%</w:t>
      </w:r>
      <w:r w:rsidR="00F16F33" w:rsidRPr="7D015F5B">
        <w:rPr>
          <w:lang w:val="en-GB"/>
        </w:rPr>
        <w:t xml:space="preserve"> of the previous years’ Capital Financing Requirement balance</w:t>
      </w:r>
      <w:r w:rsidRPr="7D015F5B">
        <w:rPr>
          <w:lang w:val="en-GB"/>
        </w:rPr>
        <w:t>. In addition to the statutory MRP calculated, the Authority may also make voluntary MRP contributions in line with approved budgets and to reduce the ongoing borrowing requirement. Depreciation, impairment and impairment losses and amortisations are therefore replaced by the contribution in the General Fund Balance, by way of an adjusting transaction with the Capital Adjustment Account in the Movement in Reserves Statement for the difference between the two.</w:t>
      </w:r>
      <w:r w:rsidRPr="2DDE738B">
        <w:rPr>
          <w:lang w:val="en-GB"/>
        </w:rPr>
        <w:t xml:space="preserve"> </w:t>
      </w:r>
    </w:p>
    <w:p w14:paraId="047C80C0" w14:textId="595E8B4C" w:rsidR="00D45CFC" w:rsidRPr="00DA34EC" w:rsidRDefault="00D45CFC" w:rsidP="007446B1">
      <w:pPr>
        <w:rPr>
          <w:b/>
        </w:rPr>
      </w:pPr>
    </w:p>
    <w:p w14:paraId="3763E6DF" w14:textId="77777777" w:rsidR="00FB3503" w:rsidRPr="001C3A62" w:rsidRDefault="00FB3503" w:rsidP="007446B1">
      <w:pPr>
        <w:ind w:left="720"/>
        <w:rPr>
          <w:b/>
        </w:rPr>
      </w:pPr>
      <w:r w:rsidRPr="00DA34EC">
        <w:rPr>
          <w:b/>
        </w:rPr>
        <w:t>e</w:t>
      </w:r>
      <w:r>
        <w:tab/>
      </w:r>
      <w:r w:rsidRPr="001C3A62">
        <w:rPr>
          <w:b/>
        </w:rPr>
        <w:t>Employee Benefits</w:t>
      </w:r>
    </w:p>
    <w:p w14:paraId="0E9CB76E" w14:textId="77777777" w:rsidR="00FB3503" w:rsidRPr="001C3A62" w:rsidRDefault="00FB3503" w:rsidP="007446B1">
      <w:pPr>
        <w:ind w:left="720"/>
        <w:rPr>
          <w:b/>
        </w:rPr>
      </w:pPr>
    </w:p>
    <w:p w14:paraId="2D35B634" w14:textId="77777777" w:rsidR="00FB3503" w:rsidRPr="001C3A62" w:rsidRDefault="00FB3503" w:rsidP="007446B1">
      <w:pPr>
        <w:pStyle w:val="BodyTextIndent"/>
        <w:ind w:left="1440"/>
        <w:rPr>
          <w:b/>
        </w:rPr>
      </w:pPr>
      <w:r w:rsidRPr="001C3A62">
        <w:rPr>
          <w:b/>
        </w:rPr>
        <w:t>Benefits Payable During Employment</w:t>
      </w:r>
    </w:p>
    <w:p w14:paraId="009BA80F" w14:textId="77777777" w:rsidR="00FB3503" w:rsidRPr="001C3A62" w:rsidRDefault="00FB3503" w:rsidP="007446B1">
      <w:pPr>
        <w:pStyle w:val="BodyTextIndent"/>
        <w:ind w:left="1440"/>
        <w:rPr>
          <w:b/>
        </w:rPr>
      </w:pPr>
    </w:p>
    <w:p w14:paraId="6E8AFFA5" w14:textId="1602F9A3" w:rsidR="00FB3503" w:rsidRPr="00DA34EC" w:rsidRDefault="00FB3503" w:rsidP="007446B1">
      <w:pPr>
        <w:pStyle w:val="BodyTextIndent"/>
        <w:ind w:left="1440"/>
        <w:rPr>
          <w:lang w:val="en-GB"/>
        </w:rPr>
      </w:pPr>
      <w:r w:rsidRPr="001C3A62">
        <w:t>Short-term employee benefits are those due to be settled within 12 months of the year end. They include such benefits as wages and salaries, paid annual leave and paid sick leave and non-monetary benefits (</w:t>
      </w:r>
      <w:r w:rsidR="00AA3FF8" w:rsidRPr="001C3A62">
        <w:t>for example</w:t>
      </w:r>
      <w:r w:rsidRPr="001C3A62">
        <w:t xml:space="preserve"> cars) for current employees and are recognised as an expense for services in the year in which employees render service to the Authority. An accrual is made for the cost of holiday entitlements (or any form of leave, </w:t>
      </w:r>
      <w:r w:rsidR="00AA3FF8" w:rsidRPr="001C3A62">
        <w:rPr>
          <w:lang w:val="en-GB"/>
        </w:rPr>
        <w:t>for example</w:t>
      </w:r>
      <w:r w:rsidRPr="001C3A62">
        <w:t xml:space="preserve"> time off in lieu) earned by employees but not taken before the year end which employees can carry forward into the next financial year. The accrual is made at the wage and salary rates applicable in the current financial year (the best estimate of future rates at the time of the accounts). The accrual is charged to the surplus or deficit on provision of </w:t>
      </w:r>
      <w:r w:rsidR="001011C7" w:rsidRPr="001C3A62">
        <w:t>services but</w:t>
      </w:r>
      <w:r w:rsidRPr="001C3A62">
        <w:t xml:space="preserve"> then reversed out through the </w:t>
      </w:r>
      <w:r w:rsidRPr="001C3A62">
        <w:rPr>
          <w:lang w:val="en-GB"/>
        </w:rPr>
        <w:t>Movement in Reserves Statement so that holiday benefits are charged to revenue in the financial year in which the holiday absence occurs.</w:t>
      </w:r>
    </w:p>
    <w:p w14:paraId="657E3F9F" w14:textId="77777777" w:rsidR="00FB3503" w:rsidRPr="00D948C1" w:rsidRDefault="00FB3503" w:rsidP="007446B1">
      <w:pPr>
        <w:pStyle w:val="BodyTextIndent"/>
        <w:ind w:left="1440"/>
        <w:rPr>
          <w:szCs w:val="24"/>
          <w:lang w:val="en-GB"/>
        </w:rPr>
      </w:pPr>
    </w:p>
    <w:p w14:paraId="375BA4AF" w14:textId="58495F8B" w:rsidR="00FB3503" w:rsidRPr="001C3A62" w:rsidRDefault="00FB3503" w:rsidP="007446B1">
      <w:pPr>
        <w:pStyle w:val="BodyTextIndent"/>
        <w:ind w:left="1440"/>
        <w:rPr>
          <w:b/>
          <w:lang w:val="en-GB"/>
        </w:rPr>
      </w:pPr>
      <w:r w:rsidRPr="001C3A62">
        <w:rPr>
          <w:b/>
          <w:lang w:val="en-GB"/>
        </w:rPr>
        <w:t>Post Employment Benefits</w:t>
      </w:r>
    </w:p>
    <w:p w14:paraId="51C992F5" w14:textId="77777777" w:rsidR="00FB3503" w:rsidRPr="001C3A62" w:rsidRDefault="00FB3503" w:rsidP="007446B1">
      <w:pPr>
        <w:pStyle w:val="BodyTextIndent"/>
        <w:ind w:left="1440"/>
        <w:rPr>
          <w:b/>
          <w:lang w:val="en-GB"/>
        </w:rPr>
      </w:pPr>
    </w:p>
    <w:p w14:paraId="3D17A27C" w14:textId="77777777" w:rsidR="00FB3503" w:rsidRPr="001C3A62" w:rsidRDefault="00FB3503" w:rsidP="007446B1">
      <w:pPr>
        <w:pStyle w:val="BodyTextIndent"/>
        <w:ind w:left="1440"/>
        <w:rPr>
          <w:lang w:val="en-GB"/>
        </w:rPr>
      </w:pPr>
      <w:r w:rsidRPr="001C3A62">
        <w:rPr>
          <w:lang w:val="en-GB"/>
        </w:rPr>
        <w:t>Employees of the Authority are members of two separate pension schemes:</w:t>
      </w:r>
    </w:p>
    <w:p w14:paraId="4EC154F3" w14:textId="765FA40F" w:rsidR="00FB3503" w:rsidRPr="001C3A62" w:rsidRDefault="00FB3503" w:rsidP="007446B1">
      <w:pPr>
        <w:pStyle w:val="BodyTextIndent"/>
        <w:numPr>
          <w:ilvl w:val="0"/>
          <w:numId w:val="12"/>
        </w:numPr>
        <w:rPr>
          <w:lang w:val="en-GB"/>
        </w:rPr>
      </w:pPr>
      <w:r w:rsidRPr="001C3A62">
        <w:rPr>
          <w:lang w:val="en-GB"/>
        </w:rPr>
        <w:t>The Firefighters Pension Scheme, administered by Lancashire County Council</w:t>
      </w:r>
      <w:r w:rsidR="000A40E3" w:rsidRPr="001C3A62">
        <w:rPr>
          <w:lang w:val="en-GB"/>
        </w:rPr>
        <w:t>.</w:t>
      </w:r>
    </w:p>
    <w:p w14:paraId="69E4C950" w14:textId="4E25D85F" w:rsidR="00FB3503" w:rsidRPr="001C3A62" w:rsidRDefault="00FB3503" w:rsidP="007446B1">
      <w:pPr>
        <w:pStyle w:val="BodyTextIndent"/>
        <w:numPr>
          <w:ilvl w:val="0"/>
          <w:numId w:val="12"/>
        </w:numPr>
        <w:rPr>
          <w:lang w:val="en-GB"/>
        </w:rPr>
      </w:pPr>
      <w:r w:rsidRPr="001C3A62">
        <w:rPr>
          <w:lang w:val="en-GB"/>
        </w:rPr>
        <w:t>The Local Government Pension Scheme, administered by Lancashire County Council</w:t>
      </w:r>
      <w:r w:rsidR="000A40E3" w:rsidRPr="001C3A62">
        <w:rPr>
          <w:lang w:val="en-GB"/>
        </w:rPr>
        <w:t>.</w:t>
      </w:r>
    </w:p>
    <w:p w14:paraId="3AA88352" w14:textId="77777777" w:rsidR="001011C7" w:rsidRPr="001C3A62" w:rsidRDefault="001011C7" w:rsidP="001011C7">
      <w:pPr>
        <w:pStyle w:val="BodyTextIndent"/>
        <w:rPr>
          <w:lang w:val="en-GB"/>
        </w:rPr>
      </w:pPr>
    </w:p>
    <w:p w14:paraId="090BF681" w14:textId="77777777" w:rsidR="00FB3503" w:rsidRPr="001C3A62" w:rsidRDefault="00FB3503" w:rsidP="007446B1">
      <w:pPr>
        <w:pStyle w:val="BodyTextIndent"/>
        <w:ind w:left="1440"/>
        <w:rPr>
          <w:lang w:val="en-GB"/>
        </w:rPr>
      </w:pPr>
      <w:r w:rsidRPr="001C3A62">
        <w:rPr>
          <w:lang w:val="en-GB"/>
        </w:rPr>
        <w:t>Both schemes provided defined benefits to members (retirement lump sums and pensions), earned as employees worked for the Authority.</w:t>
      </w:r>
    </w:p>
    <w:p w14:paraId="2AFC70AE" w14:textId="77777777" w:rsidR="00703D67" w:rsidRPr="001C3A62" w:rsidRDefault="00703D67" w:rsidP="007446B1">
      <w:pPr>
        <w:rPr>
          <w:u w:val="single"/>
        </w:rPr>
      </w:pPr>
    </w:p>
    <w:p w14:paraId="317B976E" w14:textId="77777777" w:rsidR="00FB3503" w:rsidRPr="001C3A62" w:rsidRDefault="00FB3503" w:rsidP="007446B1">
      <w:pPr>
        <w:pStyle w:val="BodyTextIndent"/>
        <w:ind w:left="2160"/>
        <w:rPr>
          <w:u w:val="single"/>
          <w:lang w:val="en-GB"/>
        </w:rPr>
      </w:pPr>
      <w:r w:rsidRPr="001C3A62">
        <w:rPr>
          <w:u w:val="single"/>
          <w:lang w:val="en-GB"/>
        </w:rPr>
        <w:t>The Firefighters’ Scheme</w:t>
      </w:r>
    </w:p>
    <w:p w14:paraId="6D6D3717" w14:textId="77777777" w:rsidR="00FB3503" w:rsidRPr="001C3A62" w:rsidRDefault="00FB3503" w:rsidP="007446B1">
      <w:pPr>
        <w:ind w:left="720"/>
      </w:pPr>
    </w:p>
    <w:p w14:paraId="11E76F49" w14:textId="0DD6A375" w:rsidR="00FB3503" w:rsidRPr="001C3A62" w:rsidRDefault="00FB3503" w:rsidP="007446B1">
      <w:pPr>
        <w:pStyle w:val="BodyTextIndent"/>
        <w:ind w:left="2160"/>
        <w:rPr>
          <w:lang w:val="en-GB"/>
        </w:rPr>
      </w:pPr>
      <w:r w:rsidRPr="001C3A62">
        <w:rPr>
          <w:lang w:val="en-GB"/>
        </w:rPr>
        <w:t xml:space="preserve">Under IAS19 the future costs of retirement benefits </w:t>
      </w:r>
      <w:r w:rsidR="005431D6" w:rsidRPr="001C3A62">
        <w:rPr>
          <w:lang w:val="en-GB"/>
        </w:rPr>
        <w:t>must</w:t>
      </w:r>
      <w:r w:rsidRPr="001C3A62">
        <w:rPr>
          <w:lang w:val="en-GB"/>
        </w:rPr>
        <w:t xml:space="preserve"> be recognised in the accounts at the point at which the Authority becomes committed to paying them (the point when the benefits have been earned by the employee), even if the actual payment of benefits will be many years in the future.</w:t>
      </w:r>
    </w:p>
    <w:p w14:paraId="76A4F5CB" w14:textId="77777777" w:rsidR="00FB3503" w:rsidRPr="001C3A62" w:rsidRDefault="00FB3503" w:rsidP="007446B1">
      <w:pPr>
        <w:pStyle w:val="BodyTextIndent"/>
        <w:ind w:left="1440"/>
        <w:rPr>
          <w:lang w:val="en-GB"/>
        </w:rPr>
      </w:pPr>
    </w:p>
    <w:p w14:paraId="31766861" w14:textId="150158FC" w:rsidR="00FB3503" w:rsidRPr="00DA34EC" w:rsidRDefault="00FB3503" w:rsidP="007446B1">
      <w:pPr>
        <w:ind w:left="2160"/>
      </w:pPr>
      <w:r w:rsidRPr="001C3A62">
        <w:t xml:space="preserve">This obligation to pay pensions benefits in the future is recognised as a liability in the Authority’s Balance Sheet. In the service costs part of the Comprehensive Income and Expenditure Statement, transactions are recorded that indicate the change over the year in the pension liability. These are principally the future costs of pensions earned by Firefighters in service during the year. The </w:t>
      </w:r>
      <w:r w:rsidRPr="001C3A62">
        <w:lastRenderedPageBreak/>
        <w:t>transactions are not cash-</w:t>
      </w:r>
      <w:r w:rsidR="0094180B" w:rsidRPr="001C3A62">
        <w:t>based but,</w:t>
      </w:r>
      <w:r w:rsidRPr="001C3A62">
        <w:t xml:space="preserve"> are </w:t>
      </w:r>
      <w:r w:rsidR="001011C7" w:rsidRPr="001C3A62">
        <w:t>actuarially calculated</w:t>
      </w:r>
      <w:r w:rsidRPr="001C3A62">
        <w:t xml:space="preserve"> amounts that reflect more closely the true changes in the scheme’s long-term liabilities.</w:t>
      </w:r>
    </w:p>
    <w:p w14:paraId="268F1FFD" w14:textId="77777777" w:rsidR="00FB3503" w:rsidRPr="00DA34EC" w:rsidRDefault="00FB3503" w:rsidP="007446B1">
      <w:pPr>
        <w:ind w:left="2160"/>
      </w:pPr>
    </w:p>
    <w:p w14:paraId="5BCB0314" w14:textId="0B9C38BA" w:rsidR="00FB3503" w:rsidRPr="00DA34EC" w:rsidRDefault="00FB3503" w:rsidP="007446B1">
      <w:pPr>
        <w:pStyle w:val="BodyTextIndent"/>
        <w:ind w:left="2160"/>
      </w:pPr>
      <w:r w:rsidRPr="001C3A62">
        <w:t xml:space="preserve">In calculating the liability for </w:t>
      </w:r>
      <w:r w:rsidR="001A42DD">
        <w:t>2025-26</w:t>
      </w:r>
      <w:r w:rsidRPr="001C3A62">
        <w:t>, the actuary based the valuation on a roll forwards approach.</w:t>
      </w:r>
    </w:p>
    <w:p w14:paraId="1641EBC3" w14:textId="77777777" w:rsidR="00FB3503" w:rsidRPr="00DA34EC" w:rsidRDefault="00FB3503" w:rsidP="007446B1">
      <w:pPr>
        <w:pStyle w:val="BodyTextIndent"/>
        <w:ind w:left="2160"/>
      </w:pPr>
    </w:p>
    <w:p w14:paraId="79FE54FA" w14:textId="0763FDB8" w:rsidR="00FB3503" w:rsidRPr="00DA34EC" w:rsidRDefault="00FB3503" w:rsidP="007446B1">
      <w:pPr>
        <w:pStyle w:val="BodyTextIndent"/>
        <w:ind w:left="2160"/>
      </w:pPr>
      <w:r w:rsidRPr="001C3A62">
        <w:t>Top up grant received during the year from the Home Office to cover the pension costs of the above scheme are recogni</w:t>
      </w:r>
      <w:r w:rsidR="001011C7" w:rsidRPr="001C3A62">
        <w:t>s</w:t>
      </w:r>
      <w:r w:rsidRPr="001C3A62">
        <w:t>ed in the Comprehensive Income and Expenditure Statement via adjustments in respect of the actuarial valuation.</w:t>
      </w:r>
      <w:r>
        <w:t xml:space="preserve"> </w:t>
      </w:r>
    </w:p>
    <w:p w14:paraId="60D951ED" w14:textId="77777777" w:rsidR="003D76C3" w:rsidRPr="00DA34EC" w:rsidRDefault="003D76C3" w:rsidP="007446B1">
      <w:pPr>
        <w:rPr>
          <w:u w:val="single"/>
        </w:rPr>
      </w:pPr>
    </w:p>
    <w:p w14:paraId="3402D871" w14:textId="46A27117" w:rsidR="00FB3503" w:rsidRPr="001C3A62" w:rsidRDefault="00FB3503" w:rsidP="007446B1">
      <w:pPr>
        <w:pStyle w:val="BodyTextIndent"/>
        <w:ind w:left="2160"/>
        <w:rPr>
          <w:u w:val="single"/>
          <w:lang w:val="en-GB"/>
        </w:rPr>
      </w:pPr>
      <w:r w:rsidRPr="001C3A62">
        <w:rPr>
          <w:u w:val="single"/>
          <w:lang w:val="en-GB"/>
        </w:rPr>
        <w:t>The Local Government Pension Scheme</w:t>
      </w:r>
    </w:p>
    <w:p w14:paraId="6C364635" w14:textId="77777777" w:rsidR="00FB3503" w:rsidRPr="001C3A62" w:rsidRDefault="00FB3503" w:rsidP="007446B1">
      <w:pPr>
        <w:pStyle w:val="BodyTextIndent"/>
        <w:ind w:left="2160"/>
        <w:rPr>
          <w:lang w:val="en-GB"/>
        </w:rPr>
      </w:pPr>
    </w:p>
    <w:p w14:paraId="79305351" w14:textId="574C18BC" w:rsidR="00FB3503" w:rsidRPr="001C3A62" w:rsidRDefault="00FB3503" w:rsidP="007446B1">
      <w:pPr>
        <w:pStyle w:val="BodyTextIndent"/>
        <w:ind w:left="2160"/>
        <w:rPr>
          <w:lang w:val="en-GB"/>
        </w:rPr>
      </w:pPr>
      <w:r w:rsidRPr="001C3A62">
        <w:rPr>
          <w:lang w:val="en-GB"/>
        </w:rPr>
        <w:t>The same basic principles apply to the local government scheme with the difference being that, because this is a funded scheme (</w:t>
      </w:r>
      <w:r w:rsidR="00AA3FF8" w:rsidRPr="001C3A62">
        <w:rPr>
          <w:lang w:val="en-GB"/>
        </w:rPr>
        <w:t>it</w:t>
      </w:r>
      <w:r w:rsidRPr="001C3A62">
        <w:rPr>
          <w:lang w:val="en-GB"/>
        </w:rPr>
        <w:t xml:space="preserve"> is backed by a portfolio of investments in equities, property etc), there are transactions recorded in the revenue account to reflect changes in the expected return on these assets.</w:t>
      </w:r>
      <w:r w:rsidR="00365CAA" w:rsidRPr="001C3A62">
        <w:rPr>
          <w:lang w:val="en-GB"/>
        </w:rPr>
        <w:t xml:space="preserve"> </w:t>
      </w:r>
      <w:r w:rsidRPr="001C3A62">
        <w:rPr>
          <w:lang w:val="en-GB"/>
        </w:rPr>
        <w:t xml:space="preserve">Like the transactions referred to above, these too, are </w:t>
      </w:r>
      <w:r w:rsidR="001011C7" w:rsidRPr="001C3A62">
        <w:rPr>
          <w:lang w:val="en-GB"/>
        </w:rPr>
        <w:t>actuarially calculated</w:t>
      </w:r>
      <w:r w:rsidRPr="001C3A62">
        <w:rPr>
          <w:lang w:val="en-GB"/>
        </w:rPr>
        <w:t xml:space="preserve"> figures.</w:t>
      </w:r>
    </w:p>
    <w:p w14:paraId="4DF93233" w14:textId="77777777" w:rsidR="00FB3503" w:rsidRPr="001C3A62" w:rsidRDefault="00FB3503" w:rsidP="007446B1">
      <w:pPr>
        <w:pStyle w:val="BodyTextIndent"/>
        <w:ind w:left="1440"/>
        <w:rPr>
          <w:lang w:val="en-GB"/>
        </w:rPr>
      </w:pPr>
    </w:p>
    <w:p w14:paraId="6C07BE65" w14:textId="2E1EB390" w:rsidR="00FB3503" w:rsidRPr="00DA34EC" w:rsidRDefault="00FB3503" w:rsidP="007446B1">
      <w:pPr>
        <w:pStyle w:val="BodyTextIndent"/>
        <w:ind w:left="2160"/>
        <w:rPr>
          <w:lang w:val="en-GB"/>
        </w:rPr>
      </w:pPr>
      <w:r w:rsidRPr="001C3A62">
        <w:rPr>
          <w:lang w:val="en-GB"/>
        </w:rPr>
        <w:t>On the Balance Sheet, the liability to pay future pensions is balanced by the fund’s investment assets.</w:t>
      </w:r>
    </w:p>
    <w:p w14:paraId="002009CD" w14:textId="77777777" w:rsidR="00FB3503" w:rsidRPr="00DA34EC" w:rsidRDefault="00FB3503" w:rsidP="007446B1"/>
    <w:p w14:paraId="6824C088" w14:textId="3B0DEC7A" w:rsidR="00FB3503" w:rsidRPr="00DA34EC" w:rsidRDefault="00FB3503" w:rsidP="007446B1">
      <w:pPr>
        <w:pStyle w:val="BodyTextIndent"/>
        <w:ind w:left="2160"/>
      </w:pPr>
      <w:r w:rsidRPr="001C3A62">
        <w:t xml:space="preserve">In calculating the liability for </w:t>
      </w:r>
      <w:r w:rsidR="001A42DD">
        <w:t>2025-26</w:t>
      </w:r>
      <w:r w:rsidRPr="001C3A62">
        <w:t>, the actuary based the valuation on a roll forwards approach.</w:t>
      </w:r>
    </w:p>
    <w:p w14:paraId="64FB110D" w14:textId="77777777" w:rsidR="00FB3503" w:rsidRPr="00DA34EC" w:rsidRDefault="00FB3503" w:rsidP="007446B1">
      <w:pPr>
        <w:pStyle w:val="BodyTextIndent"/>
        <w:ind w:left="2160"/>
      </w:pPr>
    </w:p>
    <w:p w14:paraId="0EC9FA50" w14:textId="4EF763CA" w:rsidR="00FB3503" w:rsidRPr="00DA34EC" w:rsidRDefault="00FB3503" w:rsidP="007446B1">
      <w:pPr>
        <w:ind w:left="1440"/>
      </w:pPr>
      <w:r w:rsidRPr="001C3A62">
        <w:t xml:space="preserve">In valuing the pension scheme assets for </w:t>
      </w:r>
      <w:r w:rsidR="001A42DD">
        <w:t>2025-26</w:t>
      </w:r>
      <w:r w:rsidRPr="001C3A62">
        <w:t>, the actuaries used fair value basis for both derivatives and investments.</w:t>
      </w:r>
    </w:p>
    <w:p w14:paraId="759499B0" w14:textId="77777777" w:rsidR="00FB3503" w:rsidRPr="00D948C1" w:rsidRDefault="00FB3503" w:rsidP="007446B1">
      <w:pPr>
        <w:ind w:left="720"/>
        <w:rPr>
          <w:b/>
          <w:szCs w:val="24"/>
        </w:rPr>
      </w:pPr>
    </w:p>
    <w:p w14:paraId="60D8F1D7" w14:textId="77777777" w:rsidR="00FB3503" w:rsidRPr="001C3A62" w:rsidRDefault="00FB3503" w:rsidP="007446B1">
      <w:pPr>
        <w:keepLines/>
        <w:widowControl w:val="0"/>
        <w:ind w:left="720"/>
        <w:rPr>
          <w:b/>
        </w:rPr>
      </w:pPr>
      <w:r w:rsidRPr="2DDE738B">
        <w:rPr>
          <w:b/>
        </w:rPr>
        <w:t>f</w:t>
      </w:r>
      <w:r>
        <w:tab/>
      </w:r>
      <w:r w:rsidRPr="001C3A62">
        <w:rPr>
          <w:b/>
        </w:rPr>
        <w:t>Financial Liabilities</w:t>
      </w:r>
    </w:p>
    <w:p w14:paraId="7DC2BD83" w14:textId="77777777" w:rsidR="00FB3503" w:rsidRPr="001C3A62" w:rsidRDefault="00FB3503" w:rsidP="2DDE738B">
      <w:pPr>
        <w:keepLines/>
        <w:widowControl w:val="0"/>
        <w:tabs>
          <w:tab w:val="right" w:pos="9072"/>
        </w:tabs>
        <w:ind w:left="720"/>
        <w:rPr>
          <w:b/>
        </w:rPr>
      </w:pPr>
    </w:p>
    <w:p w14:paraId="32ED46D2" w14:textId="235E6FF5" w:rsidR="009408FE" w:rsidRPr="001C3A62" w:rsidRDefault="00FB3503" w:rsidP="007446B1">
      <w:pPr>
        <w:keepLines/>
        <w:widowControl w:val="0"/>
        <w:ind w:left="1429"/>
      </w:pPr>
      <w:r w:rsidRPr="001C3A62">
        <w:t xml:space="preserve">Financial liabilities are initially measured at fair value and carried at their amortised cost. For </w:t>
      </w:r>
      <w:r w:rsidR="007446B1" w:rsidRPr="001C3A62">
        <w:t>all</w:t>
      </w:r>
      <w:r w:rsidRPr="001C3A62">
        <w:t xml:space="preserve"> the borrowings the Authority has, this means that the amount presented in the Balance Sheet is the outstanding principle repayable plus accrued interest and the interest charged to the Comprehensive Income and Expenditure Statement is the amount payable for the year in the loan agreement.</w:t>
      </w:r>
    </w:p>
    <w:p w14:paraId="53C2C66C" w14:textId="77777777" w:rsidR="00D45CFC" w:rsidRPr="001C3A62" w:rsidRDefault="00D45CFC" w:rsidP="007446B1">
      <w:pPr>
        <w:keepLines/>
        <w:widowControl w:val="0"/>
        <w:ind w:left="1429"/>
        <w:rPr>
          <w:b/>
        </w:rPr>
      </w:pPr>
    </w:p>
    <w:p w14:paraId="7242F8CB" w14:textId="53AC24A1" w:rsidR="00FB3503" w:rsidRPr="001C3A62" w:rsidRDefault="00FB3503" w:rsidP="007446B1">
      <w:pPr>
        <w:keepLines/>
        <w:widowControl w:val="0"/>
        <w:ind w:left="720"/>
        <w:rPr>
          <w:b/>
        </w:rPr>
      </w:pPr>
      <w:r w:rsidRPr="001C3A62">
        <w:rPr>
          <w:b/>
        </w:rPr>
        <w:t>g</w:t>
      </w:r>
      <w:r w:rsidRPr="001C3A62">
        <w:tab/>
      </w:r>
      <w:r w:rsidRPr="001C3A62">
        <w:rPr>
          <w:b/>
        </w:rPr>
        <w:t>Financial Assets</w:t>
      </w:r>
      <w:r w:rsidR="00CA61E9" w:rsidRPr="001C3A62">
        <w:rPr>
          <w:b/>
        </w:rPr>
        <w:t xml:space="preserve"> measured at amortised cost</w:t>
      </w:r>
    </w:p>
    <w:p w14:paraId="0E4F829A" w14:textId="77777777" w:rsidR="00FB3503" w:rsidRPr="001C3A62" w:rsidRDefault="00FB3503" w:rsidP="2DDE738B">
      <w:pPr>
        <w:keepLines/>
        <w:widowControl w:val="0"/>
        <w:tabs>
          <w:tab w:val="right" w:pos="9072"/>
        </w:tabs>
        <w:ind w:left="720"/>
        <w:rPr>
          <w:b/>
        </w:rPr>
      </w:pPr>
    </w:p>
    <w:p w14:paraId="1B52155B" w14:textId="78F9C438" w:rsidR="00FB3503" w:rsidRPr="001C3A62" w:rsidRDefault="00FB3503" w:rsidP="007446B1">
      <w:pPr>
        <w:keepLines/>
        <w:widowControl w:val="0"/>
        <w:tabs>
          <w:tab w:val="right" w:pos="9072"/>
        </w:tabs>
        <w:ind w:left="1429"/>
      </w:pPr>
      <w:r w:rsidRPr="001C3A62">
        <w:t xml:space="preserve">The Authority holds only one type of financial asset, </w:t>
      </w:r>
      <w:r w:rsidR="0094180B" w:rsidRPr="001C3A62">
        <w:t>loans,</w:t>
      </w:r>
      <w:r w:rsidRPr="001C3A62">
        <w:t xml:space="preserve"> and receivables. These are its cash investments and debtors - assets that have fixed or determinable payments but are not quoted in an active market.</w:t>
      </w:r>
    </w:p>
    <w:p w14:paraId="3709FB82" w14:textId="77777777" w:rsidR="00FB3503" w:rsidRPr="001C3A62" w:rsidRDefault="00FB3503" w:rsidP="007446B1">
      <w:pPr>
        <w:keepLines/>
        <w:widowControl w:val="0"/>
        <w:ind w:left="1429" w:hanging="709"/>
        <w:rPr>
          <w:b/>
        </w:rPr>
      </w:pPr>
    </w:p>
    <w:p w14:paraId="15026D97" w14:textId="3D545B9C" w:rsidR="00FB3503" w:rsidRPr="00DA34EC" w:rsidRDefault="00DF770E" w:rsidP="007446B1">
      <w:pPr>
        <w:ind w:left="1429"/>
      </w:pPr>
      <w:r w:rsidRPr="001C3A62">
        <w:t>Investments</w:t>
      </w:r>
      <w:r w:rsidR="00FB3503" w:rsidRPr="001C3A62">
        <w:t xml:space="preserve"> are initially measured at fair value and carried at their amortised cost. For </w:t>
      </w:r>
      <w:r w:rsidR="0094180B" w:rsidRPr="001C3A62">
        <w:t>all</w:t>
      </w:r>
      <w:r w:rsidR="00FB3503" w:rsidRPr="001C3A62">
        <w:t xml:space="preserve"> the investments that the Authority has made, this means that the amount presented in the Balance Sheet is the outstanding principal receivable. The interest credited to the Comprehensive Income and Expenditure Statement is the amount receivable for the year under the terms of the deposit agreement.</w:t>
      </w:r>
    </w:p>
    <w:p w14:paraId="0597D55A" w14:textId="77777777" w:rsidR="007B2B60" w:rsidRDefault="007B2B60">
      <w:pPr>
        <w:rPr>
          <w:b/>
        </w:rPr>
      </w:pPr>
      <w:r>
        <w:rPr>
          <w:b/>
        </w:rPr>
        <w:br w:type="page"/>
      </w:r>
    </w:p>
    <w:p w14:paraId="5379B406" w14:textId="77777777" w:rsidR="00FB3503" w:rsidRPr="001C3A62" w:rsidRDefault="00FB3503" w:rsidP="007446B1">
      <w:pPr>
        <w:ind w:left="720"/>
        <w:rPr>
          <w:b/>
        </w:rPr>
      </w:pPr>
      <w:r w:rsidRPr="00DA34EC">
        <w:rPr>
          <w:b/>
        </w:rPr>
        <w:lastRenderedPageBreak/>
        <w:t>h</w:t>
      </w:r>
      <w:r>
        <w:tab/>
      </w:r>
      <w:r w:rsidRPr="001C3A62">
        <w:rPr>
          <w:b/>
        </w:rPr>
        <w:t>Government Grants &amp; Contributions</w:t>
      </w:r>
    </w:p>
    <w:p w14:paraId="7EFC1B19" w14:textId="27BCC318" w:rsidR="00FB3503" w:rsidRPr="001C3A62" w:rsidRDefault="00FB3503" w:rsidP="007446B1">
      <w:pPr>
        <w:ind w:left="720"/>
        <w:rPr>
          <w:b/>
        </w:rPr>
      </w:pPr>
    </w:p>
    <w:p w14:paraId="28A894E1" w14:textId="77777777" w:rsidR="00FB3503" w:rsidRPr="001C3A62" w:rsidRDefault="00FB3503" w:rsidP="007446B1">
      <w:pPr>
        <w:ind w:left="1429"/>
      </w:pPr>
      <w:r w:rsidRPr="001C3A62">
        <w:t>Government grants and donations are recognised as due to the Authority when there is reasonable assurance that:</w:t>
      </w:r>
    </w:p>
    <w:p w14:paraId="66644CE2" w14:textId="77777777" w:rsidR="00FB3503" w:rsidRPr="001C3A62" w:rsidRDefault="00FB3503" w:rsidP="007446B1">
      <w:pPr>
        <w:ind w:left="1429"/>
      </w:pPr>
    </w:p>
    <w:p w14:paraId="30E66F71" w14:textId="77777777" w:rsidR="00FB3503" w:rsidRPr="001C3A62" w:rsidRDefault="00FB3503" w:rsidP="007446B1">
      <w:pPr>
        <w:numPr>
          <w:ilvl w:val="0"/>
          <w:numId w:val="13"/>
        </w:numPr>
      </w:pPr>
      <w:r w:rsidRPr="001C3A62">
        <w:t>The Authority will comply with the conditions attached to the payments, and</w:t>
      </w:r>
    </w:p>
    <w:p w14:paraId="134E06C3" w14:textId="77777777" w:rsidR="00FB3503" w:rsidRPr="001C3A62" w:rsidRDefault="00FB3503" w:rsidP="007446B1">
      <w:pPr>
        <w:numPr>
          <w:ilvl w:val="0"/>
          <w:numId w:val="13"/>
        </w:numPr>
      </w:pPr>
      <w:r w:rsidRPr="001C3A62">
        <w:t>The grants or contributions will be received.</w:t>
      </w:r>
    </w:p>
    <w:p w14:paraId="33662FF9" w14:textId="77777777" w:rsidR="00FB3503" w:rsidRPr="001C3A62" w:rsidRDefault="00FB3503" w:rsidP="007446B1">
      <w:pPr>
        <w:ind w:left="1429"/>
      </w:pPr>
    </w:p>
    <w:p w14:paraId="724B21B8" w14:textId="65111FF6" w:rsidR="00FB3503" w:rsidRPr="001C3A62" w:rsidRDefault="00FB3503" w:rsidP="007446B1">
      <w:pPr>
        <w:ind w:left="1429"/>
      </w:pPr>
      <w:r w:rsidRPr="001C3A62">
        <w:t xml:space="preserve">Amounts recognised as due to the Authority are </w:t>
      </w:r>
      <w:r w:rsidR="00F73C58" w:rsidRPr="001C3A62">
        <w:t xml:space="preserve">carried </w:t>
      </w:r>
      <w:r w:rsidR="00B62A26" w:rsidRPr="001C3A62">
        <w:t>on the</w:t>
      </w:r>
      <w:r w:rsidR="00F73C58" w:rsidRPr="001C3A62">
        <w:t xml:space="preserve"> </w:t>
      </w:r>
      <w:r w:rsidR="00B62A26" w:rsidRPr="001C3A62">
        <w:t>B</w:t>
      </w:r>
      <w:r w:rsidR="00F73C58" w:rsidRPr="001C3A62">
        <w:t xml:space="preserve">alance </w:t>
      </w:r>
      <w:r w:rsidR="00B62A26" w:rsidRPr="001C3A62">
        <w:t>S</w:t>
      </w:r>
      <w:r w:rsidR="00F73C58" w:rsidRPr="001C3A62">
        <w:t xml:space="preserve">heet </w:t>
      </w:r>
      <w:r w:rsidRPr="001C3A62">
        <w:t>until conditions attached have been satisfied. When conditions have been satisfied, the grant is credited to the non-specific grant income line in the Comprehensive Income and Expenditure Statement.</w:t>
      </w:r>
    </w:p>
    <w:p w14:paraId="47598DDF" w14:textId="77777777" w:rsidR="00FB3503" w:rsidRPr="001C3A62" w:rsidRDefault="00FB3503" w:rsidP="007446B1">
      <w:pPr>
        <w:ind w:left="1429"/>
      </w:pPr>
    </w:p>
    <w:p w14:paraId="51A491EE" w14:textId="3988E4D1" w:rsidR="00FB3503" w:rsidRPr="001C3A62" w:rsidRDefault="00FB3503" w:rsidP="007446B1">
      <w:pPr>
        <w:ind w:left="1429"/>
      </w:pPr>
      <w:r w:rsidRPr="001C3A62">
        <w:t>Where capital grants are credited to the Comprehensive Income and Expenditure Statement, they are reversed out of the General Fund Balance in the Movement in Reserves Statement.</w:t>
      </w:r>
    </w:p>
    <w:p w14:paraId="53BF07EE" w14:textId="77777777" w:rsidR="003D76C3" w:rsidRPr="006263FE" w:rsidRDefault="003D76C3" w:rsidP="007446B1">
      <w:pPr>
        <w:ind w:left="1429"/>
        <w:rPr>
          <w:highlight w:val="green"/>
        </w:rPr>
      </w:pPr>
    </w:p>
    <w:p w14:paraId="7A4229BB" w14:textId="6F91C7F1" w:rsidR="00FB3503" w:rsidRPr="001C3A62" w:rsidRDefault="00FB3503" w:rsidP="007446B1">
      <w:pPr>
        <w:ind w:left="720"/>
        <w:rPr>
          <w:b/>
        </w:rPr>
      </w:pPr>
      <w:r w:rsidRPr="001C3A62">
        <w:rPr>
          <w:b/>
        </w:rPr>
        <w:t>i</w:t>
      </w:r>
      <w:r w:rsidRPr="001C3A62">
        <w:tab/>
      </w:r>
      <w:r w:rsidRPr="001C3A62">
        <w:rPr>
          <w:b/>
        </w:rPr>
        <w:t>Non</w:t>
      </w:r>
      <w:r w:rsidR="0094180B" w:rsidRPr="001C3A62">
        <w:rPr>
          <w:b/>
        </w:rPr>
        <w:t>-</w:t>
      </w:r>
      <w:r w:rsidRPr="001C3A62">
        <w:rPr>
          <w:b/>
        </w:rPr>
        <w:t>Current Assets</w:t>
      </w:r>
    </w:p>
    <w:p w14:paraId="5747F733" w14:textId="77777777" w:rsidR="00FB3503" w:rsidRPr="001C3A62" w:rsidRDefault="00FB3503" w:rsidP="007446B1">
      <w:pPr>
        <w:ind w:left="720"/>
      </w:pPr>
    </w:p>
    <w:p w14:paraId="7EE33A90" w14:textId="28E03454" w:rsidR="00FB3503" w:rsidRPr="001C3A62" w:rsidRDefault="00FB3503" w:rsidP="007446B1">
      <w:pPr>
        <w:ind w:left="1440"/>
      </w:pPr>
      <w:r w:rsidRPr="001C3A62">
        <w:t>Non</w:t>
      </w:r>
      <w:r w:rsidR="0094180B" w:rsidRPr="001C3A62">
        <w:t>-</w:t>
      </w:r>
      <w:r w:rsidRPr="001C3A62">
        <w:t>current assets are included in the Balance Sheet at the estimated current value of the asset. They comprise:</w:t>
      </w:r>
    </w:p>
    <w:p w14:paraId="6E4A9AC0" w14:textId="77777777" w:rsidR="00FB3503" w:rsidRPr="001C3A62" w:rsidRDefault="00FB3503" w:rsidP="007446B1">
      <w:pPr>
        <w:ind w:left="1440"/>
      </w:pPr>
    </w:p>
    <w:p w14:paraId="3F1F9C14" w14:textId="77777777" w:rsidR="00FB3503" w:rsidRPr="001C3A62" w:rsidRDefault="00FB3503" w:rsidP="007446B1">
      <w:pPr>
        <w:pStyle w:val="BodyTextIndent"/>
        <w:numPr>
          <w:ilvl w:val="0"/>
          <w:numId w:val="20"/>
        </w:numPr>
        <w:rPr>
          <w:i/>
        </w:rPr>
      </w:pPr>
      <w:r w:rsidRPr="001C3A62">
        <w:t>Property, plant &amp; equipment - These are assets that have a physical substance which are used continuously to provide services or for administrative purposes.</w:t>
      </w:r>
    </w:p>
    <w:p w14:paraId="3AB38D7F" w14:textId="77777777" w:rsidR="00FB3503" w:rsidRPr="0014383B" w:rsidRDefault="00FB3503" w:rsidP="007446B1">
      <w:pPr>
        <w:pStyle w:val="BodyTextIndent"/>
        <w:numPr>
          <w:ilvl w:val="0"/>
          <w:numId w:val="9"/>
        </w:numPr>
        <w:ind w:left="2160"/>
      </w:pPr>
      <w:r w:rsidRPr="001C3A62">
        <w:t xml:space="preserve">Intangible assets – Assets that do not have a physical substance but can be </w:t>
      </w:r>
      <w:r w:rsidRPr="0014383B">
        <w:t>separately identified and controlled by the Authority (for example, software licenses). Spending on these assets is capitalised if the asset will bring benefit to the Authority for more than one financial year.</w:t>
      </w:r>
    </w:p>
    <w:p w14:paraId="0B0051D5" w14:textId="1B12D208" w:rsidR="00D45CFC" w:rsidRPr="0014383B" w:rsidRDefault="00D45CFC" w:rsidP="007446B1"/>
    <w:p w14:paraId="265003D7" w14:textId="77777777" w:rsidR="00FB3503" w:rsidRPr="0014383B" w:rsidRDefault="00FB3503" w:rsidP="007446B1">
      <w:pPr>
        <w:ind w:left="2160" w:hanging="720"/>
        <w:rPr>
          <w:u w:val="single"/>
        </w:rPr>
      </w:pPr>
      <w:r w:rsidRPr="0014383B">
        <w:t>i)</w:t>
      </w:r>
      <w:r w:rsidRPr="0014383B">
        <w:tab/>
      </w:r>
      <w:r w:rsidRPr="0014383B">
        <w:rPr>
          <w:u w:val="single"/>
        </w:rPr>
        <w:t>Recognition</w:t>
      </w:r>
    </w:p>
    <w:p w14:paraId="66B01011" w14:textId="77777777" w:rsidR="00FB3503" w:rsidRPr="0014383B" w:rsidRDefault="00FB3503" w:rsidP="007446B1">
      <w:pPr>
        <w:pStyle w:val="BodyTextIndent3"/>
        <w:spacing w:after="0"/>
        <w:ind w:left="720"/>
      </w:pPr>
    </w:p>
    <w:p w14:paraId="0B654887" w14:textId="4F0013F2" w:rsidR="00FB3503" w:rsidRPr="0014383B" w:rsidRDefault="00FB3503" w:rsidP="007446B1">
      <w:pPr>
        <w:pStyle w:val="BodyTextIndent3"/>
        <w:spacing w:after="0"/>
        <w:ind w:left="2160"/>
        <w:rPr>
          <w:strike/>
        </w:rPr>
      </w:pPr>
      <w:r w:rsidRPr="0014383B">
        <w:t>All capital expenditure over the value of £10</w:t>
      </w:r>
      <w:r w:rsidR="0056405D" w:rsidRPr="0014383B">
        <w:t xml:space="preserve"> thousand</w:t>
      </w:r>
      <w:r w:rsidRPr="0014383B">
        <w:t xml:space="preserve"> on the acquisition or enhancement of non</w:t>
      </w:r>
      <w:r w:rsidR="0094180B" w:rsidRPr="0014383B">
        <w:t>-</w:t>
      </w:r>
      <w:r w:rsidRPr="0014383B">
        <w:t xml:space="preserve">current assets is capitalised in the accounts on an </w:t>
      </w:r>
      <w:proofErr w:type="gramStart"/>
      <w:r w:rsidRPr="0014383B">
        <w:t>accruals</w:t>
      </w:r>
      <w:proofErr w:type="gramEnd"/>
      <w:r w:rsidRPr="0014383B">
        <w:t xml:space="preserve"> basis, in accordance with the relevant statute, </w:t>
      </w:r>
      <w:r w:rsidR="005E5263" w:rsidRPr="0014383B">
        <w:t>except for</w:t>
      </w:r>
      <w:r w:rsidRPr="0014383B">
        <w:t xml:space="preserve"> fleet vehicles, which are capitalised providing the cost is over £5</w:t>
      </w:r>
      <w:r w:rsidR="0056405D" w:rsidRPr="0014383B">
        <w:t xml:space="preserve"> thousand</w:t>
      </w:r>
      <w:r w:rsidRPr="0014383B">
        <w:t xml:space="preserve"> and the asset life is </w:t>
      </w:r>
      <w:r w:rsidR="0056405D" w:rsidRPr="0014383B">
        <w:t>four</w:t>
      </w:r>
      <w:r w:rsidRPr="0014383B">
        <w:t xml:space="preserve"> years</w:t>
      </w:r>
      <w:r w:rsidR="00DC40FB" w:rsidRPr="0014383B">
        <w:t xml:space="preserve"> or more</w:t>
      </w:r>
      <w:r w:rsidRPr="0014383B">
        <w:t>.</w:t>
      </w:r>
    </w:p>
    <w:p w14:paraId="479C092E" w14:textId="77777777" w:rsidR="00FB3503" w:rsidRPr="0014383B" w:rsidRDefault="00FB3503" w:rsidP="007446B1">
      <w:pPr>
        <w:pStyle w:val="BodyTextIndent3"/>
        <w:spacing w:after="0"/>
        <w:ind w:left="720"/>
        <w:rPr>
          <w:szCs w:val="24"/>
        </w:rPr>
      </w:pPr>
    </w:p>
    <w:p w14:paraId="48191502" w14:textId="77777777" w:rsidR="00FB3503" w:rsidRPr="0014383B" w:rsidRDefault="00FB3503" w:rsidP="007446B1">
      <w:pPr>
        <w:ind w:left="2160" w:hanging="720"/>
        <w:rPr>
          <w:u w:val="single"/>
        </w:rPr>
      </w:pPr>
      <w:r w:rsidRPr="0014383B">
        <w:t>ii)</w:t>
      </w:r>
      <w:r w:rsidRPr="0014383B">
        <w:tab/>
      </w:r>
      <w:r w:rsidRPr="0014383B">
        <w:rPr>
          <w:u w:val="single"/>
        </w:rPr>
        <w:t>Measurement</w:t>
      </w:r>
    </w:p>
    <w:p w14:paraId="0547CBC4" w14:textId="77777777" w:rsidR="00FB3503" w:rsidRPr="0014383B" w:rsidRDefault="00FB3503" w:rsidP="007446B1">
      <w:pPr>
        <w:pStyle w:val="BodyTextIndent3"/>
        <w:spacing w:after="0"/>
        <w:ind w:left="720"/>
      </w:pPr>
    </w:p>
    <w:p w14:paraId="2E60D01B" w14:textId="71F847A6" w:rsidR="00FB3503" w:rsidRPr="0014383B" w:rsidRDefault="00FB3503" w:rsidP="007446B1">
      <w:pPr>
        <w:pStyle w:val="BodyTextIndent3"/>
        <w:spacing w:after="0"/>
        <w:ind w:left="2160"/>
      </w:pPr>
      <w:r w:rsidRPr="0014383B">
        <w:t xml:space="preserve">Land and buildings are revalued on a rolling </w:t>
      </w:r>
      <w:r w:rsidR="0094180B" w:rsidRPr="0014383B">
        <w:t>five-year</w:t>
      </w:r>
      <w:r w:rsidRPr="0014383B">
        <w:t xml:space="preserve"> basis by a suitably qualified surveyor. As </w:t>
      </w:r>
      <w:proofErr w:type="gramStart"/>
      <w:r w:rsidRPr="0014383B">
        <w:t>at</w:t>
      </w:r>
      <w:proofErr w:type="gramEnd"/>
      <w:r w:rsidRPr="0014383B">
        <w:t xml:space="preserve"> 31 March </w:t>
      </w:r>
      <w:r w:rsidR="009F7288" w:rsidRPr="0014383B">
        <w:t>202</w:t>
      </w:r>
      <w:r w:rsidR="00394F8E" w:rsidRPr="0014383B">
        <w:t>6</w:t>
      </w:r>
      <w:r w:rsidRPr="0014383B">
        <w:t xml:space="preserve">, Amcat Limited, an external organisation, using surveyors qualified by the Royal Institution of Chartered Surveyors, carried out revaluations on the identified properties. All valuations are </w:t>
      </w:r>
      <w:r w:rsidR="0094180B" w:rsidRPr="0014383B">
        <w:t>based on</w:t>
      </w:r>
      <w:r w:rsidRPr="0014383B">
        <w:t xml:space="preserve"> depreciated replacement cost, </w:t>
      </w:r>
      <w:r w:rsidR="0094180B" w:rsidRPr="0014383B">
        <w:t>except for</w:t>
      </w:r>
      <w:r w:rsidRPr="0014383B">
        <w:t xml:space="preserve"> one property used as offices, valued at Existing Use Value. </w:t>
      </w:r>
    </w:p>
    <w:p w14:paraId="531C7499" w14:textId="77777777" w:rsidR="00FB3503" w:rsidRPr="0014383B" w:rsidRDefault="00FB3503" w:rsidP="007446B1">
      <w:pPr>
        <w:pStyle w:val="BodyTextIndent3"/>
        <w:spacing w:after="0"/>
        <w:ind w:left="2160"/>
      </w:pPr>
    </w:p>
    <w:p w14:paraId="05B1F4CA" w14:textId="7BE74585" w:rsidR="00FB3503" w:rsidRPr="0014383B" w:rsidRDefault="00FB3503" w:rsidP="007446B1">
      <w:pPr>
        <w:pStyle w:val="BodyTextIndent3"/>
        <w:spacing w:after="0"/>
        <w:ind w:left="2160"/>
      </w:pPr>
      <w:r w:rsidRPr="0014383B">
        <w:t xml:space="preserve">All other </w:t>
      </w:r>
      <w:r w:rsidR="0094180B" w:rsidRPr="0014383B">
        <w:t>non-current</w:t>
      </w:r>
      <w:r w:rsidRPr="0014383B">
        <w:t xml:space="preserve"> assets are valued at historic cost.</w:t>
      </w:r>
    </w:p>
    <w:p w14:paraId="1708AFBE" w14:textId="77777777" w:rsidR="00FB3503" w:rsidRPr="0014383B" w:rsidRDefault="00FB3503" w:rsidP="007446B1">
      <w:pPr>
        <w:pStyle w:val="BodyTextIndent3"/>
        <w:spacing w:after="0"/>
        <w:ind w:left="720"/>
      </w:pPr>
    </w:p>
    <w:p w14:paraId="434AD501" w14:textId="3C443975" w:rsidR="00FB3503" w:rsidRPr="0014383B" w:rsidRDefault="00FB3503" w:rsidP="007446B1">
      <w:pPr>
        <w:pStyle w:val="BodyTextIndent3"/>
        <w:spacing w:after="0"/>
        <w:ind w:left="2160"/>
      </w:pPr>
      <w:r w:rsidRPr="0014383B">
        <w:t>The Revaluation Reserve contains revaluation gains recognised since 1 April 2007, the date of its formal implementation. The Revaluation Reserve was created with effect from 31 March 2007 with a zero</w:t>
      </w:r>
      <w:r w:rsidR="0094180B" w:rsidRPr="0014383B">
        <w:t>-</w:t>
      </w:r>
      <w:r w:rsidRPr="0014383B">
        <w:t xml:space="preserve">opening balance. Gains </w:t>
      </w:r>
      <w:r w:rsidRPr="0014383B">
        <w:lastRenderedPageBreak/>
        <w:t>arising before 1 April 2007 have been consolidated into the Capital Adjustment Account.</w:t>
      </w:r>
    </w:p>
    <w:p w14:paraId="28DA5E0F" w14:textId="77777777" w:rsidR="00703D67" w:rsidRPr="0014383B" w:rsidRDefault="00703D67" w:rsidP="007446B1"/>
    <w:p w14:paraId="5C571EFE" w14:textId="77777777" w:rsidR="00FB3503" w:rsidRPr="0014383B" w:rsidRDefault="00FB3503" w:rsidP="007446B1">
      <w:pPr>
        <w:pStyle w:val="BodyTextIndent3"/>
        <w:spacing w:after="0"/>
        <w:rPr>
          <w:u w:val="single"/>
        </w:rPr>
      </w:pPr>
      <w:r w:rsidRPr="0014383B">
        <w:t>iii)</w:t>
      </w:r>
      <w:r w:rsidRPr="0014383B">
        <w:tab/>
      </w:r>
      <w:r w:rsidRPr="0014383B">
        <w:rPr>
          <w:u w:val="single"/>
        </w:rPr>
        <w:t>Impairment</w:t>
      </w:r>
    </w:p>
    <w:p w14:paraId="154CE34C" w14:textId="77777777" w:rsidR="00FB3503" w:rsidRPr="0014383B" w:rsidRDefault="00FB3503" w:rsidP="007446B1">
      <w:pPr>
        <w:pStyle w:val="BodyTextIndent3"/>
        <w:spacing w:after="0"/>
        <w:ind w:left="720"/>
      </w:pPr>
    </w:p>
    <w:p w14:paraId="41B8991A" w14:textId="538F30B1" w:rsidR="00FB3503" w:rsidRPr="0014383B" w:rsidRDefault="00FB3503" w:rsidP="007446B1">
      <w:pPr>
        <w:pStyle w:val="BodyTextIndent3"/>
        <w:spacing w:after="0"/>
        <w:ind w:left="2160"/>
      </w:pPr>
      <w:r w:rsidRPr="0014383B">
        <w:t>The Combined Fire Authority's non</w:t>
      </w:r>
      <w:r w:rsidR="0094180B" w:rsidRPr="0014383B">
        <w:t>-</w:t>
      </w:r>
      <w:r w:rsidRPr="0014383B">
        <w:t>current assets are considered for impairment at the end of each year by appropriately qualified Property Consultants.</w:t>
      </w:r>
    </w:p>
    <w:p w14:paraId="61D640A7" w14:textId="77777777" w:rsidR="00FB3503" w:rsidRPr="0014383B" w:rsidRDefault="00FB3503" w:rsidP="007446B1">
      <w:pPr>
        <w:pStyle w:val="BodyTextIndent3"/>
        <w:spacing w:after="0"/>
        <w:ind w:left="2160"/>
      </w:pPr>
    </w:p>
    <w:p w14:paraId="737B2812" w14:textId="77777777" w:rsidR="00FB3503" w:rsidRPr="0014383B" w:rsidRDefault="00FB3503" w:rsidP="007446B1">
      <w:pPr>
        <w:numPr>
          <w:ilvl w:val="0"/>
          <w:numId w:val="21"/>
        </w:numPr>
        <w:rPr>
          <w:u w:val="single"/>
        </w:rPr>
      </w:pPr>
      <w:r w:rsidRPr="0014383B">
        <w:rPr>
          <w:u w:val="single"/>
        </w:rPr>
        <w:t>Disposals</w:t>
      </w:r>
    </w:p>
    <w:p w14:paraId="56BD3FD6" w14:textId="77777777" w:rsidR="00FB3503" w:rsidRPr="0014383B" w:rsidRDefault="00FB3503" w:rsidP="007446B1">
      <w:pPr>
        <w:ind w:left="720"/>
        <w:rPr>
          <w:u w:val="single"/>
        </w:rPr>
      </w:pPr>
    </w:p>
    <w:p w14:paraId="793EF27C" w14:textId="475FC485" w:rsidR="00FB3503" w:rsidRPr="0014383B" w:rsidRDefault="005C14FB" w:rsidP="00AC5949">
      <w:pPr>
        <w:pStyle w:val="BodyTextIndent3"/>
        <w:spacing w:after="0"/>
        <w:ind w:left="2160"/>
      </w:pPr>
      <w:r w:rsidRPr="0014383B">
        <w:t xml:space="preserve">When an asset is disposed of the value of asset in the balance sheet is written off to the Comprehensive Income and Expenditure Statement (CIES) as part of the gain or loss on disposal. </w:t>
      </w:r>
      <w:r w:rsidR="00426412" w:rsidRPr="0014383B">
        <w:t>R</w:t>
      </w:r>
      <w:r w:rsidRPr="0014383B">
        <w:t xml:space="preserve">eceipts from disposals are credited to capital receipts, with the sale proceeds being recognised in the CIES. This treatment results in the netting </w:t>
      </w:r>
      <w:r w:rsidR="005431D6" w:rsidRPr="0014383B">
        <w:t>off</w:t>
      </w:r>
      <w:r w:rsidRPr="0014383B">
        <w:t xml:space="preserve"> receipts against the carrying value of the asset.</w:t>
      </w:r>
    </w:p>
    <w:p w14:paraId="40CD23CF" w14:textId="77777777" w:rsidR="003D76C3" w:rsidRPr="0014383B" w:rsidRDefault="003D76C3" w:rsidP="007446B1">
      <w:pPr>
        <w:pStyle w:val="BodyTextIndent3"/>
        <w:spacing w:after="0"/>
        <w:ind w:left="2160"/>
      </w:pPr>
    </w:p>
    <w:p w14:paraId="7EE988FD" w14:textId="77777777" w:rsidR="00FB3503" w:rsidRPr="0014383B" w:rsidRDefault="00FB3503" w:rsidP="007446B1">
      <w:pPr>
        <w:numPr>
          <w:ilvl w:val="0"/>
          <w:numId w:val="21"/>
        </w:numPr>
        <w:rPr>
          <w:u w:val="single"/>
        </w:rPr>
      </w:pPr>
      <w:r w:rsidRPr="0014383B">
        <w:rPr>
          <w:u w:val="single"/>
        </w:rPr>
        <w:t>Depreciation</w:t>
      </w:r>
    </w:p>
    <w:p w14:paraId="0E2C855F" w14:textId="77777777" w:rsidR="00B620F4" w:rsidRPr="0014383B" w:rsidRDefault="00B620F4" w:rsidP="00B620F4">
      <w:pPr>
        <w:ind w:left="2160"/>
        <w:rPr>
          <w:u w:val="single"/>
        </w:rPr>
      </w:pPr>
    </w:p>
    <w:p w14:paraId="4A2A12BF" w14:textId="08DAB550" w:rsidR="00B620F4" w:rsidRPr="0014383B" w:rsidRDefault="00B620F4" w:rsidP="00B620F4">
      <w:pPr>
        <w:ind w:left="2160"/>
      </w:pPr>
      <w:bookmarkStart w:id="93" w:name="_Hlk170815608"/>
      <w:r w:rsidRPr="0014383B">
        <w:t xml:space="preserve">Depreciation is charged </w:t>
      </w:r>
      <w:r w:rsidR="00F02059" w:rsidRPr="0014383B">
        <w:t xml:space="preserve">on all assets with a finite useful life by the systematic allocation of the depreciable amounts over </w:t>
      </w:r>
      <w:r w:rsidR="002D6620" w:rsidRPr="0014383B">
        <w:t xml:space="preserve">the period for which </w:t>
      </w:r>
      <w:r w:rsidR="00572249" w:rsidRPr="0014383B">
        <w:t xml:space="preserve">the asset </w:t>
      </w:r>
      <w:r w:rsidR="002D6620" w:rsidRPr="0014383B">
        <w:t>is</w:t>
      </w:r>
      <w:r w:rsidR="00572249" w:rsidRPr="0014383B">
        <w:t xml:space="preserve"> </w:t>
      </w:r>
      <w:r w:rsidR="002D6620" w:rsidRPr="0014383B">
        <w:t>available for use by the authority</w:t>
      </w:r>
      <w:r w:rsidR="00F02059" w:rsidRPr="0014383B">
        <w:t xml:space="preserve">. </w:t>
      </w:r>
    </w:p>
    <w:p w14:paraId="60393B2F" w14:textId="77777777" w:rsidR="00FB3503" w:rsidRPr="0014383B" w:rsidRDefault="00FB3503" w:rsidP="007446B1">
      <w:pPr>
        <w:ind w:left="720"/>
        <w:rPr>
          <w:u w:val="single"/>
        </w:rPr>
      </w:pPr>
    </w:p>
    <w:p w14:paraId="06680A04" w14:textId="308861A1" w:rsidR="00FB3503" w:rsidRPr="00964B62" w:rsidRDefault="00FB3503" w:rsidP="007446B1">
      <w:pPr>
        <w:pStyle w:val="BodyTextIndent3"/>
        <w:numPr>
          <w:ilvl w:val="0"/>
          <w:numId w:val="8"/>
        </w:numPr>
        <w:tabs>
          <w:tab w:val="clear" w:pos="1800"/>
          <w:tab w:val="num" w:pos="2847"/>
        </w:tabs>
        <w:spacing w:after="0"/>
        <w:ind w:left="2847" w:hanging="709"/>
      </w:pPr>
      <w:r w:rsidRPr="00964B62">
        <w:t xml:space="preserve">Intangible assets are assessed over their estimated useful life, </w:t>
      </w:r>
      <w:r w:rsidR="0056405D" w:rsidRPr="00964B62">
        <w:t>five</w:t>
      </w:r>
      <w:r w:rsidRPr="00964B62">
        <w:t xml:space="preserve"> years.</w:t>
      </w:r>
    </w:p>
    <w:p w14:paraId="6054E4A9" w14:textId="2C196967" w:rsidR="00FB3503" w:rsidRPr="00964B62" w:rsidRDefault="00FB3503" w:rsidP="007446B1">
      <w:pPr>
        <w:pStyle w:val="BodyTextIndent3"/>
        <w:numPr>
          <w:ilvl w:val="0"/>
          <w:numId w:val="6"/>
        </w:numPr>
        <w:tabs>
          <w:tab w:val="clear" w:pos="720"/>
          <w:tab w:val="num" w:pos="2880"/>
        </w:tabs>
        <w:spacing w:after="0"/>
        <w:ind w:left="2880"/>
      </w:pPr>
      <w:r w:rsidRPr="00964B62">
        <w:t xml:space="preserve">Land is assessed as having an infinite </w:t>
      </w:r>
      <w:r w:rsidR="001C0FE4" w:rsidRPr="00964B62">
        <w:t>life and</w:t>
      </w:r>
      <w:r w:rsidRPr="00964B62">
        <w:t xml:space="preserve"> therefore is not depreciated.</w:t>
      </w:r>
    </w:p>
    <w:p w14:paraId="33D523DA" w14:textId="77777777" w:rsidR="00FB3503" w:rsidRPr="00964B62" w:rsidRDefault="00FB3503" w:rsidP="007446B1">
      <w:pPr>
        <w:pStyle w:val="BodyTextIndent3"/>
        <w:numPr>
          <w:ilvl w:val="0"/>
          <w:numId w:val="6"/>
        </w:numPr>
        <w:tabs>
          <w:tab w:val="clear" w:pos="720"/>
          <w:tab w:val="num" w:pos="2880"/>
        </w:tabs>
        <w:spacing w:after="0"/>
        <w:ind w:left="2880"/>
      </w:pPr>
      <w:r w:rsidRPr="00964B62">
        <w:t>Building assets are assessed for an appropriate property life by property professionals, in 10-year bands up to a maximum of 50 years.</w:t>
      </w:r>
    </w:p>
    <w:p w14:paraId="12CD30B9" w14:textId="5A91FE55" w:rsidR="00FB3503" w:rsidRPr="00964B62" w:rsidRDefault="00FB3503" w:rsidP="007446B1">
      <w:pPr>
        <w:pStyle w:val="BodyTextIndent3"/>
        <w:numPr>
          <w:ilvl w:val="0"/>
          <w:numId w:val="7"/>
        </w:numPr>
        <w:tabs>
          <w:tab w:val="clear" w:pos="720"/>
          <w:tab w:val="num" w:pos="2880"/>
        </w:tabs>
        <w:spacing w:after="0"/>
        <w:ind w:left="2880"/>
      </w:pPr>
      <w:r w:rsidRPr="00964B62">
        <w:t xml:space="preserve">Equipment is depreciated over their estimated useful life, ranging from </w:t>
      </w:r>
      <w:r w:rsidR="0056405D" w:rsidRPr="00964B62">
        <w:t>five</w:t>
      </w:r>
      <w:r w:rsidRPr="00964B62">
        <w:t xml:space="preserve"> to 20 years.</w:t>
      </w:r>
    </w:p>
    <w:p w14:paraId="0A79DF74" w14:textId="3F816146" w:rsidR="00FB3503" w:rsidRPr="00964B62" w:rsidRDefault="00FB3503" w:rsidP="001045AC">
      <w:pPr>
        <w:pStyle w:val="BodyTextIndent3"/>
        <w:numPr>
          <w:ilvl w:val="0"/>
          <w:numId w:val="7"/>
        </w:numPr>
        <w:tabs>
          <w:tab w:val="clear" w:pos="720"/>
          <w:tab w:val="num" w:pos="2880"/>
        </w:tabs>
        <w:spacing w:after="0"/>
        <w:ind w:left="2880"/>
      </w:pPr>
      <w:r w:rsidRPr="00964B62">
        <w:t xml:space="preserve">Vehicles are depreciated over their estimated useful life, ranging from </w:t>
      </w:r>
      <w:r w:rsidR="0056405D" w:rsidRPr="00964B62">
        <w:t>four</w:t>
      </w:r>
      <w:r w:rsidRPr="00964B62">
        <w:t xml:space="preserve"> to </w:t>
      </w:r>
      <w:r w:rsidR="001D7A7E" w:rsidRPr="00964B62">
        <w:t>20</w:t>
      </w:r>
      <w:r w:rsidRPr="00964B62">
        <w:t xml:space="preserve"> years.</w:t>
      </w:r>
      <w:bookmarkEnd w:id="93"/>
    </w:p>
    <w:p w14:paraId="603FAE77" w14:textId="3C103434" w:rsidR="00D45CFC" w:rsidRPr="00964B62" w:rsidRDefault="00D45CFC" w:rsidP="007446B1"/>
    <w:p w14:paraId="0614E94E" w14:textId="77777777" w:rsidR="00FB3503" w:rsidRPr="00964B62" w:rsidRDefault="00FB3503" w:rsidP="007446B1">
      <w:pPr>
        <w:pStyle w:val="BodyTextIndent3"/>
        <w:spacing w:after="0"/>
        <w:rPr>
          <w:u w:val="single"/>
        </w:rPr>
      </w:pPr>
      <w:r w:rsidRPr="00964B62">
        <w:t>vi)</w:t>
      </w:r>
      <w:r w:rsidRPr="00964B62">
        <w:tab/>
      </w:r>
      <w:r w:rsidRPr="00964B62">
        <w:rPr>
          <w:u w:val="single"/>
        </w:rPr>
        <w:t>Componentisation</w:t>
      </w:r>
    </w:p>
    <w:p w14:paraId="6B4706F0" w14:textId="77777777" w:rsidR="00FB3503" w:rsidRPr="00964B62" w:rsidRDefault="00FB3503" w:rsidP="007446B1">
      <w:pPr>
        <w:pStyle w:val="BodyTextIndent3"/>
        <w:spacing w:after="0"/>
        <w:rPr>
          <w:u w:val="single"/>
        </w:rPr>
      </w:pPr>
    </w:p>
    <w:p w14:paraId="1EE20878" w14:textId="33077F37" w:rsidR="00FB3503" w:rsidRPr="00964B62" w:rsidRDefault="00FB3503" w:rsidP="007446B1">
      <w:pPr>
        <w:pStyle w:val="BodyTextIndent3"/>
        <w:spacing w:after="0"/>
        <w:ind w:left="2160"/>
      </w:pPr>
      <w:r w:rsidRPr="00964B62">
        <w:t>From 1 April 2010, the Authority is required to separately recognise, depreciate and de-recognise significant components of assets, where the significant component has a different useful life to the remainder of the asset. Assets with a carrying value of less than £</w:t>
      </w:r>
      <w:r w:rsidR="009A53AD" w:rsidRPr="00964B62">
        <w:t>1.0</w:t>
      </w:r>
      <w:r w:rsidR="0056405D" w:rsidRPr="00964B62">
        <w:t xml:space="preserve"> </w:t>
      </w:r>
      <w:r w:rsidR="009A53AD" w:rsidRPr="00964B62">
        <w:t>m</w:t>
      </w:r>
      <w:r w:rsidR="0056405D" w:rsidRPr="00964B62">
        <w:t>illion</w:t>
      </w:r>
      <w:r w:rsidRPr="00964B62">
        <w:t xml:space="preserve"> will not be subject to componentisation rules, and a significant component is one of over 25% of the asset carrying value. Components will only be recognised on assets valued after 1 April 2010.</w:t>
      </w:r>
    </w:p>
    <w:p w14:paraId="606BB0FE" w14:textId="77777777" w:rsidR="00FB3503" w:rsidRPr="00964B62" w:rsidRDefault="00FB3503" w:rsidP="007446B1">
      <w:pPr>
        <w:pStyle w:val="BodyTextIndent3"/>
        <w:spacing w:after="0"/>
        <w:ind w:left="2160"/>
      </w:pPr>
    </w:p>
    <w:p w14:paraId="1E71F277" w14:textId="77777777" w:rsidR="00FB3503" w:rsidRPr="00964B62" w:rsidRDefault="00FB3503" w:rsidP="007446B1">
      <w:pPr>
        <w:pStyle w:val="BodyTextIndent3"/>
        <w:spacing w:after="0"/>
        <w:rPr>
          <w:u w:val="single"/>
        </w:rPr>
      </w:pPr>
      <w:r w:rsidRPr="00964B62">
        <w:t>vii)</w:t>
      </w:r>
      <w:r w:rsidRPr="00964B62">
        <w:tab/>
      </w:r>
      <w:r w:rsidRPr="00964B62">
        <w:rPr>
          <w:u w:val="single"/>
        </w:rPr>
        <w:t>Derecognition</w:t>
      </w:r>
    </w:p>
    <w:p w14:paraId="146F922E" w14:textId="77777777" w:rsidR="00FB3503" w:rsidRPr="00964B62" w:rsidRDefault="00FB3503" w:rsidP="007446B1">
      <w:pPr>
        <w:pStyle w:val="BodyTextIndent3"/>
        <w:spacing w:after="0"/>
      </w:pPr>
    </w:p>
    <w:p w14:paraId="3295F811" w14:textId="125C4860" w:rsidR="00FB3503" w:rsidRDefault="00FB3503" w:rsidP="007446B1">
      <w:pPr>
        <w:pStyle w:val="BodyTextIndent3"/>
        <w:spacing w:after="0"/>
        <w:ind w:left="2160"/>
      </w:pPr>
      <w:r w:rsidRPr="00964B62">
        <w:t>Assets will be derecognised when no further economic benefits are expected from the asset’s use or disposal – when the economic benefits inherent in the asset have been used up.</w:t>
      </w:r>
      <w:r>
        <w:t xml:space="preserve"> </w:t>
      </w:r>
    </w:p>
    <w:p w14:paraId="16240536" w14:textId="77777777" w:rsidR="007B2B60" w:rsidRDefault="007B2B60">
      <w:pPr>
        <w:rPr>
          <w:b/>
          <w:highlight w:val="yellow"/>
        </w:rPr>
      </w:pPr>
      <w:r>
        <w:rPr>
          <w:b/>
          <w:highlight w:val="yellow"/>
        </w:rPr>
        <w:br w:type="page"/>
      </w:r>
    </w:p>
    <w:p w14:paraId="6A155B9C" w14:textId="4E2BE13E" w:rsidR="001D2D4D" w:rsidRPr="00964B62" w:rsidRDefault="00FB3503" w:rsidP="00C6479D">
      <w:pPr>
        <w:ind w:firstLine="720"/>
      </w:pPr>
      <w:r w:rsidRPr="00CD6EFF">
        <w:rPr>
          <w:b/>
        </w:rPr>
        <w:lastRenderedPageBreak/>
        <w:t>j</w:t>
      </w:r>
      <w:r w:rsidRPr="00CD6EFF">
        <w:tab/>
      </w:r>
      <w:r w:rsidR="001D2D4D" w:rsidRPr="00964B62">
        <w:rPr>
          <w:b/>
          <w:bCs/>
        </w:rPr>
        <w:t>O</w:t>
      </w:r>
      <w:r w:rsidR="0077327A" w:rsidRPr="00964B62">
        <w:rPr>
          <w:b/>
          <w:bCs/>
        </w:rPr>
        <w:t>perating Leases</w:t>
      </w:r>
      <w:r w:rsidR="001D2D4D" w:rsidRPr="00964B62">
        <w:rPr>
          <w:b/>
          <w:bCs/>
        </w:rPr>
        <w:t xml:space="preserve"> (IFRS</w:t>
      </w:r>
      <w:r w:rsidR="001D2D4D" w:rsidRPr="00964B62">
        <w:rPr>
          <w:b/>
        </w:rPr>
        <w:t xml:space="preserve"> 16)</w:t>
      </w:r>
    </w:p>
    <w:p w14:paraId="64847C43" w14:textId="77777777" w:rsidR="00426AB8" w:rsidRPr="00964B62" w:rsidRDefault="00426AB8" w:rsidP="001D2D4D"/>
    <w:p w14:paraId="50685A85" w14:textId="7B5AB8D4" w:rsidR="001D2D4D" w:rsidRPr="00964B62" w:rsidRDefault="742F73D9" w:rsidP="00C6479D">
      <w:pPr>
        <w:ind w:left="1440"/>
      </w:pPr>
      <w:r w:rsidRPr="00964B62">
        <w:t>The</w:t>
      </w:r>
      <w:r w:rsidR="001D2D4D" w:rsidRPr="00964B62">
        <w:t xml:space="preserve"> Authority applied IFRS 16 Leases as required by the Code of Practice for Local Authority Accounting. A right of use asset and a lease liability are now included on the balance sheet from 1</w:t>
      </w:r>
      <w:r w:rsidR="001D2D4D" w:rsidRPr="00964B62">
        <w:rPr>
          <w:vertAlign w:val="superscript"/>
        </w:rPr>
        <w:t>st</w:t>
      </w:r>
      <w:r w:rsidR="001D2D4D" w:rsidRPr="00964B62">
        <w:t xml:space="preserve"> April 2024. Recognition exemptions have been elected to be applied to low value assets and to short term leases i.e. existing leases that expire on or before 31 March 202</w:t>
      </w:r>
      <w:r w:rsidR="003E300A" w:rsidRPr="00964B62">
        <w:t>6</w:t>
      </w:r>
      <w:r w:rsidR="001D2D4D" w:rsidRPr="00964B62">
        <w:t xml:space="preserve"> and new leases with the duration of less than 12 months.</w:t>
      </w:r>
    </w:p>
    <w:p w14:paraId="341AAE48" w14:textId="77777777" w:rsidR="00C6479D" w:rsidRPr="00964B62" w:rsidRDefault="00C6479D" w:rsidP="00C6479D">
      <w:pPr>
        <w:ind w:left="1440"/>
      </w:pPr>
    </w:p>
    <w:p w14:paraId="4E657AE7" w14:textId="77777777" w:rsidR="001D2D4D" w:rsidRPr="00CD6EFF" w:rsidRDefault="001D2D4D" w:rsidP="00246684">
      <w:pPr>
        <w:ind w:left="1440"/>
      </w:pPr>
      <w:r w:rsidRPr="00964B62">
        <w:t>The Authority classifies contracts as leases based on their substance. Contracts and parts of contracts, including those described as contracts for services, are analysed to determine whether</w:t>
      </w:r>
      <w:r>
        <w:t xml:space="preserve"> they convey the right to control the use of an identified asset, through rights both to obtain substantially all the economic benefits or service potential from that asset and to direct its use.</w:t>
      </w:r>
      <w:r w:rsidRPr="00CD6EFF">
        <w:t xml:space="preserve"> </w:t>
      </w:r>
    </w:p>
    <w:p w14:paraId="1D5CAB6D" w14:textId="09492131" w:rsidR="00460D60" w:rsidRDefault="00460D60" w:rsidP="007446B1">
      <w:pPr>
        <w:ind w:left="720"/>
      </w:pPr>
    </w:p>
    <w:p w14:paraId="68B224F4" w14:textId="10E0B171" w:rsidR="00FB3503" w:rsidRPr="00A278E6" w:rsidRDefault="00246684" w:rsidP="00246684">
      <w:pPr>
        <w:ind w:firstLine="720"/>
        <w:rPr>
          <w:b/>
        </w:rPr>
      </w:pPr>
      <w:r w:rsidRPr="00A278E6">
        <w:rPr>
          <w:b/>
        </w:rPr>
        <w:t>k</w:t>
      </w:r>
      <w:r>
        <w:tab/>
      </w:r>
      <w:r w:rsidR="00FB3503" w:rsidRPr="07D2BD5F">
        <w:rPr>
          <w:b/>
        </w:rPr>
        <w:t>Private Finance Initiative (PFI) and similar contracts</w:t>
      </w:r>
    </w:p>
    <w:p w14:paraId="1540A359" w14:textId="77777777" w:rsidR="00FB3503" w:rsidRPr="00A278E6" w:rsidRDefault="00FB3503" w:rsidP="007446B1">
      <w:pPr>
        <w:pStyle w:val="BodyTextIndent"/>
        <w:ind w:left="1440"/>
        <w:rPr>
          <w:u w:val="single"/>
          <w:lang w:val="en-GB"/>
        </w:rPr>
      </w:pPr>
    </w:p>
    <w:p w14:paraId="6BC746BA" w14:textId="6047D202" w:rsidR="00FB3503" w:rsidRPr="00DA5022" w:rsidRDefault="00FB3503" w:rsidP="007446B1">
      <w:pPr>
        <w:pStyle w:val="BodyTextIndent"/>
        <w:ind w:left="1440"/>
        <w:rPr>
          <w:u w:val="single"/>
          <w:lang w:val="en-GB"/>
        </w:rPr>
      </w:pPr>
      <w:r w:rsidRPr="07D2BD5F">
        <w:rPr>
          <w:u w:val="single"/>
          <w:lang w:val="en-GB"/>
        </w:rPr>
        <w:t xml:space="preserve">Current </w:t>
      </w:r>
      <w:r w:rsidR="0094180B" w:rsidRPr="07D2BD5F">
        <w:rPr>
          <w:u w:val="single"/>
          <w:lang w:val="en-GB"/>
        </w:rPr>
        <w:t>S</w:t>
      </w:r>
      <w:r w:rsidRPr="07D2BD5F">
        <w:rPr>
          <w:u w:val="single"/>
          <w:lang w:val="en-GB"/>
        </w:rPr>
        <w:t>tatus</w:t>
      </w:r>
    </w:p>
    <w:p w14:paraId="56F12CA7" w14:textId="77777777" w:rsidR="00FB3503" w:rsidRPr="00DA5022" w:rsidRDefault="00FB3503" w:rsidP="007446B1">
      <w:pPr>
        <w:pStyle w:val="BodyTextIndent"/>
        <w:ind w:left="1440"/>
        <w:rPr>
          <w:lang w:val="en-GB"/>
        </w:rPr>
      </w:pPr>
    </w:p>
    <w:p w14:paraId="7D4AEFD6" w14:textId="77777777" w:rsidR="00FB3503" w:rsidRPr="00DA5022" w:rsidRDefault="00FB3503" w:rsidP="007446B1">
      <w:pPr>
        <w:pStyle w:val="BodyTextIndent"/>
        <w:ind w:left="1440"/>
        <w:rPr>
          <w:lang w:val="en-GB"/>
        </w:rPr>
      </w:pPr>
      <w:r w:rsidRPr="07D2BD5F">
        <w:rPr>
          <w:lang w:val="en-GB"/>
        </w:rPr>
        <w:t>The Authority has two existing PFI arrangements:</w:t>
      </w:r>
    </w:p>
    <w:p w14:paraId="3EDFD788" w14:textId="77777777" w:rsidR="00FB3503" w:rsidRPr="00DA5022" w:rsidRDefault="00FB3503" w:rsidP="007446B1">
      <w:pPr>
        <w:pStyle w:val="BodyTextIndent"/>
        <w:numPr>
          <w:ilvl w:val="0"/>
          <w:numId w:val="22"/>
        </w:numPr>
        <w:rPr>
          <w:lang w:val="en-GB"/>
        </w:rPr>
      </w:pPr>
      <w:r w:rsidRPr="07D2BD5F">
        <w:rPr>
          <w:lang w:val="en-GB"/>
        </w:rPr>
        <w:t xml:space="preserve">With PFF Lancashire for Hyndburn and Morecambe fire stations, which is a continuing commitment for 30 years from May 2003; and </w:t>
      </w:r>
    </w:p>
    <w:p w14:paraId="2C5C60BD" w14:textId="66AE1D81" w:rsidR="00FB3503" w:rsidRPr="00DA5022" w:rsidRDefault="00FB3503" w:rsidP="007446B1">
      <w:pPr>
        <w:pStyle w:val="BodyTextIndent"/>
        <w:numPr>
          <w:ilvl w:val="0"/>
          <w:numId w:val="22"/>
        </w:numPr>
        <w:rPr>
          <w:lang w:val="en-GB"/>
        </w:rPr>
      </w:pPr>
      <w:r w:rsidRPr="07D2BD5F">
        <w:rPr>
          <w:lang w:val="en-GB"/>
        </w:rPr>
        <w:t>With Fire and Rescue NW Limited to replace four fire stations in Lancashire as part of a wider scheme to replace 16 in total in conjunction with Merseyside Fire and Rescue Authority and Cumbria County Council. The contract will run for 25 years from the date of the final station being handed over during 2013</w:t>
      </w:r>
      <w:r w:rsidR="00972859">
        <w:rPr>
          <w:lang w:val="en-GB"/>
        </w:rPr>
        <w:t>-</w:t>
      </w:r>
      <w:r w:rsidRPr="07D2BD5F">
        <w:rPr>
          <w:lang w:val="en-GB"/>
        </w:rPr>
        <w:t>14.</w:t>
      </w:r>
    </w:p>
    <w:p w14:paraId="6EF7EE73" w14:textId="77777777" w:rsidR="00FB3503" w:rsidRPr="00DA5022" w:rsidRDefault="00FB3503" w:rsidP="007446B1">
      <w:pPr>
        <w:pStyle w:val="BodyTextIndent"/>
        <w:ind w:left="1136"/>
        <w:rPr>
          <w:lang w:val="en-GB"/>
        </w:rPr>
      </w:pPr>
    </w:p>
    <w:p w14:paraId="3883B008" w14:textId="41A6EEB6" w:rsidR="00FB3503" w:rsidRPr="00DA5022" w:rsidRDefault="00FB3503" w:rsidP="007446B1">
      <w:pPr>
        <w:pStyle w:val="BodyTextIndent"/>
        <w:ind w:left="1496"/>
        <w:rPr>
          <w:lang w:val="en-GB"/>
        </w:rPr>
      </w:pPr>
      <w:r w:rsidRPr="07D2BD5F">
        <w:rPr>
          <w:lang w:val="en-GB"/>
        </w:rPr>
        <w:t xml:space="preserve">Revenue transactions relating to the above schemes are explained in </w:t>
      </w:r>
      <w:hyperlink w:anchor="_15_PFI_Schemes" w:history="1">
        <w:r w:rsidR="00643D60" w:rsidRPr="07D2BD5F">
          <w:rPr>
            <w:rStyle w:val="Hyperlink"/>
            <w:lang w:val="en-GB"/>
          </w:rPr>
          <w:t>Note 15</w:t>
        </w:r>
      </w:hyperlink>
      <w:r w:rsidRPr="07D2BD5F">
        <w:rPr>
          <w:lang w:val="en-GB"/>
        </w:rPr>
        <w:t>.</w:t>
      </w:r>
    </w:p>
    <w:p w14:paraId="2F04FF4B" w14:textId="77777777" w:rsidR="00FB3503" w:rsidRPr="00DA5022" w:rsidRDefault="00FB3503" w:rsidP="007446B1">
      <w:pPr>
        <w:pStyle w:val="BodyTextIndent"/>
        <w:ind w:left="1496"/>
        <w:rPr>
          <w:lang w:val="en-GB"/>
        </w:rPr>
      </w:pPr>
    </w:p>
    <w:p w14:paraId="6DC2B8A9" w14:textId="77777777" w:rsidR="00FB3503" w:rsidRPr="00DA5022" w:rsidRDefault="00FB3503" w:rsidP="007446B1">
      <w:pPr>
        <w:pStyle w:val="BodyTextIndent"/>
        <w:ind w:left="1440"/>
        <w:rPr>
          <w:u w:val="single"/>
          <w:lang w:val="en-GB"/>
        </w:rPr>
      </w:pPr>
      <w:r w:rsidRPr="07D2BD5F">
        <w:rPr>
          <w:u w:val="single"/>
          <w:lang w:val="en-GB"/>
        </w:rPr>
        <w:t>Accounting for PFI</w:t>
      </w:r>
    </w:p>
    <w:p w14:paraId="6233121F" w14:textId="77777777" w:rsidR="00FB3503" w:rsidRPr="00DA5022" w:rsidRDefault="00FB3503" w:rsidP="007446B1">
      <w:pPr>
        <w:pStyle w:val="BodyTextIndent"/>
        <w:ind w:left="1440"/>
        <w:rPr>
          <w:szCs w:val="24"/>
          <w:highlight w:val="green"/>
          <w:lang w:val="en-GB"/>
        </w:rPr>
      </w:pPr>
    </w:p>
    <w:p w14:paraId="5C4B0A4C" w14:textId="74DD66F5" w:rsidR="00FB3503" w:rsidRPr="00054E6A" w:rsidRDefault="00FB3503" w:rsidP="007446B1">
      <w:pPr>
        <w:pStyle w:val="BodyTextIndent"/>
        <w:ind w:left="1440"/>
        <w:rPr>
          <w:lang w:val="en-GB"/>
        </w:rPr>
      </w:pPr>
      <w:r w:rsidRPr="0EB90F0A">
        <w:rPr>
          <w:lang w:val="en-GB"/>
        </w:rPr>
        <w:t>PFI contracts are agreements to receive services, where responsibility for making available the non</w:t>
      </w:r>
      <w:r w:rsidR="0094180B" w:rsidRPr="0EB90F0A">
        <w:rPr>
          <w:lang w:val="en-GB"/>
        </w:rPr>
        <w:t>-</w:t>
      </w:r>
      <w:r w:rsidRPr="0EB90F0A">
        <w:rPr>
          <w:lang w:val="en-GB"/>
        </w:rPr>
        <w:t>current assets to provide services passes to the PFI contractor.</w:t>
      </w:r>
      <w:r w:rsidR="0094180B" w:rsidRPr="0EB90F0A">
        <w:rPr>
          <w:lang w:val="en-GB"/>
        </w:rPr>
        <w:t xml:space="preserve"> </w:t>
      </w:r>
      <w:r w:rsidRPr="0EB90F0A">
        <w:rPr>
          <w:lang w:val="en-GB"/>
        </w:rPr>
        <w:t>The PFI scheme is accounted for on a consistent basis to IFRIC 12</w:t>
      </w:r>
      <w:r w:rsidR="00101C38" w:rsidRPr="0EB90F0A">
        <w:rPr>
          <w:lang w:val="en-GB"/>
        </w:rPr>
        <w:t xml:space="preserve"> and IFRS 16</w:t>
      </w:r>
      <w:r w:rsidR="00DA5022" w:rsidRPr="0EB90F0A">
        <w:rPr>
          <w:lang w:val="en-GB"/>
        </w:rPr>
        <w:t>.</w:t>
      </w:r>
    </w:p>
    <w:p w14:paraId="6F97FCF0" w14:textId="77777777" w:rsidR="003D76C3" w:rsidRPr="00BA6037" w:rsidRDefault="003D76C3" w:rsidP="007446B1">
      <w:pPr>
        <w:pStyle w:val="BodyTextIndent"/>
        <w:ind w:left="0"/>
        <w:rPr>
          <w:u w:val="single"/>
          <w:lang w:val="en-GB"/>
        </w:rPr>
      </w:pPr>
    </w:p>
    <w:p w14:paraId="63438289" w14:textId="18E3A0AE" w:rsidR="00FB3503" w:rsidRPr="009635BF" w:rsidRDefault="00FB3503" w:rsidP="007446B1">
      <w:pPr>
        <w:pStyle w:val="BodyTextIndent"/>
        <w:ind w:left="1440"/>
        <w:rPr>
          <w:u w:val="single"/>
          <w:lang w:val="en-GB"/>
        </w:rPr>
      </w:pPr>
      <w:r w:rsidRPr="0EB90F0A">
        <w:rPr>
          <w:u w:val="single"/>
          <w:lang w:val="en-GB"/>
        </w:rPr>
        <w:t>Recognition of assets and liabilities</w:t>
      </w:r>
    </w:p>
    <w:p w14:paraId="2FF3BC5B" w14:textId="77777777" w:rsidR="00FB3503" w:rsidRPr="009635BF" w:rsidRDefault="00FB3503" w:rsidP="007446B1">
      <w:pPr>
        <w:pStyle w:val="BodyTextIndent"/>
        <w:ind w:left="1440"/>
        <w:rPr>
          <w:lang w:val="en-GB"/>
        </w:rPr>
      </w:pPr>
    </w:p>
    <w:p w14:paraId="348DA8D4" w14:textId="5811060E" w:rsidR="00FB3503" w:rsidRPr="009635BF" w:rsidRDefault="00FB3503" w:rsidP="007446B1">
      <w:pPr>
        <w:pStyle w:val="BodyTextIndent"/>
        <w:ind w:left="1440"/>
        <w:rPr>
          <w:lang w:val="en-GB"/>
        </w:rPr>
      </w:pPr>
      <w:r w:rsidRPr="0EB90F0A">
        <w:rPr>
          <w:lang w:val="en-GB"/>
        </w:rPr>
        <w:t>Fire stations provided under PFI contracts are recognised as non</w:t>
      </w:r>
      <w:r w:rsidR="0094180B" w:rsidRPr="0EB90F0A">
        <w:rPr>
          <w:lang w:val="en-GB"/>
        </w:rPr>
        <w:t>-</w:t>
      </w:r>
      <w:r w:rsidRPr="0EB90F0A">
        <w:rPr>
          <w:lang w:val="en-GB"/>
        </w:rPr>
        <w:t>current assets of the Authority. A related liability is also recognised. The asset and liability are recognised when the asset is made available for use. The related liability is initially measured at the value of the related asset and subsequently calculated using the same actuarial method used for finance leases.</w:t>
      </w:r>
    </w:p>
    <w:p w14:paraId="3992A894" w14:textId="77777777" w:rsidR="00FB3503" w:rsidRPr="009635BF" w:rsidRDefault="00FB3503" w:rsidP="007446B1">
      <w:pPr>
        <w:pStyle w:val="BodyTextIndent"/>
        <w:ind w:left="1440"/>
        <w:rPr>
          <w:lang w:val="en-GB"/>
        </w:rPr>
      </w:pPr>
    </w:p>
    <w:p w14:paraId="4A5A0E41" w14:textId="08E0C7DC" w:rsidR="00FB3503" w:rsidRPr="009635BF" w:rsidRDefault="00FB3503" w:rsidP="007446B1">
      <w:pPr>
        <w:pStyle w:val="BodyTextIndent"/>
        <w:ind w:left="1440"/>
        <w:rPr>
          <w:lang w:val="en-GB"/>
        </w:rPr>
      </w:pPr>
      <w:r w:rsidRPr="0EB90F0A">
        <w:rPr>
          <w:lang w:val="en-GB"/>
        </w:rPr>
        <w:t>Once on the balance sheet the PFI assets will be treated in the same way as all other non</w:t>
      </w:r>
      <w:r w:rsidR="0094180B" w:rsidRPr="0EB90F0A">
        <w:rPr>
          <w:lang w:val="en-GB"/>
        </w:rPr>
        <w:t>-</w:t>
      </w:r>
      <w:r w:rsidRPr="0EB90F0A">
        <w:rPr>
          <w:lang w:val="en-GB"/>
        </w:rPr>
        <w:t xml:space="preserve">current assets of the same type including depreciation, </w:t>
      </w:r>
      <w:r w:rsidR="0094180B" w:rsidRPr="0EB90F0A">
        <w:rPr>
          <w:lang w:val="en-GB"/>
        </w:rPr>
        <w:t>impairment,</w:t>
      </w:r>
      <w:r w:rsidRPr="0EB90F0A">
        <w:rPr>
          <w:lang w:val="en-GB"/>
        </w:rPr>
        <w:t xml:space="preserve"> and revaluation.</w:t>
      </w:r>
    </w:p>
    <w:p w14:paraId="166976AB" w14:textId="77777777" w:rsidR="003D76C3" w:rsidRPr="009635BF" w:rsidRDefault="003D76C3" w:rsidP="007446B1">
      <w:pPr>
        <w:pStyle w:val="BodyTextIndent"/>
        <w:ind w:left="1440"/>
        <w:rPr>
          <w:lang w:val="en-GB"/>
        </w:rPr>
      </w:pPr>
    </w:p>
    <w:p w14:paraId="1EC1CA8B" w14:textId="77777777" w:rsidR="00FB3503" w:rsidRPr="009635BF" w:rsidRDefault="00FB3503" w:rsidP="007446B1">
      <w:pPr>
        <w:pStyle w:val="BodyTextIndent"/>
        <w:ind w:left="1440"/>
        <w:rPr>
          <w:u w:val="single"/>
          <w:lang w:val="en-GB"/>
        </w:rPr>
      </w:pPr>
      <w:r w:rsidRPr="6CD646BC">
        <w:rPr>
          <w:u w:val="single"/>
          <w:lang w:val="en-GB"/>
        </w:rPr>
        <w:t>Minimum Revenue Provision (MRP)</w:t>
      </w:r>
    </w:p>
    <w:p w14:paraId="0B83FE0E" w14:textId="77777777" w:rsidR="00FB3503" w:rsidRPr="009635BF" w:rsidRDefault="00FB3503" w:rsidP="007446B1">
      <w:pPr>
        <w:pStyle w:val="BodyTextIndent"/>
        <w:ind w:left="1440"/>
        <w:rPr>
          <w:lang w:val="en-GB"/>
        </w:rPr>
      </w:pPr>
    </w:p>
    <w:p w14:paraId="61B62478" w14:textId="4D509D98" w:rsidR="00FB3503" w:rsidRPr="007936C2" w:rsidRDefault="00FB3503" w:rsidP="007446B1">
      <w:pPr>
        <w:pStyle w:val="BodyTextIndent"/>
        <w:ind w:left="1440"/>
        <w:rPr>
          <w:lang w:val="en-GB"/>
        </w:rPr>
      </w:pPr>
      <w:r w:rsidRPr="6CD646BC">
        <w:rPr>
          <w:lang w:val="en-GB"/>
        </w:rPr>
        <w:t xml:space="preserve">Assets acquired under a PFI that are recognised on the balance sheet are subject to MRP in the same way as assets acquired using other forms of borrowing. The amounts of MRP are calculated in accordance with the appropriate regulations and statutory </w:t>
      </w:r>
      <w:r w:rsidRPr="6CD646BC">
        <w:rPr>
          <w:lang w:val="en-GB"/>
        </w:rPr>
        <w:lastRenderedPageBreak/>
        <w:t>guidance. MRP is equal to that element of the unitary charge which is applied to repay the outstanding liability.</w:t>
      </w:r>
    </w:p>
    <w:p w14:paraId="23A1F114" w14:textId="77777777" w:rsidR="00FB3503" w:rsidRPr="007936C2" w:rsidRDefault="00FB3503" w:rsidP="007446B1">
      <w:pPr>
        <w:pStyle w:val="BodyTextIndent"/>
        <w:ind w:left="1440"/>
        <w:rPr>
          <w:u w:val="single"/>
          <w:lang w:val="en-GB"/>
        </w:rPr>
      </w:pPr>
    </w:p>
    <w:p w14:paraId="16AA4BCF" w14:textId="77777777" w:rsidR="00FB3503" w:rsidRPr="00C97906" w:rsidRDefault="00FB3503" w:rsidP="007446B1">
      <w:pPr>
        <w:pStyle w:val="BodyTextIndent"/>
        <w:ind w:left="1440"/>
        <w:rPr>
          <w:u w:val="single"/>
          <w:lang w:val="en-GB"/>
        </w:rPr>
      </w:pPr>
      <w:r w:rsidRPr="6CD646BC">
        <w:rPr>
          <w:u w:val="single"/>
          <w:lang w:val="en-GB"/>
        </w:rPr>
        <w:t>Unitary Payment</w:t>
      </w:r>
    </w:p>
    <w:p w14:paraId="1E2AF8E0" w14:textId="77777777" w:rsidR="00FB3503" w:rsidRPr="00C97906" w:rsidRDefault="00FB3503" w:rsidP="007446B1">
      <w:pPr>
        <w:pStyle w:val="BodyTextIndent"/>
        <w:ind w:left="1440"/>
        <w:rPr>
          <w:lang w:val="en-GB"/>
        </w:rPr>
      </w:pPr>
    </w:p>
    <w:p w14:paraId="719A7773" w14:textId="202236CE" w:rsidR="00FB3503" w:rsidRPr="00C97906" w:rsidRDefault="00FB3503" w:rsidP="007446B1">
      <w:pPr>
        <w:pStyle w:val="BodyTextIndent"/>
        <w:ind w:left="1440"/>
        <w:rPr>
          <w:lang w:val="en-GB"/>
        </w:rPr>
      </w:pPr>
      <w:r w:rsidRPr="6CD646BC">
        <w:rPr>
          <w:lang w:val="en-GB"/>
        </w:rPr>
        <w:t>The unitary payment is a monthly charge payable to the PFI contractor in return for the services provided. This payment is analysed into elements for the fair value of services, capital and revenue lifecycle (planned maintenance), contingent lease rentals, the repayment of the outstanding liability and interest payable on the outstanding liability. The fair value of the services and the revenue lifecycle element are charged to the revenue account. The capital lifecycle element is charged to the non</w:t>
      </w:r>
      <w:r w:rsidR="0094180B" w:rsidRPr="6CD646BC">
        <w:rPr>
          <w:lang w:val="en-GB"/>
        </w:rPr>
        <w:t>-</w:t>
      </w:r>
      <w:r w:rsidRPr="6CD646BC">
        <w:rPr>
          <w:lang w:val="en-GB"/>
        </w:rPr>
        <w:t>current assets and funded by a revenue contribution. The contingent lease rentals and interest payable are recorded in the “interest payable and similar charges” account outside the net cost of services but within net operating expenditure in the income and expenditure account.</w:t>
      </w:r>
    </w:p>
    <w:p w14:paraId="4DE55AF5" w14:textId="77777777" w:rsidR="00FB3503" w:rsidRPr="00C97906" w:rsidRDefault="00FB3503" w:rsidP="007446B1">
      <w:pPr>
        <w:pStyle w:val="BodyTextIndent"/>
        <w:ind w:left="1440"/>
        <w:rPr>
          <w:lang w:val="en-GB"/>
        </w:rPr>
      </w:pPr>
    </w:p>
    <w:p w14:paraId="72DF3D4C" w14:textId="77777777" w:rsidR="00FB3503" w:rsidRPr="00C97906" w:rsidRDefault="00FB3503" w:rsidP="007446B1">
      <w:pPr>
        <w:pStyle w:val="BodyTextIndent"/>
        <w:ind w:left="1440"/>
        <w:rPr>
          <w:u w:val="single"/>
          <w:lang w:val="en-GB"/>
        </w:rPr>
      </w:pPr>
      <w:r w:rsidRPr="6CD646BC">
        <w:rPr>
          <w:u w:val="single"/>
          <w:lang w:val="en-GB"/>
        </w:rPr>
        <w:t>Deductions from the Unitary Payment</w:t>
      </w:r>
    </w:p>
    <w:p w14:paraId="793F73B5" w14:textId="77777777" w:rsidR="00FB3503" w:rsidRPr="00C97906" w:rsidRDefault="00FB3503" w:rsidP="007446B1">
      <w:pPr>
        <w:pStyle w:val="BodyTextIndent"/>
        <w:ind w:left="1440"/>
        <w:rPr>
          <w:lang w:val="en-GB"/>
        </w:rPr>
      </w:pPr>
    </w:p>
    <w:p w14:paraId="1246E490" w14:textId="4B265549" w:rsidR="00FB3503" w:rsidRPr="00C97906" w:rsidRDefault="00FB3503" w:rsidP="007446B1">
      <w:pPr>
        <w:pStyle w:val="BodyTextIndent"/>
        <w:ind w:left="1440"/>
        <w:rPr>
          <w:lang w:val="en-GB"/>
        </w:rPr>
      </w:pPr>
      <w:r w:rsidRPr="6CD646BC">
        <w:rPr>
          <w:lang w:val="en-GB"/>
        </w:rPr>
        <w:t xml:space="preserve">The PFI contracts provide for deductions from the unitary payment in the case of </w:t>
      </w:r>
      <w:r w:rsidR="0094180B" w:rsidRPr="6CD646BC">
        <w:rPr>
          <w:lang w:val="en-GB"/>
        </w:rPr>
        <w:t>substandard</w:t>
      </w:r>
      <w:r w:rsidRPr="6CD646BC">
        <w:rPr>
          <w:lang w:val="en-GB"/>
        </w:rPr>
        <w:t xml:space="preserve"> performance or when the facilities are unavailable. Deductions for </w:t>
      </w:r>
      <w:r w:rsidR="0094180B" w:rsidRPr="6CD646BC">
        <w:rPr>
          <w:lang w:val="en-GB"/>
        </w:rPr>
        <w:t>substandard</w:t>
      </w:r>
      <w:r w:rsidRPr="6CD646BC">
        <w:rPr>
          <w:lang w:val="en-GB"/>
        </w:rPr>
        <w:t xml:space="preserve"> performance are accounted for as a reduction in the amount paid for the affected services. Deductions arising from the unavailability of the property are apportioned pro rata to the proportions of the service and property elements of the unitary payment:</w:t>
      </w:r>
    </w:p>
    <w:p w14:paraId="44BB1AE4" w14:textId="59E09263" w:rsidR="00FB3503" w:rsidRPr="00C97906" w:rsidRDefault="00FB3503" w:rsidP="007446B1">
      <w:pPr>
        <w:pStyle w:val="BodyTextIndent"/>
        <w:numPr>
          <w:ilvl w:val="0"/>
          <w:numId w:val="8"/>
        </w:numPr>
        <w:tabs>
          <w:tab w:val="clear" w:pos="1800"/>
          <w:tab w:val="num" w:pos="2520"/>
        </w:tabs>
        <w:ind w:left="2520"/>
        <w:rPr>
          <w:lang w:val="en-GB"/>
        </w:rPr>
      </w:pPr>
      <w:r w:rsidRPr="6CD646BC">
        <w:rPr>
          <w:lang w:val="en-GB"/>
        </w:rPr>
        <w:t xml:space="preserve">A reduction for part or </w:t>
      </w:r>
      <w:r w:rsidR="0094180B" w:rsidRPr="6CD646BC">
        <w:rPr>
          <w:lang w:val="en-GB"/>
        </w:rPr>
        <w:t>all</w:t>
      </w:r>
      <w:r w:rsidRPr="6CD646BC">
        <w:rPr>
          <w:lang w:val="en-GB"/>
        </w:rPr>
        <w:t xml:space="preserve"> the property being unavailable for use – this will first be accounted for as an abatement of the contingent lease rentals, then finance costs if contingent rents are insufficient; and </w:t>
      </w:r>
    </w:p>
    <w:p w14:paraId="5903679B" w14:textId="77777777" w:rsidR="00FB3503" w:rsidRPr="00C97906" w:rsidRDefault="00FB3503" w:rsidP="007446B1">
      <w:pPr>
        <w:pStyle w:val="BodyTextIndent"/>
        <w:numPr>
          <w:ilvl w:val="0"/>
          <w:numId w:val="8"/>
        </w:numPr>
        <w:tabs>
          <w:tab w:val="clear" w:pos="1800"/>
          <w:tab w:val="num" w:pos="2520"/>
        </w:tabs>
        <w:ind w:left="2520"/>
        <w:rPr>
          <w:lang w:val="en-GB"/>
        </w:rPr>
      </w:pPr>
      <w:r w:rsidRPr="6CD646BC">
        <w:rPr>
          <w:lang w:val="en-GB"/>
        </w:rPr>
        <w:t>A reduction in the price paid for services whilst services are not being provided accounted for as a reduction in the amount paid for the affected services.</w:t>
      </w:r>
    </w:p>
    <w:p w14:paraId="72AA89C9" w14:textId="77777777" w:rsidR="00FB3503" w:rsidRPr="00C97906" w:rsidRDefault="00FB3503" w:rsidP="007446B1">
      <w:pPr>
        <w:pStyle w:val="BodyTextIndent"/>
        <w:ind w:left="1440"/>
        <w:rPr>
          <w:lang w:val="en-GB"/>
        </w:rPr>
      </w:pPr>
    </w:p>
    <w:p w14:paraId="1374D41E" w14:textId="15736FE0" w:rsidR="00FB3503" w:rsidRPr="00964B62" w:rsidRDefault="00FB3503" w:rsidP="007446B1">
      <w:pPr>
        <w:pStyle w:val="BodyTextIndent"/>
        <w:ind w:left="1440"/>
        <w:rPr>
          <w:lang w:val="en-GB"/>
        </w:rPr>
      </w:pPr>
      <w:r w:rsidRPr="6CD646BC">
        <w:rPr>
          <w:lang w:val="en-GB"/>
        </w:rPr>
        <w:t xml:space="preserve">Deductions of either type are accounted for when the Authority’s entitlement has been </w:t>
      </w:r>
      <w:r w:rsidR="00CB677F" w:rsidRPr="00964B62">
        <w:rPr>
          <w:lang w:val="en-GB"/>
        </w:rPr>
        <w:t>established,</w:t>
      </w:r>
      <w:r w:rsidRPr="00964B62">
        <w:rPr>
          <w:lang w:val="en-GB"/>
        </w:rPr>
        <w:t xml:space="preserve"> and it is probable that the Authority will be able to make the deduction.</w:t>
      </w:r>
    </w:p>
    <w:p w14:paraId="03FA2C30" w14:textId="77777777" w:rsidR="00FB3503" w:rsidRPr="00964B62" w:rsidRDefault="00FB3503" w:rsidP="007446B1">
      <w:pPr>
        <w:pStyle w:val="BodyTextIndent"/>
        <w:ind w:left="1440"/>
        <w:rPr>
          <w:szCs w:val="24"/>
          <w:lang w:val="en-GB"/>
        </w:rPr>
      </w:pPr>
    </w:p>
    <w:p w14:paraId="2F7DE423" w14:textId="13BD8B3B" w:rsidR="00FB3503" w:rsidRPr="00964B62" w:rsidRDefault="00682D0D" w:rsidP="007446B1">
      <w:pPr>
        <w:ind w:firstLine="720"/>
        <w:rPr>
          <w:b/>
          <w:szCs w:val="24"/>
        </w:rPr>
      </w:pPr>
      <w:r w:rsidRPr="00964B62">
        <w:rPr>
          <w:b/>
          <w:szCs w:val="24"/>
        </w:rPr>
        <w:t>l</w:t>
      </w:r>
      <w:r w:rsidR="00FB3503" w:rsidRPr="00964B62">
        <w:rPr>
          <w:b/>
          <w:szCs w:val="24"/>
        </w:rPr>
        <w:tab/>
        <w:t>PFI Equalisation Reserve</w:t>
      </w:r>
    </w:p>
    <w:p w14:paraId="0BA5DD1F" w14:textId="77777777" w:rsidR="00FB3503" w:rsidRPr="00964B62" w:rsidRDefault="00FB3503" w:rsidP="007446B1">
      <w:pPr>
        <w:ind w:left="720"/>
        <w:rPr>
          <w:szCs w:val="24"/>
        </w:rPr>
      </w:pPr>
    </w:p>
    <w:p w14:paraId="7520AFE5" w14:textId="77777777" w:rsidR="00FB3503" w:rsidRPr="00964B62" w:rsidRDefault="00FB3503" w:rsidP="007446B1">
      <w:pPr>
        <w:pStyle w:val="BodyTextIndent"/>
        <w:ind w:left="1440"/>
        <w:rPr>
          <w:szCs w:val="24"/>
          <w:lang w:val="en-GB"/>
        </w:rPr>
      </w:pPr>
      <w:r w:rsidRPr="00964B62">
        <w:rPr>
          <w:szCs w:val="24"/>
          <w:lang w:val="en-GB"/>
        </w:rPr>
        <w:t>The Authority holds two PFI equalisation reserves for the purpose of smoothing out, within the revenue account, the annual net cost to the Authority of payments under PFI contracts:</w:t>
      </w:r>
    </w:p>
    <w:p w14:paraId="0208E8E5" w14:textId="77777777" w:rsidR="00FB3503" w:rsidRPr="00964B62" w:rsidRDefault="00FB3503" w:rsidP="007446B1">
      <w:pPr>
        <w:pStyle w:val="BodyTextIndent"/>
        <w:ind w:left="1440"/>
        <w:rPr>
          <w:szCs w:val="24"/>
          <w:lang w:val="en-GB"/>
        </w:rPr>
      </w:pPr>
    </w:p>
    <w:p w14:paraId="2ADB40AE" w14:textId="0C230B09" w:rsidR="00FB3503" w:rsidRPr="00964B62" w:rsidRDefault="00FB3503" w:rsidP="007446B1">
      <w:pPr>
        <w:pStyle w:val="BodyTextIndent"/>
        <w:numPr>
          <w:ilvl w:val="0"/>
          <w:numId w:val="23"/>
        </w:numPr>
        <w:rPr>
          <w:szCs w:val="24"/>
          <w:lang w:val="en-GB"/>
        </w:rPr>
      </w:pPr>
      <w:r w:rsidRPr="00964B62">
        <w:rPr>
          <w:szCs w:val="24"/>
          <w:lang w:val="en-GB"/>
        </w:rPr>
        <w:t xml:space="preserve">In </w:t>
      </w:r>
      <w:r w:rsidRPr="00964B62">
        <w:rPr>
          <w:caps/>
          <w:szCs w:val="24"/>
        </w:rPr>
        <w:t>2003</w:t>
      </w:r>
      <w:r w:rsidR="00972859" w:rsidRPr="00964B62">
        <w:rPr>
          <w:caps/>
          <w:szCs w:val="24"/>
        </w:rPr>
        <w:t>-</w:t>
      </w:r>
      <w:r w:rsidRPr="00964B62">
        <w:rPr>
          <w:caps/>
          <w:szCs w:val="24"/>
        </w:rPr>
        <w:t xml:space="preserve">04 </w:t>
      </w:r>
      <w:r w:rsidRPr="00964B62">
        <w:rPr>
          <w:szCs w:val="24"/>
          <w:lang w:val="en-GB"/>
        </w:rPr>
        <w:t xml:space="preserve">the Authority established a PFI equalisation reserve for the PFI contract with PFF Lancashire </w:t>
      </w:r>
      <w:r w:rsidRPr="00964B62">
        <w:rPr>
          <w:rFonts w:cs="Arial"/>
          <w:szCs w:val="24"/>
          <w:lang w:eastAsia="en-GB"/>
        </w:rPr>
        <w:t>Limited</w:t>
      </w:r>
      <w:r w:rsidRPr="00964B62">
        <w:rPr>
          <w:szCs w:val="24"/>
          <w:lang w:val="en-GB"/>
        </w:rPr>
        <w:t xml:space="preserve">. The contract relates to the provision and maintenance by PFF Lancashire Limited of two fire stations at Morecambe and Hyndburn; and </w:t>
      </w:r>
    </w:p>
    <w:p w14:paraId="384D227D" w14:textId="23C4EC7F" w:rsidR="00FB3503" w:rsidRPr="00964B62" w:rsidRDefault="00FB3503" w:rsidP="007446B1">
      <w:pPr>
        <w:pStyle w:val="BodyTextIndent"/>
        <w:numPr>
          <w:ilvl w:val="0"/>
          <w:numId w:val="23"/>
        </w:numPr>
        <w:rPr>
          <w:szCs w:val="24"/>
          <w:lang w:val="en-GB"/>
        </w:rPr>
      </w:pPr>
      <w:r w:rsidRPr="00964B62">
        <w:rPr>
          <w:szCs w:val="24"/>
          <w:lang w:val="en-GB"/>
        </w:rPr>
        <w:t>In 2011</w:t>
      </w:r>
      <w:r w:rsidR="00972859" w:rsidRPr="00964B62">
        <w:rPr>
          <w:szCs w:val="24"/>
          <w:lang w:val="en-GB"/>
        </w:rPr>
        <w:t>-</w:t>
      </w:r>
      <w:r w:rsidRPr="00964B62">
        <w:rPr>
          <w:szCs w:val="24"/>
          <w:lang w:val="en-GB"/>
        </w:rPr>
        <w:t>12 the Authority created a new PFI equalisation reserve in relation to the Authority’s share of the PFI contract with Fire and Rescue NW Limited. The contract relates to the provision and maintenance of Blackburn, Burnley, Chorley, and Fleetwood fire stations.</w:t>
      </w:r>
    </w:p>
    <w:p w14:paraId="0230E6A3" w14:textId="77777777" w:rsidR="00FB3503" w:rsidRPr="00964B62" w:rsidRDefault="00FB3503" w:rsidP="007446B1">
      <w:pPr>
        <w:pStyle w:val="BodyTextIndent"/>
        <w:ind w:left="1080"/>
        <w:rPr>
          <w:szCs w:val="24"/>
          <w:lang w:val="en-GB"/>
        </w:rPr>
      </w:pPr>
    </w:p>
    <w:p w14:paraId="660114B3" w14:textId="001B95AA" w:rsidR="00FB3503" w:rsidRPr="00964B62" w:rsidRDefault="00FB3503" w:rsidP="007446B1">
      <w:pPr>
        <w:pStyle w:val="BodyTextIndent"/>
        <w:ind w:left="1440"/>
        <w:rPr>
          <w:szCs w:val="24"/>
          <w:lang w:val="en-GB"/>
        </w:rPr>
      </w:pPr>
      <w:r w:rsidRPr="00964B62">
        <w:rPr>
          <w:szCs w:val="24"/>
          <w:lang w:val="en-GB"/>
        </w:rPr>
        <w:t>An annual revenue contribution in lieu of interest will be made to the reserve. The reserve balance will be reviewed each year at which time the amount of any revenue contribution to or from the reserve will be determined.</w:t>
      </w:r>
    </w:p>
    <w:p w14:paraId="241D877C" w14:textId="155A1154" w:rsidR="007B2B60" w:rsidRPr="00656E20" w:rsidRDefault="007B2B60">
      <w:pPr>
        <w:rPr>
          <w:b/>
          <w:szCs w:val="24"/>
          <w:highlight w:val="green"/>
        </w:rPr>
      </w:pPr>
    </w:p>
    <w:p w14:paraId="5283F789" w14:textId="4C87D7EF" w:rsidR="00FB3503" w:rsidRPr="00964B62" w:rsidRDefault="00682D0D" w:rsidP="007446B1">
      <w:pPr>
        <w:ind w:left="720"/>
        <w:rPr>
          <w:szCs w:val="24"/>
        </w:rPr>
      </w:pPr>
      <w:r w:rsidRPr="00964B62">
        <w:rPr>
          <w:b/>
          <w:szCs w:val="24"/>
        </w:rPr>
        <w:t>m</w:t>
      </w:r>
      <w:r w:rsidR="00FB3503" w:rsidRPr="00964B62">
        <w:rPr>
          <w:b/>
          <w:szCs w:val="24"/>
        </w:rPr>
        <w:tab/>
        <w:t>Provisions</w:t>
      </w:r>
    </w:p>
    <w:p w14:paraId="2BBC1AD0" w14:textId="77777777" w:rsidR="00FB3503" w:rsidRPr="00964B62" w:rsidRDefault="00FB3503" w:rsidP="007446B1">
      <w:pPr>
        <w:ind w:left="720"/>
        <w:rPr>
          <w:szCs w:val="24"/>
        </w:rPr>
      </w:pPr>
    </w:p>
    <w:p w14:paraId="57C86422" w14:textId="3D132808" w:rsidR="000C2384" w:rsidRPr="00964B62" w:rsidRDefault="000C2384" w:rsidP="007446B1">
      <w:pPr>
        <w:pStyle w:val="BodyTextIndent"/>
        <w:ind w:left="1440"/>
        <w:rPr>
          <w:szCs w:val="24"/>
          <w:lang w:val="en-GB"/>
        </w:rPr>
      </w:pPr>
      <w:r w:rsidRPr="00964B62">
        <w:rPr>
          <w:szCs w:val="24"/>
          <w:lang w:val="en-GB"/>
        </w:rPr>
        <w:t xml:space="preserve">Provisions are made where an event has taken place that gives the Authority a legal or constructive obligation that probably requires settlement by a transfer of economic benefits, and a reliable estimate can be made of the amount of the obligation. Provisions are charged as an expense to the appropriate service line in the Comprehensive Income and Expenditure Statement when the Authority has an obligation and are measured at the best estimate at the balance sheet date of the expenditure required to settle the obligation, </w:t>
      </w:r>
      <w:r w:rsidR="0094180B" w:rsidRPr="00964B62">
        <w:rPr>
          <w:szCs w:val="24"/>
          <w:lang w:val="en-GB"/>
        </w:rPr>
        <w:t>considering</w:t>
      </w:r>
      <w:r w:rsidRPr="00964B62">
        <w:rPr>
          <w:szCs w:val="24"/>
          <w:lang w:val="en-GB"/>
        </w:rPr>
        <w:t xml:space="preserve"> relevant risks and uncertainties.</w:t>
      </w:r>
    </w:p>
    <w:p w14:paraId="49FC2B5F" w14:textId="6A18ADEE" w:rsidR="000C2384" w:rsidRPr="00964B62" w:rsidRDefault="000C2384" w:rsidP="007446B1">
      <w:pPr>
        <w:pStyle w:val="BodyTextIndent"/>
        <w:ind w:left="1440"/>
        <w:rPr>
          <w:szCs w:val="24"/>
          <w:lang w:val="en-GB"/>
        </w:rPr>
      </w:pPr>
    </w:p>
    <w:p w14:paraId="4FD57C2B" w14:textId="43AFB833" w:rsidR="000C2384" w:rsidRPr="00964B62" w:rsidRDefault="000C2384" w:rsidP="007446B1">
      <w:pPr>
        <w:pStyle w:val="BodyTextIndent"/>
        <w:ind w:left="1440"/>
        <w:rPr>
          <w:szCs w:val="24"/>
          <w:lang w:val="en-GB"/>
        </w:rPr>
      </w:pPr>
      <w:r w:rsidRPr="00964B62">
        <w:rPr>
          <w:szCs w:val="24"/>
          <w:lang w:val="en-GB"/>
        </w:rPr>
        <w:t>When payments are eventually made, they are charged to the provision carried in the balance sheet. Estimated settlements are reviewed at the end of each financial year, and where it becomes less probable that a transfer of economic benefits will now be required (or a lower settlement than anticipated is made), the provision is reversed and credited back to the relevant service line.</w:t>
      </w:r>
    </w:p>
    <w:p w14:paraId="1858AD51" w14:textId="77777777" w:rsidR="000C2384" w:rsidRPr="00964B62" w:rsidRDefault="000C2384" w:rsidP="007446B1">
      <w:pPr>
        <w:pStyle w:val="BodyTextIndent"/>
        <w:ind w:left="1440"/>
        <w:rPr>
          <w:szCs w:val="24"/>
          <w:lang w:val="en-GB"/>
        </w:rPr>
      </w:pPr>
    </w:p>
    <w:p w14:paraId="6A5D6172" w14:textId="36CFFF31" w:rsidR="00FB3503" w:rsidRPr="00964B62" w:rsidRDefault="00FB3503" w:rsidP="007446B1">
      <w:pPr>
        <w:pStyle w:val="BodyTextIndent"/>
        <w:ind w:left="1440"/>
        <w:rPr>
          <w:szCs w:val="24"/>
          <w:lang w:val="en-GB"/>
        </w:rPr>
      </w:pPr>
      <w:r w:rsidRPr="00964B62">
        <w:rPr>
          <w:szCs w:val="24"/>
          <w:lang w:val="en-GB"/>
        </w:rPr>
        <w:t xml:space="preserve">Details of the Authority’s provisions are given in </w:t>
      </w:r>
      <w:hyperlink w:anchor="_13_Provisions" w:history="1">
        <w:r w:rsidR="00643D60" w:rsidRPr="00964B62">
          <w:rPr>
            <w:rStyle w:val="Hyperlink"/>
            <w:szCs w:val="24"/>
            <w:lang w:val="en-GB"/>
          </w:rPr>
          <w:t>Note 13</w:t>
        </w:r>
      </w:hyperlink>
      <w:r w:rsidR="00ED35A7" w:rsidRPr="00964B62">
        <w:rPr>
          <w:szCs w:val="24"/>
          <w:lang w:val="en-GB"/>
        </w:rPr>
        <w:t xml:space="preserve"> </w:t>
      </w:r>
      <w:r w:rsidRPr="00964B62">
        <w:rPr>
          <w:szCs w:val="24"/>
          <w:lang w:val="en-GB"/>
        </w:rPr>
        <w:t xml:space="preserve">to the </w:t>
      </w:r>
      <w:r w:rsidR="00656E20" w:rsidRPr="00964B62">
        <w:rPr>
          <w:szCs w:val="24"/>
          <w:lang w:val="en-GB"/>
        </w:rPr>
        <w:t>Balance Sheet and</w:t>
      </w:r>
      <w:r w:rsidR="000C2384" w:rsidRPr="00964B62">
        <w:rPr>
          <w:szCs w:val="24"/>
          <w:lang w:val="en-GB"/>
        </w:rPr>
        <w:t xml:space="preserve"> currently comprise insurance liabilities and business rates appeals</w:t>
      </w:r>
      <w:r w:rsidRPr="00964B62">
        <w:rPr>
          <w:szCs w:val="24"/>
          <w:lang w:val="en-GB"/>
        </w:rPr>
        <w:t>.</w:t>
      </w:r>
    </w:p>
    <w:p w14:paraId="3CA025C8" w14:textId="54AF8AAD" w:rsidR="00D45CFC" w:rsidRPr="00964B62" w:rsidRDefault="00D45CFC" w:rsidP="007446B1">
      <w:pPr>
        <w:rPr>
          <w:b/>
          <w:szCs w:val="24"/>
        </w:rPr>
      </w:pPr>
    </w:p>
    <w:p w14:paraId="66D63D33" w14:textId="7C39B608" w:rsidR="00FB3503" w:rsidRPr="00964B62" w:rsidRDefault="00682D0D" w:rsidP="007446B1">
      <w:pPr>
        <w:keepLines/>
        <w:widowControl w:val="0"/>
        <w:ind w:left="720"/>
        <w:rPr>
          <w:b/>
          <w:szCs w:val="24"/>
        </w:rPr>
      </w:pPr>
      <w:r w:rsidRPr="00964B62">
        <w:rPr>
          <w:b/>
          <w:szCs w:val="24"/>
        </w:rPr>
        <w:t>n</w:t>
      </w:r>
      <w:r w:rsidR="00FB3503" w:rsidRPr="00964B62">
        <w:rPr>
          <w:b/>
          <w:szCs w:val="24"/>
        </w:rPr>
        <w:tab/>
        <w:t>Reserves</w:t>
      </w:r>
    </w:p>
    <w:p w14:paraId="43F6BBAC" w14:textId="77777777" w:rsidR="00FB3503" w:rsidRPr="00964B62" w:rsidRDefault="00FB3503" w:rsidP="007446B1">
      <w:pPr>
        <w:ind w:left="720"/>
        <w:rPr>
          <w:szCs w:val="24"/>
        </w:rPr>
      </w:pPr>
    </w:p>
    <w:p w14:paraId="6B8A8FC5" w14:textId="5B9D5001" w:rsidR="00FB3503" w:rsidRPr="00964B62" w:rsidRDefault="00FB3503" w:rsidP="007446B1">
      <w:pPr>
        <w:pStyle w:val="BodyTextIndent"/>
        <w:ind w:left="1440"/>
        <w:rPr>
          <w:szCs w:val="24"/>
          <w:lang w:val="en-GB"/>
        </w:rPr>
      </w:pPr>
      <w:r w:rsidRPr="00964B62">
        <w:rPr>
          <w:szCs w:val="24"/>
          <w:lang w:val="en-GB"/>
        </w:rPr>
        <w:t>The Authority sets aside specific amounts as reserves for future policy purposes or to cover contingencies. Reserves are created by appropriating amounts out of the General Fund Balance in the Movement in Reserves Statement. When expenditure to be financed from a reserve is incurred, it is charged against the net cost of services in that year in the Comprehensive Income and Expenditure Statement. The reserve is then appropriated back into the General Fund Balance in the Movement in Reserves Statement so that there is no net charge against council tax for the expenditure.</w:t>
      </w:r>
    </w:p>
    <w:p w14:paraId="3DBA740C" w14:textId="77777777" w:rsidR="00FB3503" w:rsidRPr="00964B62" w:rsidRDefault="00FB3503" w:rsidP="007446B1">
      <w:pPr>
        <w:pStyle w:val="BodyTextIndent"/>
        <w:ind w:left="1440"/>
        <w:rPr>
          <w:szCs w:val="24"/>
          <w:lang w:val="en-GB"/>
        </w:rPr>
      </w:pPr>
    </w:p>
    <w:p w14:paraId="3502D763" w14:textId="77777777" w:rsidR="00FB3503" w:rsidRPr="00964B62" w:rsidRDefault="00FB3503" w:rsidP="007446B1">
      <w:pPr>
        <w:pStyle w:val="BodyTextIndent"/>
        <w:ind w:left="1440"/>
        <w:rPr>
          <w:szCs w:val="24"/>
          <w:lang w:val="en-GB"/>
        </w:rPr>
      </w:pPr>
      <w:r w:rsidRPr="00964B62">
        <w:rPr>
          <w:szCs w:val="24"/>
          <w:lang w:val="en-GB"/>
        </w:rPr>
        <w:t xml:space="preserve">Certain reserves are kept </w:t>
      </w:r>
      <w:proofErr w:type="gramStart"/>
      <w:r w:rsidRPr="00964B62">
        <w:rPr>
          <w:szCs w:val="24"/>
          <w:lang w:val="en-GB"/>
        </w:rPr>
        <w:t>to manage</w:t>
      </w:r>
      <w:proofErr w:type="gramEnd"/>
      <w:r w:rsidRPr="00964B62">
        <w:rPr>
          <w:szCs w:val="24"/>
          <w:lang w:val="en-GB"/>
        </w:rPr>
        <w:t xml:space="preserve"> the accounting processes for non-current assets, financial instruments, retirements and employee benefits and do not represent usable resources for the Authority.</w:t>
      </w:r>
    </w:p>
    <w:p w14:paraId="490DC170" w14:textId="77777777" w:rsidR="00FB3503" w:rsidRPr="00964B62" w:rsidRDefault="00FB3503" w:rsidP="77119DA7">
      <w:pPr>
        <w:pStyle w:val="BodyTextIndent"/>
        <w:ind w:left="1440"/>
        <w:rPr>
          <w:lang w:val="en-GB"/>
        </w:rPr>
      </w:pPr>
    </w:p>
    <w:p w14:paraId="2FC2C2AD" w14:textId="6A6D75F3" w:rsidR="00FB3503" w:rsidRPr="00964B62" w:rsidRDefault="00682D0D" w:rsidP="77119DA7">
      <w:pPr>
        <w:ind w:left="720"/>
        <w:rPr>
          <w:b/>
        </w:rPr>
      </w:pPr>
      <w:r w:rsidRPr="00964B62">
        <w:rPr>
          <w:b/>
          <w:bCs/>
        </w:rPr>
        <w:t>o</w:t>
      </w:r>
      <w:r w:rsidR="00FB3503" w:rsidRPr="00964B62">
        <w:tab/>
      </w:r>
      <w:r w:rsidR="00FB3503" w:rsidRPr="00964B62">
        <w:rPr>
          <w:b/>
        </w:rPr>
        <w:t>Contingent liabilities</w:t>
      </w:r>
    </w:p>
    <w:p w14:paraId="5DB32A48" w14:textId="77777777" w:rsidR="00FB3503" w:rsidRPr="00964B62" w:rsidRDefault="00FB3503" w:rsidP="77119DA7">
      <w:pPr>
        <w:pStyle w:val="BodyTextIndent"/>
        <w:ind w:left="1440"/>
        <w:rPr>
          <w:b/>
        </w:rPr>
      </w:pPr>
    </w:p>
    <w:p w14:paraId="3D69F847" w14:textId="22F38370" w:rsidR="00FB3503" w:rsidRPr="007936C2" w:rsidRDefault="00FB3503" w:rsidP="77119DA7">
      <w:pPr>
        <w:pStyle w:val="BodyTextIndent"/>
        <w:ind w:left="1440"/>
      </w:pPr>
      <w:r w:rsidRPr="00964B62">
        <w:t xml:space="preserve">A contingent liability arises where an event has taken place that gives the Authority a possible obligation whose existence will only be confirmed by the occurrence or otherwise of uncertain future events not wholly within the control of the Authority. Contingent liabilities are not recognised in the Balance </w:t>
      </w:r>
      <w:r w:rsidR="00245686" w:rsidRPr="00964B62">
        <w:t>Sheet but</w:t>
      </w:r>
      <w:r w:rsidRPr="00964B62">
        <w:t xml:space="preserve"> disclosed in a note to the accounts.</w:t>
      </w:r>
      <w:r>
        <w:t xml:space="preserve"> </w:t>
      </w:r>
    </w:p>
    <w:p w14:paraId="6743F055" w14:textId="77777777" w:rsidR="007B2B60" w:rsidRDefault="007B2B60">
      <w:pPr>
        <w:rPr>
          <w:b/>
          <w:szCs w:val="24"/>
        </w:rPr>
      </w:pPr>
      <w:r>
        <w:rPr>
          <w:b/>
          <w:szCs w:val="24"/>
        </w:rPr>
        <w:br w:type="page"/>
      </w:r>
    </w:p>
    <w:p w14:paraId="6C255268" w14:textId="7B7CC6B9" w:rsidR="007528AB" w:rsidRPr="00964B62" w:rsidRDefault="00682D0D" w:rsidP="007446B1">
      <w:pPr>
        <w:ind w:left="720"/>
        <w:rPr>
          <w:b/>
          <w:szCs w:val="24"/>
        </w:rPr>
      </w:pPr>
      <w:r>
        <w:rPr>
          <w:b/>
          <w:szCs w:val="24"/>
        </w:rPr>
        <w:lastRenderedPageBreak/>
        <w:t>p</w:t>
      </w:r>
      <w:r w:rsidR="007528AB" w:rsidRPr="007936C2">
        <w:rPr>
          <w:b/>
          <w:szCs w:val="24"/>
        </w:rPr>
        <w:tab/>
      </w:r>
      <w:r w:rsidR="007528AB" w:rsidRPr="00964B62">
        <w:rPr>
          <w:b/>
          <w:szCs w:val="24"/>
        </w:rPr>
        <w:t>Going Concern</w:t>
      </w:r>
    </w:p>
    <w:p w14:paraId="6ED7630E" w14:textId="77777777" w:rsidR="007528AB" w:rsidRPr="00964B62" w:rsidRDefault="007528AB" w:rsidP="007446B1">
      <w:pPr>
        <w:ind w:left="720"/>
        <w:rPr>
          <w:szCs w:val="24"/>
        </w:rPr>
      </w:pPr>
    </w:p>
    <w:p w14:paraId="1116EB54" w14:textId="1A0B2BC0" w:rsidR="00D573A1" w:rsidRPr="00964B62" w:rsidRDefault="00EF26ED" w:rsidP="001C113F">
      <w:pPr>
        <w:pStyle w:val="BodyTextIndent"/>
        <w:ind w:left="1440"/>
        <w:rPr>
          <w:szCs w:val="24"/>
        </w:rPr>
      </w:pPr>
      <w:r w:rsidRPr="00964B62">
        <w:rPr>
          <w:szCs w:val="24"/>
        </w:rPr>
        <w:t xml:space="preserve">These accounts are prepared on a going </w:t>
      </w:r>
      <w:proofErr w:type="gramStart"/>
      <w:r w:rsidRPr="00964B62">
        <w:rPr>
          <w:szCs w:val="24"/>
        </w:rPr>
        <w:t>concern</w:t>
      </w:r>
      <w:proofErr w:type="gramEnd"/>
      <w:r w:rsidRPr="00964B62">
        <w:rPr>
          <w:szCs w:val="24"/>
        </w:rPr>
        <w:t xml:space="preserve"> basis, on the assumption that the Authority’s functions will continue in operational existence for the foreseeable future. </w:t>
      </w:r>
      <w:r w:rsidR="00865F1A" w:rsidRPr="00964B62">
        <w:rPr>
          <w:szCs w:val="24"/>
        </w:rPr>
        <w:t xml:space="preserve">Our current Medium Term Financial Strategy (MTFS) shows a healthy reserves position, </w:t>
      </w:r>
      <w:r w:rsidR="00CF111B" w:rsidRPr="00964B62">
        <w:rPr>
          <w:szCs w:val="24"/>
        </w:rPr>
        <w:t>and a balanced</w:t>
      </w:r>
      <w:r w:rsidR="00865F1A" w:rsidRPr="00964B62">
        <w:rPr>
          <w:szCs w:val="24"/>
        </w:rPr>
        <w:t xml:space="preserve"> budget in the short and medium term. </w:t>
      </w:r>
      <w:r w:rsidR="009C2EC4" w:rsidRPr="00964B62">
        <w:rPr>
          <w:szCs w:val="24"/>
        </w:rPr>
        <w:t xml:space="preserve">A </w:t>
      </w:r>
      <w:r w:rsidR="00D240D9" w:rsidRPr="00964B62">
        <w:rPr>
          <w:szCs w:val="24"/>
        </w:rPr>
        <w:t>three-year</w:t>
      </w:r>
      <w:r w:rsidR="00CF111B" w:rsidRPr="00964B62">
        <w:rPr>
          <w:szCs w:val="24"/>
        </w:rPr>
        <w:t xml:space="preserve"> </w:t>
      </w:r>
      <w:r w:rsidR="009C2EC4" w:rsidRPr="00964B62">
        <w:rPr>
          <w:szCs w:val="24"/>
        </w:rPr>
        <w:t xml:space="preserve">funding </w:t>
      </w:r>
      <w:r w:rsidR="00CF111B" w:rsidRPr="00964B62">
        <w:rPr>
          <w:szCs w:val="24"/>
        </w:rPr>
        <w:t xml:space="preserve">settlement </w:t>
      </w:r>
      <w:r w:rsidR="00D6745E" w:rsidRPr="00964B62">
        <w:rPr>
          <w:szCs w:val="24"/>
        </w:rPr>
        <w:t>has been</w:t>
      </w:r>
      <w:r w:rsidR="00DC1F9E" w:rsidRPr="00964B62">
        <w:rPr>
          <w:szCs w:val="24"/>
        </w:rPr>
        <w:t xml:space="preserve"> agreed </w:t>
      </w:r>
      <w:r w:rsidR="00B2273B" w:rsidRPr="00964B62">
        <w:rPr>
          <w:szCs w:val="24"/>
        </w:rPr>
        <w:t>for financial years; 2026</w:t>
      </w:r>
      <w:r w:rsidR="00B17CC8" w:rsidRPr="00964B62">
        <w:rPr>
          <w:szCs w:val="24"/>
        </w:rPr>
        <w:t>-20</w:t>
      </w:r>
      <w:r w:rsidR="00E755A2" w:rsidRPr="00964B62">
        <w:rPr>
          <w:szCs w:val="24"/>
        </w:rPr>
        <w:t xml:space="preserve">27, </w:t>
      </w:r>
      <w:r w:rsidR="002B35EB" w:rsidRPr="00964B62">
        <w:rPr>
          <w:szCs w:val="24"/>
        </w:rPr>
        <w:t>2027-2028, and 2028-</w:t>
      </w:r>
      <w:r w:rsidR="004052A5" w:rsidRPr="00964B62">
        <w:rPr>
          <w:szCs w:val="24"/>
        </w:rPr>
        <w:t>2029,</w:t>
      </w:r>
      <w:r w:rsidR="00D6745E" w:rsidRPr="00964B62">
        <w:rPr>
          <w:szCs w:val="24"/>
        </w:rPr>
        <w:t xml:space="preserve"> </w:t>
      </w:r>
      <w:r w:rsidR="00DC1F9E" w:rsidRPr="00964B62">
        <w:rPr>
          <w:szCs w:val="24"/>
        </w:rPr>
        <w:t xml:space="preserve">which </w:t>
      </w:r>
      <w:r w:rsidR="00D6745E" w:rsidRPr="00964B62">
        <w:rPr>
          <w:szCs w:val="24"/>
        </w:rPr>
        <w:t>provides certainty</w:t>
      </w:r>
      <w:r w:rsidR="00865F1A" w:rsidRPr="00964B62">
        <w:rPr>
          <w:szCs w:val="24"/>
        </w:rPr>
        <w:t xml:space="preserve"> </w:t>
      </w:r>
      <w:r w:rsidR="00D6745E" w:rsidRPr="00964B62">
        <w:rPr>
          <w:szCs w:val="24"/>
        </w:rPr>
        <w:t>for those three financial years</w:t>
      </w:r>
      <w:r w:rsidR="00865F1A" w:rsidRPr="00964B62">
        <w:rPr>
          <w:szCs w:val="24"/>
        </w:rPr>
        <w:t xml:space="preserve"> within our MTFS.</w:t>
      </w:r>
    </w:p>
    <w:p w14:paraId="2A19FF1C" w14:textId="651E1AFE" w:rsidR="007B2B60" w:rsidRPr="00964B62" w:rsidRDefault="007B2B60">
      <w:pPr>
        <w:rPr>
          <w:b/>
          <w:szCs w:val="24"/>
        </w:rPr>
      </w:pPr>
      <w:bookmarkStart w:id="94" w:name="_Hlk56594024"/>
    </w:p>
    <w:p w14:paraId="374EB3B5" w14:textId="52271172" w:rsidR="00D573A1" w:rsidRPr="00964B62" w:rsidRDefault="00682D0D" w:rsidP="007446B1">
      <w:pPr>
        <w:ind w:left="1418" w:hanging="709"/>
        <w:rPr>
          <w:b/>
          <w:szCs w:val="24"/>
        </w:rPr>
      </w:pPr>
      <w:r w:rsidRPr="00964B62">
        <w:rPr>
          <w:b/>
          <w:szCs w:val="24"/>
        </w:rPr>
        <w:t>q</w:t>
      </w:r>
      <w:r w:rsidR="00D573A1" w:rsidRPr="00964B62">
        <w:rPr>
          <w:b/>
          <w:szCs w:val="24"/>
        </w:rPr>
        <w:tab/>
        <w:t>Prior Period Adjustments, Changes in Accounting Policies and Estimates and Errors</w:t>
      </w:r>
    </w:p>
    <w:p w14:paraId="6150F773" w14:textId="77777777" w:rsidR="00D573A1" w:rsidRPr="00964B62" w:rsidRDefault="00D573A1" w:rsidP="007446B1">
      <w:pPr>
        <w:ind w:left="720"/>
        <w:rPr>
          <w:b/>
          <w:szCs w:val="24"/>
        </w:rPr>
      </w:pPr>
    </w:p>
    <w:p w14:paraId="7A31E8AA" w14:textId="2D7FFD00" w:rsidR="00D573A1" w:rsidRPr="00964B62" w:rsidRDefault="00D573A1" w:rsidP="007446B1">
      <w:pPr>
        <w:pStyle w:val="BodyTextIndent"/>
        <w:ind w:left="1440"/>
        <w:rPr>
          <w:szCs w:val="24"/>
        </w:rPr>
      </w:pPr>
      <w:r w:rsidRPr="00964B62">
        <w:rPr>
          <w:szCs w:val="24"/>
        </w:rPr>
        <w:t xml:space="preserve">Prior period adjustments may arise </w:t>
      </w:r>
      <w:r w:rsidR="0094180B" w:rsidRPr="00964B62">
        <w:rPr>
          <w:szCs w:val="24"/>
        </w:rPr>
        <w:t>due to</w:t>
      </w:r>
      <w:r w:rsidRPr="00964B62">
        <w:rPr>
          <w:szCs w:val="24"/>
        </w:rPr>
        <w:t xml:space="preserve"> </w:t>
      </w:r>
      <w:r w:rsidR="0094180B" w:rsidRPr="00964B62">
        <w:rPr>
          <w:szCs w:val="24"/>
        </w:rPr>
        <w:t xml:space="preserve">a </w:t>
      </w:r>
      <w:r w:rsidRPr="00964B62">
        <w:rPr>
          <w:szCs w:val="24"/>
        </w:rPr>
        <w:t xml:space="preserve">change in accounting policies or to </w:t>
      </w:r>
      <w:proofErr w:type="gramStart"/>
      <w:r w:rsidRPr="00964B62">
        <w:rPr>
          <w:szCs w:val="24"/>
        </w:rPr>
        <w:t>correct</w:t>
      </w:r>
      <w:proofErr w:type="gramEnd"/>
      <w:r w:rsidRPr="00964B62">
        <w:rPr>
          <w:szCs w:val="24"/>
        </w:rPr>
        <w:t xml:space="preserve"> a material error. Changes in accounting estimates are accounted for prospectively, in the current and future years affected by the change and do not give rise to a prior period adjustment.</w:t>
      </w:r>
    </w:p>
    <w:p w14:paraId="67B7C58E" w14:textId="77777777" w:rsidR="00D573A1" w:rsidRPr="00964B62" w:rsidRDefault="00D573A1" w:rsidP="007446B1">
      <w:pPr>
        <w:pStyle w:val="BodyTextIndent"/>
        <w:ind w:left="1440"/>
        <w:rPr>
          <w:szCs w:val="24"/>
        </w:rPr>
      </w:pPr>
    </w:p>
    <w:p w14:paraId="1022C5E9" w14:textId="6AD44E77" w:rsidR="00276650" w:rsidRPr="00964B62" w:rsidRDefault="00D573A1" w:rsidP="007446B1">
      <w:pPr>
        <w:pStyle w:val="BodyTextIndent"/>
        <w:ind w:left="1440"/>
        <w:rPr>
          <w:rFonts w:ascii="Calibri" w:hAnsi="Calibri"/>
          <w:szCs w:val="24"/>
        </w:rPr>
      </w:pPr>
      <w:r w:rsidRPr="00964B62">
        <w:rPr>
          <w:szCs w:val="24"/>
        </w:rPr>
        <w:t>Changes in accounting policies are only made when required by proper accounting practices or the change provides more reliable or relevant information about the effect of transactions, other events and conditions on the Authority’s financial position or financial performance. Where a change is made, it is applied retrospectively (unless stated otherwise) by adjusting opening balances and comparative amounts for the prior period as if the new policy had always been applied.</w:t>
      </w:r>
      <w:bookmarkEnd w:id="94"/>
      <w:r w:rsidR="00276650" w:rsidRPr="00964B62">
        <w:rPr>
          <w:szCs w:val="24"/>
        </w:rPr>
        <w:t xml:space="preserve"> </w:t>
      </w:r>
      <w:r w:rsidR="00276650" w:rsidRPr="00964B62">
        <w:rPr>
          <w:color w:val="000000"/>
          <w:szCs w:val="24"/>
        </w:rPr>
        <w:t>Material errors discovered in prior period figures are corrected retrospectively by amending opening balances and comparative amounts for the prior period.</w:t>
      </w:r>
    </w:p>
    <w:bookmarkEnd w:id="90"/>
    <w:p w14:paraId="123E266A" w14:textId="77777777" w:rsidR="00555960" w:rsidRPr="00964B62" w:rsidRDefault="00555960" w:rsidP="003E43E5">
      <w:pPr>
        <w:pStyle w:val="BodyTextIndent"/>
        <w:ind w:left="0"/>
        <w:rPr>
          <w:szCs w:val="24"/>
        </w:rPr>
      </w:pPr>
    </w:p>
    <w:p w14:paraId="75545F43" w14:textId="6CE64414" w:rsidR="00555960" w:rsidRPr="00964B62" w:rsidRDefault="00682D0D" w:rsidP="007446B1">
      <w:pPr>
        <w:ind w:firstLine="720"/>
        <w:rPr>
          <w:b/>
          <w:szCs w:val="24"/>
        </w:rPr>
      </w:pPr>
      <w:r w:rsidRPr="00964B62">
        <w:rPr>
          <w:b/>
          <w:szCs w:val="24"/>
        </w:rPr>
        <w:t>r</w:t>
      </w:r>
      <w:r w:rsidR="00555960" w:rsidRPr="00964B62">
        <w:rPr>
          <w:b/>
          <w:szCs w:val="24"/>
        </w:rPr>
        <w:tab/>
      </w:r>
      <w:bookmarkStart w:id="95" w:name="_Hlk170821542"/>
      <w:r w:rsidR="00555960" w:rsidRPr="00964B62">
        <w:rPr>
          <w:b/>
          <w:szCs w:val="24"/>
        </w:rPr>
        <w:t>Accounting Standards issued but not yet adopted</w:t>
      </w:r>
    </w:p>
    <w:p w14:paraId="40D7745E" w14:textId="77777777" w:rsidR="00555960" w:rsidRPr="00034501" w:rsidRDefault="00555960" w:rsidP="007446B1">
      <w:pPr>
        <w:ind w:left="720"/>
        <w:rPr>
          <w:szCs w:val="24"/>
        </w:rPr>
      </w:pPr>
    </w:p>
    <w:p w14:paraId="26482F0F" w14:textId="3BF7009D" w:rsidR="00FD3E57" w:rsidRPr="00083937" w:rsidRDefault="007C3EAC" w:rsidP="00557B97">
      <w:pPr>
        <w:shd w:val="clear" w:color="auto" w:fill="FFFFFF" w:themeFill="background1"/>
        <w:ind w:left="1440"/>
      </w:pPr>
      <w:bookmarkStart w:id="96" w:name="_Hlk80358184"/>
      <w:r w:rsidRPr="00083937">
        <w:t>Where a new Standard has been published</w:t>
      </w:r>
      <w:r w:rsidR="00FD5CCE" w:rsidRPr="00083937">
        <w:t xml:space="preserve"> but has not yet been adopted by the Code, the Authority is required to disclose information relating to the impact of the accounting change. The standards introduced by the </w:t>
      </w:r>
      <w:r w:rsidR="001A42DD" w:rsidRPr="00083937">
        <w:t>2026-27</w:t>
      </w:r>
      <w:r w:rsidR="00FD5CCE" w:rsidRPr="00083937">
        <w:t xml:space="preserve"> Code where disclosures are required in the </w:t>
      </w:r>
      <w:r w:rsidR="001A42DD" w:rsidRPr="00083937">
        <w:t>2025-26</w:t>
      </w:r>
      <w:r w:rsidR="00FD5CCE" w:rsidRPr="00083937">
        <w:t xml:space="preserve"> financial statements are:</w:t>
      </w:r>
    </w:p>
    <w:p w14:paraId="20940AA8" w14:textId="0E917BB3" w:rsidR="0050519B" w:rsidRPr="00083937" w:rsidRDefault="0050519B" w:rsidP="0050519B">
      <w:pPr>
        <w:pStyle w:val="ListParagraph"/>
        <w:numPr>
          <w:ilvl w:val="0"/>
          <w:numId w:val="50"/>
        </w:numPr>
        <w:shd w:val="clear" w:color="auto" w:fill="FFFFFF" w:themeFill="background1"/>
      </w:pPr>
      <w:r w:rsidRPr="00083937">
        <w:t>Amendments to FRS 102 The Financial Reporting Standard applicable in the UK and Rep</w:t>
      </w:r>
      <w:r w:rsidR="002F4E55" w:rsidRPr="00083937">
        <w:t>ublic of Ireland (Amendments to Heritage assets) issued in March 2024</w:t>
      </w:r>
    </w:p>
    <w:p w14:paraId="1C38833E" w14:textId="7A2C3F9E" w:rsidR="002F4E55" w:rsidRPr="00083937" w:rsidRDefault="002F4E55" w:rsidP="0050519B">
      <w:pPr>
        <w:pStyle w:val="ListParagraph"/>
        <w:numPr>
          <w:ilvl w:val="0"/>
          <w:numId w:val="50"/>
        </w:numPr>
        <w:shd w:val="clear" w:color="auto" w:fill="FFFFFF" w:themeFill="background1"/>
      </w:pPr>
      <w:r w:rsidRPr="00083937">
        <w:t xml:space="preserve">Amendments </w:t>
      </w:r>
      <w:r w:rsidR="005F4D9B" w:rsidRPr="00083937">
        <w:t>to the classification and Measurement of Financial Instruments (Amendments to IFRS 9 and IFRS 7)</w:t>
      </w:r>
      <w:r w:rsidR="004026B7" w:rsidRPr="00083937">
        <w:t xml:space="preserve"> issued in May 2024</w:t>
      </w:r>
    </w:p>
    <w:p w14:paraId="7409604A" w14:textId="021E1A1F" w:rsidR="004026B7" w:rsidRPr="00083937" w:rsidRDefault="004026B7" w:rsidP="0050519B">
      <w:pPr>
        <w:pStyle w:val="ListParagraph"/>
        <w:numPr>
          <w:ilvl w:val="0"/>
          <w:numId w:val="50"/>
        </w:numPr>
        <w:shd w:val="clear" w:color="auto" w:fill="FFFFFF" w:themeFill="background1"/>
      </w:pPr>
      <w:r w:rsidRPr="00083937">
        <w:t>Annual improvements to IFRS accounting standards – Volume 11 issued in July 2024</w:t>
      </w:r>
    </w:p>
    <w:p w14:paraId="3E8D2596" w14:textId="56003152" w:rsidR="00C34CD6" w:rsidRPr="00083937" w:rsidRDefault="00E02075" w:rsidP="00373826">
      <w:pPr>
        <w:pStyle w:val="ListParagraph"/>
        <w:numPr>
          <w:ilvl w:val="0"/>
          <w:numId w:val="50"/>
        </w:numPr>
        <w:shd w:val="clear" w:color="auto" w:fill="FFFFFF" w:themeFill="background1"/>
      </w:pPr>
      <w:r w:rsidRPr="00083937">
        <w:t>Contracts Referencing Nature-dependent Electricity (Amendments to IFRS 9 and IFRS 7) issued in December 2024</w:t>
      </w:r>
    </w:p>
    <w:p w14:paraId="10CBCEAA" w14:textId="6E1D7CC5" w:rsidR="00D30915" w:rsidRPr="00083937" w:rsidRDefault="00C34CD6" w:rsidP="00557B97">
      <w:pPr>
        <w:shd w:val="clear" w:color="auto" w:fill="FFFFFF" w:themeFill="background1"/>
        <w:ind w:left="1440"/>
      </w:pPr>
      <w:r w:rsidRPr="00083937">
        <w:t>It is not anticipated that the above amendments will have a material impact on the information provided in the Authorit</w:t>
      </w:r>
      <w:r w:rsidR="00F20377" w:rsidRPr="00083937">
        <w:t>y’s financial statements.</w:t>
      </w:r>
    </w:p>
    <w:p w14:paraId="416DCAB6" w14:textId="6A49F11F" w:rsidR="00FD3E57" w:rsidRPr="00083937" w:rsidRDefault="00FD3E57" w:rsidP="00557B97">
      <w:pPr>
        <w:shd w:val="clear" w:color="auto" w:fill="FFFFFF" w:themeFill="background1"/>
        <w:ind w:left="1440"/>
      </w:pPr>
    </w:p>
    <w:bookmarkEnd w:id="95"/>
    <w:bookmarkEnd w:id="96"/>
    <w:p w14:paraId="590C1288" w14:textId="77777777" w:rsidR="005C4093" w:rsidRPr="00083937" w:rsidRDefault="005C4093" w:rsidP="007446B1">
      <w:pPr>
        <w:rPr>
          <w:szCs w:val="24"/>
        </w:rPr>
      </w:pPr>
    </w:p>
    <w:p w14:paraId="0335938F" w14:textId="08B74329" w:rsidR="005C4093" w:rsidRPr="00083937" w:rsidRDefault="00682D0D" w:rsidP="007446B1">
      <w:pPr>
        <w:ind w:left="720"/>
        <w:rPr>
          <w:b/>
          <w:szCs w:val="24"/>
        </w:rPr>
      </w:pPr>
      <w:r w:rsidRPr="00083937">
        <w:rPr>
          <w:b/>
          <w:szCs w:val="24"/>
        </w:rPr>
        <w:t>s</w:t>
      </w:r>
      <w:r w:rsidR="005C4093" w:rsidRPr="00083937">
        <w:rPr>
          <w:b/>
          <w:szCs w:val="24"/>
        </w:rPr>
        <w:tab/>
        <w:t>Joint Operations</w:t>
      </w:r>
    </w:p>
    <w:p w14:paraId="484280CA" w14:textId="77777777" w:rsidR="005C4093" w:rsidRPr="00083937" w:rsidRDefault="005C4093" w:rsidP="007446B1">
      <w:pPr>
        <w:ind w:left="720"/>
        <w:rPr>
          <w:szCs w:val="24"/>
        </w:rPr>
      </w:pPr>
    </w:p>
    <w:p w14:paraId="44934166" w14:textId="1DBEFC0E" w:rsidR="00CB4FDF" w:rsidRPr="00D948C1" w:rsidRDefault="00CB4FDF" w:rsidP="007446B1">
      <w:pPr>
        <w:ind w:left="1440"/>
        <w:rPr>
          <w:szCs w:val="24"/>
        </w:rPr>
      </w:pPr>
      <w:r w:rsidRPr="00083937">
        <w:rPr>
          <w:szCs w:val="24"/>
        </w:rPr>
        <w:t xml:space="preserve">Joint operations are arrangements where the parties that have joint control of the arrangement have rights to the assets and obligations for the liabilities relating to the arrangement. The activities undertaken by the Authority in conjunction with other joint operators involve the use of the assets and resources of those joint operators. The Authority has one joint operation, </w:t>
      </w:r>
      <w:proofErr w:type="gramStart"/>
      <w:r w:rsidRPr="00083937">
        <w:rPr>
          <w:szCs w:val="24"/>
        </w:rPr>
        <w:t>North West</w:t>
      </w:r>
      <w:proofErr w:type="gramEnd"/>
      <w:r w:rsidRPr="00083937">
        <w:rPr>
          <w:szCs w:val="24"/>
        </w:rPr>
        <w:t xml:space="preserve"> Fire</w:t>
      </w:r>
      <w:r w:rsidR="00442A3D" w:rsidRPr="00083937">
        <w:rPr>
          <w:szCs w:val="24"/>
        </w:rPr>
        <w:t xml:space="preserve"> </w:t>
      </w:r>
      <w:r w:rsidRPr="00083937">
        <w:rPr>
          <w:szCs w:val="24"/>
        </w:rPr>
        <w:t xml:space="preserve">Control Ltd (see </w:t>
      </w:r>
      <w:hyperlink w:anchor="_23_Local_Authority" w:history="1">
        <w:r w:rsidR="00BA04F9" w:rsidRPr="00083937">
          <w:rPr>
            <w:rStyle w:val="Hyperlink"/>
            <w:szCs w:val="24"/>
          </w:rPr>
          <w:t>Note 23</w:t>
        </w:r>
      </w:hyperlink>
      <w:r w:rsidRPr="00083937">
        <w:rPr>
          <w:szCs w:val="24"/>
        </w:rPr>
        <w:t xml:space="preserve"> for details), and recognises:</w:t>
      </w:r>
    </w:p>
    <w:p w14:paraId="635F1F63" w14:textId="77777777" w:rsidR="00555960" w:rsidRPr="00D948C1" w:rsidRDefault="00555960" w:rsidP="007446B1">
      <w:pPr>
        <w:rPr>
          <w:szCs w:val="24"/>
        </w:rPr>
      </w:pPr>
    </w:p>
    <w:p w14:paraId="5C313E24" w14:textId="1CEA9758" w:rsidR="00CB4FDF" w:rsidRPr="00083937" w:rsidRDefault="0024304C" w:rsidP="002A04B9">
      <w:pPr>
        <w:pStyle w:val="ListParagraph"/>
        <w:numPr>
          <w:ilvl w:val="0"/>
          <w:numId w:val="38"/>
        </w:numPr>
        <w:rPr>
          <w:szCs w:val="24"/>
        </w:rPr>
      </w:pPr>
      <w:r w:rsidRPr="00083937">
        <w:rPr>
          <w:szCs w:val="24"/>
        </w:rPr>
        <w:t>its assets, including its share of any assets held jointly</w:t>
      </w:r>
      <w:r w:rsidR="000A40E3" w:rsidRPr="00083937">
        <w:rPr>
          <w:szCs w:val="24"/>
        </w:rPr>
        <w:t>.</w:t>
      </w:r>
    </w:p>
    <w:p w14:paraId="34E444C4" w14:textId="6EBCD4D8" w:rsidR="0024304C" w:rsidRPr="00083937" w:rsidRDefault="0024304C" w:rsidP="002A04B9">
      <w:pPr>
        <w:pStyle w:val="ListParagraph"/>
        <w:numPr>
          <w:ilvl w:val="0"/>
          <w:numId w:val="38"/>
        </w:numPr>
        <w:rPr>
          <w:szCs w:val="24"/>
        </w:rPr>
      </w:pPr>
      <w:r w:rsidRPr="00083937">
        <w:rPr>
          <w:szCs w:val="24"/>
        </w:rPr>
        <w:t>its liabilities, including its share of any liabilities held jointly</w:t>
      </w:r>
      <w:r w:rsidR="000A40E3" w:rsidRPr="00083937">
        <w:rPr>
          <w:szCs w:val="24"/>
        </w:rPr>
        <w:t>.</w:t>
      </w:r>
    </w:p>
    <w:p w14:paraId="2AB18726" w14:textId="5D3E666B" w:rsidR="0024304C" w:rsidRPr="00083937" w:rsidRDefault="0024304C" w:rsidP="002A04B9">
      <w:pPr>
        <w:pStyle w:val="ListParagraph"/>
        <w:numPr>
          <w:ilvl w:val="0"/>
          <w:numId w:val="38"/>
        </w:numPr>
        <w:rPr>
          <w:szCs w:val="24"/>
        </w:rPr>
      </w:pPr>
      <w:r w:rsidRPr="00083937">
        <w:rPr>
          <w:szCs w:val="24"/>
        </w:rPr>
        <w:t>its revenue from the sale of its share of the output arising from the joint operation</w:t>
      </w:r>
      <w:r w:rsidR="000A40E3" w:rsidRPr="00083937">
        <w:rPr>
          <w:szCs w:val="24"/>
        </w:rPr>
        <w:t>.</w:t>
      </w:r>
    </w:p>
    <w:p w14:paraId="20740E16" w14:textId="3DEBEBC4" w:rsidR="0024304C" w:rsidRPr="00083937" w:rsidRDefault="0024304C" w:rsidP="002A04B9">
      <w:pPr>
        <w:pStyle w:val="ListParagraph"/>
        <w:numPr>
          <w:ilvl w:val="0"/>
          <w:numId w:val="38"/>
        </w:numPr>
        <w:rPr>
          <w:szCs w:val="24"/>
        </w:rPr>
      </w:pPr>
      <w:r w:rsidRPr="00083937">
        <w:rPr>
          <w:szCs w:val="24"/>
        </w:rPr>
        <w:t>its share of the revenue from the sale of the output by the joint operation</w:t>
      </w:r>
      <w:r w:rsidR="000A40E3" w:rsidRPr="00083937">
        <w:rPr>
          <w:szCs w:val="24"/>
        </w:rPr>
        <w:t>.</w:t>
      </w:r>
    </w:p>
    <w:p w14:paraId="4EB2DE14" w14:textId="6FA96023" w:rsidR="00E216EE" w:rsidRPr="00083937" w:rsidRDefault="007446B1" w:rsidP="002A04B9">
      <w:pPr>
        <w:pStyle w:val="ListParagraph"/>
        <w:numPr>
          <w:ilvl w:val="0"/>
          <w:numId w:val="38"/>
        </w:numPr>
        <w:rPr>
          <w:szCs w:val="24"/>
        </w:rPr>
      </w:pPr>
      <w:r w:rsidRPr="00083937">
        <w:rPr>
          <w:szCs w:val="24"/>
        </w:rPr>
        <w:t>its expenses, including its share of any expenses incurred jointly.</w:t>
      </w:r>
    </w:p>
    <w:p w14:paraId="7ADD9874" w14:textId="77777777" w:rsidR="003116D8" w:rsidRDefault="003116D8">
      <w:pPr>
        <w:rPr>
          <w:szCs w:val="24"/>
        </w:rPr>
      </w:pPr>
      <w:bookmarkStart w:id="97" w:name="FF_Pension"/>
      <w:bookmarkEnd w:id="97"/>
    </w:p>
    <w:p w14:paraId="222E90C1" w14:textId="351016A9" w:rsidR="003116D8" w:rsidRPr="007A4C69" w:rsidRDefault="003116D8" w:rsidP="003116D8">
      <w:pPr>
        <w:pStyle w:val="Heading2"/>
        <w:jc w:val="left"/>
        <w:rPr>
          <w:sz w:val="24"/>
          <w:szCs w:val="24"/>
        </w:rPr>
      </w:pPr>
      <w:bookmarkStart w:id="98" w:name="_31_Prior_Period"/>
      <w:bookmarkStart w:id="99" w:name="_Toc233717550"/>
      <w:bookmarkEnd w:id="98"/>
      <w:r>
        <w:rPr>
          <w:sz w:val="24"/>
          <w:szCs w:val="24"/>
        </w:rPr>
        <w:t>31</w:t>
      </w:r>
      <w:r w:rsidRPr="00D948C1">
        <w:rPr>
          <w:sz w:val="24"/>
          <w:szCs w:val="24"/>
        </w:rPr>
        <w:tab/>
      </w:r>
      <w:r w:rsidR="005361CB" w:rsidRPr="007A4C69">
        <w:rPr>
          <w:sz w:val="24"/>
          <w:szCs w:val="24"/>
        </w:rPr>
        <w:t>Prior Period Adjustments</w:t>
      </w:r>
      <w:bookmarkEnd w:id="99"/>
    </w:p>
    <w:p w14:paraId="131A75A8" w14:textId="026B932A" w:rsidR="005361CB" w:rsidRPr="007A4C69" w:rsidRDefault="005361CB" w:rsidP="005361CB"/>
    <w:p w14:paraId="4A24AD0D" w14:textId="4AA405CA" w:rsidR="005361CB" w:rsidRPr="007A4C69" w:rsidRDefault="005361CB" w:rsidP="004C03A3">
      <w:pPr>
        <w:ind w:left="720"/>
      </w:pPr>
      <w:r w:rsidRPr="007A4C69">
        <w:t xml:space="preserve">The </w:t>
      </w:r>
      <w:r w:rsidR="00360FB2" w:rsidRPr="007A4C69">
        <w:t xml:space="preserve">following changes </w:t>
      </w:r>
      <w:r w:rsidR="003C2E1A" w:rsidRPr="007A4C69">
        <w:t>have been made to 2023</w:t>
      </w:r>
      <w:r w:rsidR="002257E7">
        <w:t>-</w:t>
      </w:r>
      <w:r w:rsidR="003C2E1A" w:rsidRPr="007A4C69">
        <w:t>24 (see</w:t>
      </w:r>
      <w:r w:rsidR="004C03A3" w:rsidRPr="007A4C69">
        <w:t xml:space="preserve"> accounting policy</w:t>
      </w:r>
      <w:r w:rsidR="003C2E1A" w:rsidRPr="007A4C69">
        <w:t xml:space="preserve"> </w:t>
      </w:r>
      <w:hyperlink w:anchor="_30_Accounting_Policies" w:history="1">
        <w:r w:rsidR="003C2E1A" w:rsidRPr="007A4C69">
          <w:rPr>
            <w:rStyle w:val="Hyperlink"/>
          </w:rPr>
          <w:t>Note 30</w:t>
        </w:r>
      </w:hyperlink>
      <w:r w:rsidR="004C03A3" w:rsidRPr="007A4C69">
        <w:t>, section q)</w:t>
      </w:r>
      <w:r w:rsidR="003C2E1A" w:rsidRPr="007A4C69">
        <w:t>:</w:t>
      </w:r>
    </w:p>
    <w:p w14:paraId="741D5EBF" w14:textId="77777777" w:rsidR="003C2E1A" w:rsidRPr="007A4C69" w:rsidRDefault="003C2E1A" w:rsidP="005361CB"/>
    <w:p w14:paraId="7D1A9523" w14:textId="75EAFA06" w:rsidR="00167E62" w:rsidRPr="007A4C69" w:rsidRDefault="00167E62" w:rsidP="00914034">
      <w:pPr>
        <w:ind w:left="720"/>
        <w:rPr>
          <w:u w:val="single"/>
        </w:rPr>
      </w:pPr>
      <w:r w:rsidRPr="007A4C69">
        <w:rPr>
          <w:u w:val="single"/>
        </w:rPr>
        <w:t xml:space="preserve">Note 18 Transfers </w:t>
      </w:r>
      <w:r w:rsidR="00952C92" w:rsidRPr="007A4C69">
        <w:rPr>
          <w:u w:val="single"/>
        </w:rPr>
        <w:t>(to)</w:t>
      </w:r>
      <w:r w:rsidR="002257E7">
        <w:rPr>
          <w:u w:val="single"/>
        </w:rPr>
        <w:t xml:space="preserve"> or </w:t>
      </w:r>
      <w:r w:rsidR="00952C92" w:rsidRPr="007A4C69">
        <w:rPr>
          <w:u w:val="single"/>
        </w:rPr>
        <w:t>from Earmarked Reserves</w:t>
      </w:r>
    </w:p>
    <w:p w14:paraId="208BFC01" w14:textId="77777777" w:rsidR="00952C92" w:rsidRPr="007A4C69" w:rsidRDefault="00952C92" w:rsidP="00914034">
      <w:pPr>
        <w:ind w:left="720"/>
      </w:pPr>
    </w:p>
    <w:p w14:paraId="7DD84F6D" w14:textId="4D34ED51" w:rsidR="007446B1" w:rsidRPr="00D948C1" w:rsidRDefault="005C0EDD" w:rsidP="001A6E23">
      <w:pPr>
        <w:ind w:left="720"/>
        <w:rPr>
          <w:b/>
          <w:szCs w:val="24"/>
        </w:rPr>
      </w:pPr>
      <w:r w:rsidRPr="007A4C69">
        <w:t>The Capital Funding Reserve has been removed as a separate line and included within the Earmarked Reserves line</w:t>
      </w:r>
      <w:r w:rsidR="003F72E6" w:rsidRPr="007A4C69">
        <w:t>. This has not had an impact on the total useable reserves figure.</w:t>
      </w:r>
      <w:r w:rsidR="007446B1" w:rsidRPr="00D948C1">
        <w:rPr>
          <w:szCs w:val="24"/>
        </w:rPr>
        <w:br w:type="page"/>
      </w:r>
    </w:p>
    <w:p w14:paraId="47985473" w14:textId="18086050" w:rsidR="00D90216" w:rsidRPr="00B15C36" w:rsidRDefault="006563F1" w:rsidP="000F5BFB">
      <w:pPr>
        <w:pStyle w:val="Heading1"/>
      </w:pPr>
      <w:bookmarkStart w:id="100" w:name="_Toc233717551"/>
      <w:r w:rsidRPr="00CE78E2">
        <w:lastRenderedPageBreak/>
        <w:t>Fire Fighters Pension Fund Account and Net Assets Statement</w:t>
      </w:r>
      <w:bookmarkEnd w:id="100"/>
    </w:p>
    <w:p w14:paraId="39EC90A0" w14:textId="77777777" w:rsidR="00D90216" w:rsidRPr="00D948C1" w:rsidRDefault="00D90216" w:rsidP="00D90216">
      <w:pPr>
        <w:rPr>
          <w:sz w:val="22"/>
        </w:rPr>
      </w:pPr>
    </w:p>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670DBF" w:rsidRPr="00D948C1" w14:paraId="55AAD781" w14:textId="77777777" w:rsidTr="00743874">
        <w:trPr>
          <w:trHeight w:val="247"/>
        </w:trPr>
        <w:tc>
          <w:tcPr>
            <w:tcW w:w="6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2716"/>
            <w:vAlign w:val="bottom"/>
          </w:tcPr>
          <w:p w14:paraId="43752397" w14:textId="77777777" w:rsidR="00670DBF" w:rsidRPr="00D948C1" w:rsidRDefault="00670DBF" w:rsidP="001431C3">
            <w:pPr>
              <w:rPr>
                <w:bCs/>
                <w:snapToGrid w:val="0"/>
                <w:color w:val="FFFFFF" w:themeColor="background1"/>
                <w:szCs w:val="24"/>
              </w:rPr>
            </w:pPr>
            <w:r w:rsidRPr="00D948C1">
              <w:rPr>
                <w:bCs/>
                <w:snapToGrid w:val="0"/>
                <w:color w:val="FFFFFF" w:themeColor="background1"/>
                <w:szCs w:val="24"/>
              </w:rPr>
              <w:t>Fund Account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2716"/>
          </w:tcPr>
          <w:p w14:paraId="13E4C1F1" w14:textId="1D4B25E3" w:rsidR="00670DBF" w:rsidRPr="00D948C1" w:rsidRDefault="001A42DD" w:rsidP="00853231">
            <w:pPr>
              <w:jc w:val="right"/>
              <w:rPr>
                <w:color w:val="FFFFFF" w:themeColor="background1"/>
                <w:szCs w:val="24"/>
              </w:rPr>
            </w:pPr>
            <w:r>
              <w:rPr>
                <w:color w:val="FFFFFF" w:themeColor="background1"/>
                <w:szCs w:val="24"/>
              </w:rPr>
              <w:t>2025-26</w:t>
            </w:r>
          </w:p>
          <w:p w14:paraId="7FE32D0C" w14:textId="3534650E" w:rsidR="001431C3" w:rsidRPr="00D948C1" w:rsidRDefault="001431C3" w:rsidP="00853231">
            <w:pPr>
              <w:jc w:val="right"/>
              <w:rPr>
                <w:snapToGrid w:val="0"/>
                <w:color w:val="FFFFFF" w:themeColor="background1"/>
                <w:szCs w:val="24"/>
              </w:rPr>
            </w:pPr>
            <w:r w:rsidRPr="00D948C1">
              <w:rPr>
                <w:color w:val="FFFFFF" w:themeColor="background1"/>
                <w:szCs w:val="24"/>
              </w:rPr>
              <w:t>£000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2716"/>
          </w:tcPr>
          <w:p w14:paraId="11D046C3" w14:textId="30A08301" w:rsidR="00613663" w:rsidRPr="00D948C1" w:rsidRDefault="001A42DD" w:rsidP="00613663">
            <w:pPr>
              <w:jc w:val="right"/>
              <w:rPr>
                <w:color w:val="FFFFFF" w:themeColor="background1"/>
                <w:szCs w:val="24"/>
              </w:rPr>
            </w:pPr>
            <w:r>
              <w:rPr>
                <w:color w:val="FFFFFF" w:themeColor="background1"/>
                <w:szCs w:val="24"/>
              </w:rPr>
              <w:t>2024-25</w:t>
            </w:r>
          </w:p>
          <w:p w14:paraId="53A75669" w14:textId="7E376EB1" w:rsidR="001431C3" w:rsidRPr="00D948C1" w:rsidRDefault="00613663" w:rsidP="00613663">
            <w:pPr>
              <w:jc w:val="right"/>
              <w:rPr>
                <w:snapToGrid w:val="0"/>
                <w:color w:val="FFFFFF" w:themeColor="background1"/>
                <w:szCs w:val="24"/>
              </w:rPr>
            </w:pPr>
            <w:r w:rsidRPr="00D948C1">
              <w:rPr>
                <w:color w:val="FFFFFF" w:themeColor="background1"/>
                <w:szCs w:val="24"/>
              </w:rPr>
              <w:t>£000</w:t>
            </w:r>
          </w:p>
        </w:tc>
      </w:tr>
      <w:tr w:rsidR="00526A3B" w:rsidRPr="00D948C1" w14:paraId="37AD83E1" w14:textId="77777777" w:rsidTr="00743874">
        <w:trPr>
          <w:trHeight w:val="278"/>
        </w:trPr>
        <w:tc>
          <w:tcPr>
            <w:tcW w:w="8900" w:type="dxa"/>
            <w:gridSpan w:val="3"/>
            <w:tcBorders>
              <w:top w:val="single" w:sz="4" w:space="0" w:color="000000" w:themeColor="text1"/>
            </w:tcBorders>
            <w:shd w:val="clear" w:color="auto" w:fill="D9D9D9" w:themeFill="background1" w:themeFillShade="D9"/>
          </w:tcPr>
          <w:p w14:paraId="0A108AE7" w14:textId="51755985" w:rsidR="00526A3B" w:rsidRPr="00D948C1" w:rsidRDefault="00526A3B" w:rsidP="00FD216A">
            <w:pPr>
              <w:tabs>
                <w:tab w:val="decimal" w:pos="962"/>
              </w:tabs>
              <w:rPr>
                <w:b/>
                <w:snapToGrid w:val="0"/>
                <w:szCs w:val="24"/>
              </w:rPr>
            </w:pPr>
            <w:r w:rsidRPr="00D948C1">
              <w:rPr>
                <w:b/>
                <w:snapToGrid w:val="0"/>
                <w:szCs w:val="24"/>
              </w:rPr>
              <w:t>Income to the fund</w:t>
            </w:r>
          </w:p>
        </w:tc>
      </w:tr>
      <w:tr w:rsidR="00526A3B" w:rsidRPr="00D948C1" w14:paraId="153574EE" w14:textId="77777777" w:rsidTr="003572E5">
        <w:trPr>
          <w:trHeight w:val="278"/>
        </w:trPr>
        <w:tc>
          <w:tcPr>
            <w:tcW w:w="8900" w:type="dxa"/>
            <w:gridSpan w:val="3"/>
            <w:shd w:val="clear" w:color="auto" w:fill="D9D9D9" w:themeFill="background1" w:themeFillShade="D9"/>
          </w:tcPr>
          <w:p w14:paraId="27B63C56" w14:textId="19A5EF4F" w:rsidR="00526A3B" w:rsidRPr="00D948C1" w:rsidRDefault="00526A3B" w:rsidP="00FD216A">
            <w:pPr>
              <w:tabs>
                <w:tab w:val="decimal" w:pos="962"/>
              </w:tabs>
              <w:rPr>
                <w:b/>
                <w:snapToGrid w:val="0"/>
                <w:szCs w:val="24"/>
              </w:rPr>
            </w:pPr>
            <w:r w:rsidRPr="00D948C1">
              <w:rPr>
                <w:b/>
                <w:snapToGrid w:val="0"/>
                <w:szCs w:val="24"/>
              </w:rPr>
              <w:t>Contributions receivable:</w:t>
            </w:r>
          </w:p>
        </w:tc>
      </w:tr>
      <w:tr w:rsidR="00526A3B" w:rsidRPr="00D948C1" w14:paraId="3E68FB9D" w14:textId="77777777" w:rsidTr="003572E5">
        <w:trPr>
          <w:trHeight w:val="278"/>
        </w:trPr>
        <w:tc>
          <w:tcPr>
            <w:tcW w:w="8900" w:type="dxa"/>
            <w:gridSpan w:val="3"/>
            <w:shd w:val="clear" w:color="auto" w:fill="D9D9D9" w:themeFill="background1" w:themeFillShade="D9"/>
          </w:tcPr>
          <w:p w14:paraId="294E5D96" w14:textId="1E6EFC29" w:rsidR="00526A3B" w:rsidRPr="00D948C1" w:rsidRDefault="00526A3B" w:rsidP="002A04B9">
            <w:pPr>
              <w:pStyle w:val="ListParagraph"/>
              <w:numPr>
                <w:ilvl w:val="0"/>
                <w:numId w:val="41"/>
              </w:numPr>
              <w:tabs>
                <w:tab w:val="decimal" w:pos="962"/>
              </w:tabs>
              <w:rPr>
                <w:b/>
                <w:snapToGrid w:val="0"/>
                <w:szCs w:val="24"/>
              </w:rPr>
            </w:pPr>
            <w:r w:rsidRPr="00D948C1">
              <w:rPr>
                <w:b/>
                <w:snapToGrid w:val="0"/>
                <w:szCs w:val="24"/>
              </w:rPr>
              <w:t>From employer</w:t>
            </w:r>
          </w:p>
        </w:tc>
      </w:tr>
      <w:tr w:rsidR="00871E42" w:rsidRPr="00D948C1" w14:paraId="173AECCD" w14:textId="77777777" w:rsidTr="003572E5">
        <w:trPr>
          <w:trHeight w:val="278"/>
        </w:trPr>
        <w:tc>
          <w:tcPr>
            <w:tcW w:w="6207" w:type="dxa"/>
          </w:tcPr>
          <w:p w14:paraId="5C8991BF" w14:textId="77777777" w:rsidR="00871E42" w:rsidRPr="00D948C1" w:rsidRDefault="00871E42" w:rsidP="00871E42">
            <w:pPr>
              <w:pStyle w:val="ListParagraph"/>
              <w:numPr>
                <w:ilvl w:val="0"/>
                <w:numId w:val="29"/>
              </w:numPr>
              <w:rPr>
                <w:snapToGrid w:val="0"/>
                <w:szCs w:val="24"/>
              </w:rPr>
            </w:pPr>
            <w:r w:rsidRPr="00D948C1">
              <w:rPr>
                <w:snapToGrid w:val="0"/>
                <w:szCs w:val="24"/>
              </w:rPr>
              <w:t>contributions in relation to pensionable pay</w:t>
            </w:r>
          </w:p>
        </w:tc>
        <w:tc>
          <w:tcPr>
            <w:tcW w:w="1418" w:type="dxa"/>
            <w:vAlign w:val="center"/>
          </w:tcPr>
          <w:p w14:paraId="24A932D1" w14:textId="59FFF703" w:rsidR="00871E42" w:rsidRPr="00893B01" w:rsidRDefault="00893B01" w:rsidP="00893B01">
            <w:pPr>
              <w:pStyle w:val="CommentText"/>
              <w:tabs>
                <w:tab w:val="decimal" w:pos="1350"/>
              </w:tabs>
              <w:jc w:val="right"/>
              <w:rPr>
                <w:sz w:val="24"/>
                <w:szCs w:val="24"/>
              </w:rPr>
            </w:pPr>
            <w:r w:rsidRPr="00893B01">
              <w:rPr>
                <w:sz w:val="24"/>
                <w:szCs w:val="24"/>
              </w:rPr>
              <w:t>(11,209)</w:t>
            </w:r>
          </w:p>
        </w:tc>
        <w:tc>
          <w:tcPr>
            <w:tcW w:w="1275" w:type="dxa"/>
            <w:vAlign w:val="center"/>
          </w:tcPr>
          <w:p w14:paraId="0557E00C" w14:textId="4DE3D3DC" w:rsidR="00871E42" w:rsidRPr="00893B01" w:rsidRDefault="00871E42" w:rsidP="00893B01">
            <w:pPr>
              <w:pStyle w:val="CommentText"/>
              <w:tabs>
                <w:tab w:val="decimal" w:pos="1350"/>
              </w:tabs>
              <w:jc w:val="right"/>
              <w:rPr>
                <w:sz w:val="24"/>
                <w:szCs w:val="24"/>
              </w:rPr>
            </w:pPr>
            <w:r w:rsidRPr="00893B01">
              <w:rPr>
                <w:sz w:val="24"/>
                <w:szCs w:val="24"/>
              </w:rPr>
              <w:t>(10,902)</w:t>
            </w:r>
          </w:p>
        </w:tc>
      </w:tr>
      <w:tr w:rsidR="00871E42" w:rsidRPr="00D948C1" w14:paraId="01CD8CF1" w14:textId="77777777" w:rsidTr="003572E5">
        <w:trPr>
          <w:trHeight w:val="278"/>
        </w:trPr>
        <w:tc>
          <w:tcPr>
            <w:tcW w:w="6207" w:type="dxa"/>
          </w:tcPr>
          <w:p w14:paraId="4A9B300A" w14:textId="77777777" w:rsidR="00871E42" w:rsidRPr="00D948C1" w:rsidRDefault="00871E42" w:rsidP="00871E42">
            <w:pPr>
              <w:pStyle w:val="ListParagraph"/>
              <w:numPr>
                <w:ilvl w:val="0"/>
                <w:numId w:val="28"/>
              </w:numPr>
              <w:rPr>
                <w:snapToGrid w:val="0"/>
                <w:szCs w:val="24"/>
              </w:rPr>
            </w:pPr>
            <w:r w:rsidRPr="00D948C1">
              <w:rPr>
                <w:snapToGrid w:val="0"/>
                <w:szCs w:val="24"/>
              </w:rPr>
              <w:t>other contributions</w:t>
            </w:r>
          </w:p>
        </w:tc>
        <w:tc>
          <w:tcPr>
            <w:tcW w:w="1418" w:type="dxa"/>
            <w:vAlign w:val="center"/>
          </w:tcPr>
          <w:p w14:paraId="3E8ED8FB" w14:textId="257B59CA" w:rsidR="00871E42" w:rsidRPr="00D948C1" w:rsidRDefault="00AD1362" w:rsidP="00871E42">
            <w:pPr>
              <w:tabs>
                <w:tab w:val="decimal" w:pos="1104"/>
              </w:tabs>
              <w:jc w:val="right"/>
              <w:rPr>
                <w:szCs w:val="24"/>
              </w:rPr>
            </w:pPr>
            <w:r>
              <w:rPr>
                <w:szCs w:val="24"/>
              </w:rPr>
              <w:t>(183)</w:t>
            </w:r>
          </w:p>
        </w:tc>
        <w:tc>
          <w:tcPr>
            <w:tcW w:w="1275" w:type="dxa"/>
            <w:vAlign w:val="center"/>
          </w:tcPr>
          <w:p w14:paraId="37E5B13F" w14:textId="0F09A7B0" w:rsidR="00871E42" w:rsidRPr="00D948C1" w:rsidRDefault="00871E42" w:rsidP="00871E42">
            <w:pPr>
              <w:tabs>
                <w:tab w:val="decimal" w:pos="1104"/>
              </w:tabs>
              <w:jc w:val="right"/>
              <w:rPr>
                <w:szCs w:val="24"/>
              </w:rPr>
            </w:pPr>
            <w:r>
              <w:rPr>
                <w:szCs w:val="24"/>
              </w:rPr>
              <w:t>(135)</w:t>
            </w:r>
          </w:p>
        </w:tc>
      </w:tr>
      <w:tr w:rsidR="00871E42" w:rsidRPr="00D948C1" w14:paraId="63755E1B" w14:textId="77777777" w:rsidTr="003572E5">
        <w:trPr>
          <w:trHeight w:val="278"/>
        </w:trPr>
        <w:tc>
          <w:tcPr>
            <w:tcW w:w="6207" w:type="dxa"/>
          </w:tcPr>
          <w:p w14:paraId="45A49EDD" w14:textId="77777777" w:rsidR="00871E42" w:rsidRPr="00D948C1" w:rsidRDefault="00871E42" w:rsidP="00871E42">
            <w:pPr>
              <w:pStyle w:val="ListParagraph"/>
              <w:numPr>
                <w:ilvl w:val="0"/>
                <w:numId w:val="27"/>
              </w:numPr>
              <w:rPr>
                <w:snapToGrid w:val="0"/>
                <w:szCs w:val="24"/>
              </w:rPr>
            </w:pPr>
            <w:r w:rsidRPr="00D948C1">
              <w:rPr>
                <w:snapToGrid w:val="0"/>
                <w:szCs w:val="24"/>
              </w:rPr>
              <w:t>Members contributions</w:t>
            </w:r>
          </w:p>
        </w:tc>
        <w:tc>
          <w:tcPr>
            <w:tcW w:w="1418" w:type="dxa"/>
            <w:vAlign w:val="center"/>
          </w:tcPr>
          <w:p w14:paraId="576F6FA9" w14:textId="55099428" w:rsidR="00871E42" w:rsidRPr="00D948C1" w:rsidRDefault="00AD1362" w:rsidP="00871E42">
            <w:pPr>
              <w:tabs>
                <w:tab w:val="decimal" w:pos="1104"/>
              </w:tabs>
              <w:jc w:val="right"/>
              <w:rPr>
                <w:szCs w:val="24"/>
              </w:rPr>
            </w:pPr>
            <w:r>
              <w:rPr>
                <w:szCs w:val="24"/>
              </w:rPr>
              <w:t>(5,707)</w:t>
            </w:r>
          </w:p>
        </w:tc>
        <w:tc>
          <w:tcPr>
            <w:tcW w:w="1275" w:type="dxa"/>
            <w:vAlign w:val="center"/>
          </w:tcPr>
          <w:p w14:paraId="5E7256B6" w14:textId="4EA3674C" w:rsidR="00871E42" w:rsidRPr="00D948C1" w:rsidRDefault="00871E42" w:rsidP="00871E42">
            <w:pPr>
              <w:tabs>
                <w:tab w:val="decimal" w:pos="1104"/>
              </w:tabs>
              <w:jc w:val="right"/>
              <w:rPr>
                <w:szCs w:val="24"/>
              </w:rPr>
            </w:pPr>
            <w:r>
              <w:rPr>
                <w:szCs w:val="24"/>
              </w:rPr>
              <w:t>(4,355)</w:t>
            </w:r>
          </w:p>
        </w:tc>
      </w:tr>
    </w:tbl>
    <w:p w14:paraId="2218DC73"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AC5949" w:rsidRPr="00D948C1" w14:paraId="445662B5" w14:textId="77777777" w:rsidTr="003572E5">
        <w:trPr>
          <w:trHeight w:val="278"/>
        </w:trPr>
        <w:tc>
          <w:tcPr>
            <w:tcW w:w="8900" w:type="dxa"/>
            <w:gridSpan w:val="3"/>
            <w:shd w:val="clear" w:color="auto" w:fill="D9D9D9" w:themeFill="background1" w:themeFillShade="D9"/>
          </w:tcPr>
          <w:p w14:paraId="4A554574" w14:textId="0A650FF8" w:rsidR="00AC5949" w:rsidRPr="00D948C1" w:rsidRDefault="00AC5949" w:rsidP="00FD216A">
            <w:pPr>
              <w:tabs>
                <w:tab w:val="decimal" w:pos="1104"/>
              </w:tabs>
              <w:rPr>
                <w:b/>
                <w:snapToGrid w:val="0"/>
                <w:szCs w:val="24"/>
              </w:rPr>
            </w:pPr>
            <w:r w:rsidRPr="00D948C1">
              <w:rPr>
                <w:b/>
                <w:snapToGrid w:val="0"/>
                <w:szCs w:val="24"/>
              </w:rPr>
              <w:t>Transfers in:</w:t>
            </w:r>
          </w:p>
        </w:tc>
      </w:tr>
      <w:tr w:rsidR="00871E42" w:rsidRPr="00D948C1" w14:paraId="134117FD" w14:textId="77777777" w:rsidTr="003572E5">
        <w:trPr>
          <w:trHeight w:val="278"/>
        </w:trPr>
        <w:tc>
          <w:tcPr>
            <w:tcW w:w="6207" w:type="dxa"/>
          </w:tcPr>
          <w:p w14:paraId="4115A55A" w14:textId="77777777" w:rsidR="00871E42" w:rsidRPr="00D948C1" w:rsidRDefault="00871E42" w:rsidP="00871E42">
            <w:pPr>
              <w:pStyle w:val="ListParagraph"/>
              <w:numPr>
                <w:ilvl w:val="0"/>
                <w:numId w:val="26"/>
              </w:numPr>
              <w:rPr>
                <w:snapToGrid w:val="0"/>
                <w:szCs w:val="24"/>
              </w:rPr>
            </w:pPr>
            <w:r w:rsidRPr="00D948C1">
              <w:rPr>
                <w:snapToGrid w:val="0"/>
                <w:szCs w:val="24"/>
              </w:rPr>
              <w:t>Individual transfers from other schemes</w:t>
            </w:r>
          </w:p>
        </w:tc>
        <w:tc>
          <w:tcPr>
            <w:tcW w:w="1418" w:type="dxa"/>
            <w:vAlign w:val="center"/>
          </w:tcPr>
          <w:p w14:paraId="7675413D" w14:textId="18981D6A" w:rsidR="00871E42" w:rsidRPr="00D948C1" w:rsidRDefault="00DF2F91" w:rsidP="00871E42">
            <w:pPr>
              <w:tabs>
                <w:tab w:val="decimal" w:pos="1104"/>
              </w:tabs>
              <w:jc w:val="right"/>
              <w:rPr>
                <w:snapToGrid w:val="0"/>
                <w:szCs w:val="24"/>
              </w:rPr>
            </w:pPr>
            <w:r>
              <w:rPr>
                <w:snapToGrid w:val="0"/>
                <w:szCs w:val="24"/>
              </w:rPr>
              <w:t>(14)</w:t>
            </w:r>
          </w:p>
        </w:tc>
        <w:tc>
          <w:tcPr>
            <w:tcW w:w="1275" w:type="dxa"/>
            <w:vAlign w:val="center"/>
          </w:tcPr>
          <w:p w14:paraId="4AD61DC6" w14:textId="132912F1" w:rsidR="00871E42" w:rsidRPr="00D948C1" w:rsidRDefault="00871E42" w:rsidP="00871E42">
            <w:pPr>
              <w:tabs>
                <w:tab w:val="decimal" w:pos="1104"/>
              </w:tabs>
              <w:jc w:val="right"/>
              <w:rPr>
                <w:snapToGrid w:val="0"/>
                <w:szCs w:val="24"/>
              </w:rPr>
            </w:pPr>
            <w:r>
              <w:rPr>
                <w:snapToGrid w:val="0"/>
                <w:szCs w:val="24"/>
              </w:rPr>
              <w:t>(114)</w:t>
            </w:r>
          </w:p>
        </w:tc>
      </w:tr>
      <w:tr w:rsidR="00871E42" w:rsidRPr="00D948C1" w14:paraId="70FB3365" w14:textId="77777777" w:rsidTr="003572E5">
        <w:trPr>
          <w:trHeight w:val="278"/>
        </w:trPr>
        <w:tc>
          <w:tcPr>
            <w:tcW w:w="6207" w:type="dxa"/>
          </w:tcPr>
          <w:p w14:paraId="347EDC7C" w14:textId="77777777" w:rsidR="00871E42" w:rsidRPr="00D948C1" w:rsidRDefault="00871E42" w:rsidP="00871E42">
            <w:pPr>
              <w:ind w:left="396" w:hanging="284"/>
              <w:rPr>
                <w:b/>
                <w:snapToGrid w:val="0"/>
                <w:szCs w:val="24"/>
              </w:rPr>
            </w:pPr>
            <w:r w:rsidRPr="00D948C1">
              <w:rPr>
                <w:b/>
                <w:snapToGrid w:val="0"/>
                <w:szCs w:val="24"/>
              </w:rPr>
              <w:t>Total Income to the Fund</w:t>
            </w:r>
          </w:p>
        </w:tc>
        <w:tc>
          <w:tcPr>
            <w:tcW w:w="1418" w:type="dxa"/>
            <w:vAlign w:val="center"/>
          </w:tcPr>
          <w:p w14:paraId="01DD441D" w14:textId="7822779D" w:rsidR="00871E42" w:rsidRPr="00D948C1" w:rsidRDefault="00DF2F91" w:rsidP="00871E42">
            <w:pPr>
              <w:tabs>
                <w:tab w:val="decimal" w:pos="1104"/>
              </w:tabs>
              <w:jc w:val="right"/>
              <w:rPr>
                <w:b/>
                <w:snapToGrid w:val="0"/>
                <w:szCs w:val="24"/>
              </w:rPr>
            </w:pPr>
            <w:r>
              <w:rPr>
                <w:b/>
                <w:snapToGrid w:val="0"/>
                <w:szCs w:val="24"/>
              </w:rPr>
              <w:t>(17,113)</w:t>
            </w:r>
          </w:p>
        </w:tc>
        <w:tc>
          <w:tcPr>
            <w:tcW w:w="1275" w:type="dxa"/>
            <w:vAlign w:val="center"/>
          </w:tcPr>
          <w:p w14:paraId="0379C159" w14:textId="07B1DDB3" w:rsidR="00871E42" w:rsidRPr="00D948C1" w:rsidRDefault="00871E42" w:rsidP="00871E42">
            <w:pPr>
              <w:tabs>
                <w:tab w:val="decimal" w:pos="1104"/>
              </w:tabs>
              <w:jc w:val="right"/>
              <w:rPr>
                <w:b/>
                <w:snapToGrid w:val="0"/>
                <w:szCs w:val="24"/>
              </w:rPr>
            </w:pPr>
            <w:r>
              <w:rPr>
                <w:b/>
                <w:snapToGrid w:val="0"/>
                <w:szCs w:val="24"/>
              </w:rPr>
              <w:t>(15,506)</w:t>
            </w:r>
          </w:p>
        </w:tc>
      </w:tr>
    </w:tbl>
    <w:p w14:paraId="2ECDE9A4"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8"/>
        <w:gridCol w:w="1275"/>
      </w:tblGrid>
      <w:tr w:rsidR="00AC5949" w:rsidRPr="00D948C1" w14:paraId="52E0944A" w14:textId="77777777" w:rsidTr="003572E5">
        <w:trPr>
          <w:trHeight w:val="278"/>
        </w:trPr>
        <w:tc>
          <w:tcPr>
            <w:tcW w:w="8900" w:type="dxa"/>
            <w:gridSpan w:val="3"/>
            <w:shd w:val="clear" w:color="auto" w:fill="D9D9D9" w:themeFill="background1" w:themeFillShade="D9"/>
          </w:tcPr>
          <w:p w14:paraId="6E62799E" w14:textId="4DDC0A4A" w:rsidR="00AC5949" w:rsidRPr="00D948C1" w:rsidRDefault="00AC5949" w:rsidP="00FD216A">
            <w:pPr>
              <w:tabs>
                <w:tab w:val="decimal" w:pos="1104"/>
              </w:tabs>
              <w:rPr>
                <w:b/>
                <w:snapToGrid w:val="0"/>
                <w:szCs w:val="24"/>
              </w:rPr>
            </w:pPr>
            <w:r w:rsidRPr="00D948C1">
              <w:rPr>
                <w:b/>
                <w:snapToGrid w:val="0"/>
                <w:szCs w:val="24"/>
              </w:rPr>
              <w:t>Spending by the fund</w:t>
            </w:r>
          </w:p>
        </w:tc>
      </w:tr>
      <w:tr w:rsidR="00AC5949" w:rsidRPr="00D948C1" w14:paraId="291BAA72" w14:textId="77777777" w:rsidTr="003572E5">
        <w:trPr>
          <w:trHeight w:val="278"/>
        </w:trPr>
        <w:tc>
          <w:tcPr>
            <w:tcW w:w="8900" w:type="dxa"/>
            <w:gridSpan w:val="3"/>
            <w:shd w:val="clear" w:color="auto" w:fill="D9D9D9" w:themeFill="background1" w:themeFillShade="D9"/>
          </w:tcPr>
          <w:p w14:paraId="496454F2" w14:textId="055355E2" w:rsidR="00AC5949" w:rsidRPr="00D948C1" w:rsidRDefault="00AC5949" w:rsidP="00FD216A">
            <w:pPr>
              <w:tabs>
                <w:tab w:val="decimal" w:pos="1104"/>
              </w:tabs>
              <w:rPr>
                <w:b/>
                <w:snapToGrid w:val="0"/>
                <w:szCs w:val="24"/>
              </w:rPr>
            </w:pPr>
            <w:r w:rsidRPr="00D948C1">
              <w:rPr>
                <w:b/>
                <w:snapToGrid w:val="0"/>
                <w:szCs w:val="24"/>
              </w:rPr>
              <w:t>Benefits payable:</w:t>
            </w:r>
          </w:p>
        </w:tc>
      </w:tr>
      <w:tr w:rsidR="00871E42" w:rsidRPr="00D948C1" w14:paraId="773EC1D3" w14:textId="77777777" w:rsidTr="003572E5">
        <w:trPr>
          <w:trHeight w:val="278"/>
        </w:trPr>
        <w:tc>
          <w:tcPr>
            <w:tcW w:w="6207" w:type="dxa"/>
          </w:tcPr>
          <w:p w14:paraId="2566ABC9" w14:textId="77777777" w:rsidR="00871E42" w:rsidRPr="00D948C1" w:rsidRDefault="00871E42" w:rsidP="00871E42">
            <w:pPr>
              <w:pStyle w:val="ListParagraph"/>
              <w:numPr>
                <w:ilvl w:val="0"/>
                <w:numId w:val="25"/>
              </w:numPr>
              <w:rPr>
                <w:snapToGrid w:val="0"/>
                <w:szCs w:val="24"/>
              </w:rPr>
            </w:pPr>
            <w:r w:rsidRPr="00D948C1">
              <w:rPr>
                <w:snapToGrid w:val="0"/>
                <w:szCs w:val="24"/>
              </w:rPr>
              <w:t>Pension payments</w:t>
            </w:r>
          </w:p>
        </w:tc>
        <w:tc>
          <w:tcPr>
            <w:tcW w:w="1418" w:type="dxa"/>
            <w:vAlign w:val="center"/>
          </w:tcPr>
          <w:p w14:paraId="6ED905B9" w14:textId="67590443" w:rsidR="00871E42" w:rsidRPr="00D948C1" w:rsidRDefault="00DF2F91" w:rsidP="00871E42">
            <w:pPr>
              <w:tabs>
                <w:tab w:val="decimal" w:pos="1104"/>
              </w:tabs>
              <w:jc w:val="right"/>
              <w:rPr>
                <w:snapToGrid w:val="0"/>
                <w:szCs w:val="24"/>
              </w:rPr>
            </w:pPr>
            <w:r>
              <w:rPr>
                <w:snapToGrid w:val="0"/>
                <w:szCs w:val="24"/>
              </w:rPr>
              <w:t>32,524</w:t>
            </w:r>
          </w:p>
        </w:tc>
        <w:tc>
          <w:tcPr>
            <w:tcW w:w="1275" w:type="dxa"/>
            <w:vAlign w:val="center"/>
          </w:tcPr>
          <w:p w14:paraId="7F799B10" w14:textId="23D7F855" w:rsidR="00871E42" w:rsidRPr="00D948C1" w:rsidRDefault="00871E42" w:rsidP="00871E42">
            <w:pPr>
              <w:tabs>
                <w:tab w:val="decimal" w:pos="1104"/>
              </w:tabs>
              <w:jc w:val="right"/>
              <w:rPr>
                <w:snapToGrid w:val="0"/>
                <w:szCs w:val="24"/>
              </w:rPr>
            </w:pPr>
            <w:r>
              <w:rPr>
                <w:snapToGrid w:val="0"/>
                <w:szCs w:val="24"/>
              </w:rPr>
              <w:t>27,918</w:t>
            </w:r>
          </w:p>
        </w:tc>
      </w:tr>
      <w:tr w:rsidR="00871E42" w:rsidRPr="00D948C1" w14:paraId="48ED29A6" w14:textId="77777777" w:rsidTr="003572E5">
        <w:trPr>
          <w:trHeight w:val="556"/>
        </w:trPr>
        <w:tc>
          <w:tcPr>
            <w:tcW w:w="6207" w:type="dxa"/>
          </w:tcPr>
          <w:p w14:paraId="3D9EB629" w14:textId="77777777" w:rsidR="00871E42" w:rsidRPr="00D948C1" w:rsidRDefault="00871E42" w:rsidP="00871E42">
            <w:pPr>
              <w:pStyle w:val="ListParagraph"/>
              <w:numPr>
                <w:ilvl w:val="0"/>
                <w:numId w:val="25"/>
              </w:numPr>
              <w:rPr>
                <w:snapToGrid w:val="0"/>
                <w:szCs w:val="24"/>
              </w:rPr>
            </w:pPr>
            <w:r w:rsidRPr="00D948C1">
              <w:rPr>
                <w:snapToGrid w:val="0"/>
                <w:szCs w:val="24"/>
              </w:rPr>
              <w:t>Commutations of pensions and lump-sum retirement benefits</w:t>
            </w:r>
          </w:p>
        </w:tc>
        <w:tc>
          <w:tcPr>
            <w:tcW w:w="1418" w:type="dxa"/>
            <w:vAlign w:val="center"/>
          </w:tcPr>
          <w:p w14:paraId="0CBF1C23" w14:textId="3834A799" w:rsidR="00871E42" w:rsidRPr="00D948C1" w:rsidRDefault="00DF2F91" w:rsidP="00871E42">
            <w:pPr>
              <w:tabs>
                <w:tab w:val="decimal" w:pos="1104"/>
              </w:tabs>
              <w:jc w:val="right"/>
              <w:rPr>
                <w:snapToGrid w:val="0"/>
                <w:szCs w:val="24"/>
              </w:rPr>
            </w:pPr>
            <w:r>
              <w:rPr>
                <w:snapToGrid w:val="0"/>
                <w:szCs w:val="24"/>
              </w:rPr>
              <w:t>7,259</w:t>
            </w:r>
          </w:p>
        </w:tc>
        <w:tc>
          <w:tcPr>
            <w:tcW w:w="1275" w:type="dxa"/>
            <w:vAlign w:val="center"/>
          </w:tcPr>
          <w:p w14:paraId="1A29995C" w14:textId="5A93265B" w:rsidR="00871E42" w:rsidRPr="00D948C1" w:rsidRDefault="00871E42" w:rsidP="00871E42">
            <w:pPr>
              <w:tabs>
                <w:tab w:val="decimal" w:pos="1104"/>
              </w:tabs>
              <w:jc w:val="right"/>
              <w:rPr>
                <w:snapToGrid w:val="0"/>
                <w:szCs w:val="24"/>
              </w:rPr>
            </w:pPr>
            <w:r>
              <w:rPr>
                <w:snapToGrid w:val="0"/>
                <w:szCs w:val="24"/>
              </w:rPr>
              <w:t>6,182</w:t>
            </w:r>
          </w:p>
        </w:tc>
      </w:tr>
    </w:tbl>
    <w:p w14:paraId="2C8913D8"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3"/>
        <w:gridCol w:w="1280"/>
      </w:tblGrid>
      <w:tr w:rsidR="00AC5949" w:rsidRPr="00D948C1" w14:paraId="30EF4847" w14:textId="77777777" w:rsidTr="003572E5">
        <w:trPr>
          <w:trHeight w:val="278"/>
        </w:trPr>
        <w:tc>
          <w:tcPr>
            <w:tcW w:w="8900" w:type="dxa"/>
            <w:gridSpan w:val="3"/>
            <w:shd w:val="clear" w:color="auto" w:fill="D9D9D9" w:themeFill="background1" w:themeFillShade="D9"/>
          </w:tcPr>
          <w:p w14:paraId="00FE2572" w14:textId="1392B119" w:rsidR="00AC5949" w:rsidRPr="00D948C1" w:rsidRDefault="00AC5949" w:rsidP="00FD216A">
            <w:pPr>
              <w:tabs>
                <w:tab w:val="decimal" w:pos="1104"/>
              </w:tabs>
              <w:rPr>
                <w:b/>
                <w:snapToGrid w:val="0"/>
                <w:szCs w:val="24"/>
              </w:rPr>
            </w:pPr>
            <w:r w:rsidRPr="00D948C1">
              <w:rPr>
                <w:b/>
                <w:snapToGrid w:val="0"/>
                <w:szCs w:val="24"/>
              </w:rPr>
              <w:t>Transfers out:</w:t>
            </w:r>
          </w:p>
        </w:tc>
      </w:tr>
      <w:tr w:rsidR="00871E42" w:rsidRPr="00D948C1" w14:paraId="54677730" w14:textId="77777777" w:rsidTr="003572E5">
        <w:trPr>
          <w:trHeight w:val="278"/>
        </w:trPr>
        <w:tc>
          <w:tcPr>
            <w:tcW w:w="6207" w:type="dxa"/>
          </w:tcPr>
          <w:p w14:paraId="66B498AB" w14:textId="77777777" w:rsidR="00871E42" w:rsidRPr="00D948C1" w:rsidRDefault="00871E42" w:rsidP="00871E42">
            <w:pPr>
              <w:pStyle w:val="ListParagraph"/>
              <w:numPr>
                <w:ilvl w:val="0"/>
                <w:numId w:val="24"/>
              </w:numPr>
              <w:rPr>
                <w:snapToGrid w:val="0"/>
                <w:szCs w:val="24"/>
              </w:rPr>
            </w:pPr>
            <w:r w:rsidRPr="00D948C1">
              <w:rPr>
                <w:snapToGrid w:val="0"/>
                <w:szCs w:val="24"/>
              </w:rPr>
              <w:t>Individual transfers out to other schemes</w:t>
            </w:r>
          </w:p>
        </w:tc>
        <w:tc>
          <w:tcPr>
            <w:tcW w:w="1413" w:type="dxa"/>
            <w:vAlign w:val="center"/>
          </w:tcPr>
          <w:p w14:paraId="3951CB66" w14:textId="570E5B58" w:rsidR="00871E42" w:rsidRPr="00D948C1" w:rsidRDefault="00DF2F91" w:rsidP="00871E42">
            <w:pPr>
              <w:tabs>
                <w:tab w:val="decimal" w:pos="1104"/>
              </w:tabs>
              <w:jc w:val="right"/>
              <w:rPr>
                <w:snapToGrid w:val="0"/>
                <w:szCs w:val="24"/>
              </w:rPr>
            </w:pPr>
            <w:r>
              <w:rPr>
                <w:snapToGrid w:val="0"/>
                <w:szCs w:val="24"/>
              </w:rPr>
              <w:t>-</w:t>
            </w:r>
          </w:p>
        </w:tc>
        <w:tc>
          <w:tcPr>
            <w:tcW w:w="1280" w:type="dxa"/>
            <w:vAlign w:val="center"/>
          </w:tcPr>
          <w:p w14:paraId="7A48C2D6" w14:textId="618144C1" w:rsidR="00871E42" w:rsidRPr="00D948C1" w:rsidRDefault="00871E42" w:rsidP="00871E42">
            <w:pPr>
              <w:tabs>
                <w:tab w:val="decimal" w:pos="1104"/>
              </w:tabs>
              <w:jc w:val="right"/>
              <w:rPr>
                <w:snapToGrid w:val="0"/>
                <w:szCs w:val="24"/>
              </w:rPr>
            </w:pPr>
            <w:r>
              <w:rPr>
                <w:snapToGrid w:val="0"/>
                <w:szCs w:val="24"/>
              </w:rPr>
              <w:t>-</w:t>
            </w:r>
          </w:p>
        </w:tc>
      </w:tr>
      <w:tr w:rsidR="00871E42" w:rsidRPr="00D948C1" w14:paraId="531585B2" w14:textId="77777777" w:rsidTr="003572E5">
        <w:trPr>
          <w:trHeight w:val="278"/>
        </w:trPr>
        <w:tc>
          <w:tcPr>
            <w:tcW w:w="6207" w:type="dxa"/>
          </w:tcPr>
          <w:p w14:paraId="20545890" w14:textId="77777777" w:rsidR="00871E42" w:rsidRPr="00D948C1" w:rsidRDefault="00871E42" w:rsidP="00871E42">
            <w:pPr>
              <w:pStyle w:val="ListParagraph"/>
              <w:numPr>
                <w:ilvl w:val="0"/>
                <w:numId w:val="24"/>
              </w:numPr>
              <w:rPr>
                <w:snapToGrid w:val="0"/>
                <w:szCs w:val="24"/>
              </w:rPr>
            </w:pPr>
            <w:r w:rsidRPr="00D948C1">
              <w:rPr>
                <w:snapToGrid w:val="0"/>
                <w:szCs w:val="24"/>
              </w:rPr>
              <w:t>Refunds of contributions</w:t>
            </w:r>
          </w:p>
        </w:tc>
        <w:tc>
          <w:tcPr>
            <w:tcW w:w="1413" w:type="dxa"/>
            <w:vAlign w:val="center"/>
          </w:tcPr>
          <w:p w14:paraId="5ED643E8" w14:textId="5CD312BD" w:rsidR="00871E42" w:rsidRPr="00D948C1" w:rsidRDefault="00DF2F91" w:rsidP="00871E42">
            <w:pPr>
              <w:tabs>
                <w:tab w:val="decimal" w:pos="1104"/>
              </w:tabs>
              <w:jc w:val="right"/>
              <w:rPr>
                <w:snapToGrid w:val="0"/>
                <w:szCs w:val="24"/>
              </w:rPr>
            </w:pPr>
            <w:r>
              <w:rPr>
                <w:snapToGrid w:val="0"/>
                <w:szCs w:val="24"/>
              </w:rPr>
              <w:t>-</w:t>
            </w:r>
          </w:p>
        </w:tc>
        <w:tc>
          <w:tcPr>
            <w:tcW w:w="1280" w:type="dxa"/>
            <w:vAlign w:val="center"/>
          </w:tcPr>
          <w:p w14:paraId="33FB8477" w14:textId="691CF6FB" w:rsidR="00871E42" w:rsidRPr="00D948C1" w:rsidRDefault="00871E42" w:rsidP="00871E42">
            <w:pPr>
              <w:tabs>
                <w:tab w:val="decimal" w:pos="1104"/>
              </w:tabs>
              <w:jc w:val="right"/>
              <w:rPr>
                <w:snapToGrid w:val="0"/>
                <w:szCs w:val="24"/>
              </w:rPr>
            </w:pPr>
            <w:r>
              <w:rPr>
                <w:snapToGrid w:val="0"/>
                <w:szCs w:val="24"/>
              </w:rPr>
              <w:t>-</w:t>
            </w:r>
          </w:p>
        </w:tc>
      </w:tr>
      <w:tr w:rsidR="00871E42" w:rsidRPr="00D948C1" w14:paraId="5DB30FA0" w14:textId="77777777" w:rsidTr="003572E5">
        <w:trPr>
          <w:trHeight w:val="278"/>
        </w:trPr>
        <w:tc>
          <w:tcPr>
            <w:tcW w:w="6207" w:type="dxa"/>
          </w:tcPr>
          <w:p w14:paraId="794EA8A8" w14:textId="77777777" w:rsidR="00871E42" w:rsidRPr="00D948C1" w:rsidRDefault="00871E42" w:rsidP="00871E42">
            <w:pPr>
              <w:ind w:left="396" w:hanging="284"/>
              <w:rPr>
                <w:b/>
                <w:snapToGrid w:val="0"/>
                <w:szCs w:val="24"/>
              </w:rPr>
            </w:pPr>
            <w:r w:rsidRPr="00D948C1">
              <w:rPr>
                <w:b/>
                <w:snapToGrid w:val="0"/>
                <w:szCs w:val="24"/>
              </w:rPr>
              <w:t>Total Spending by the fund</w:t>
            </w:r>
          </w:p>
        </w:tc>
        <w:tc>
          <w:tcPr>
            <w:tcW w:w="1413" w:type="dxa"/>
            <w:vAlign w:val="center"/>
          </w:tcPr>
          <w:p w14:paraId="59A92965" w14:textId="47943C28" w:rsidR="00871E42" w:rsidRPr="00D948C1" w:rsidRDefault="00DD29F0" w:rsidP="00871E42">
            <w:pPr>
              <w:tabs>
                <w:tab w:val="decimal" w:pos="1104"/>
              </w:tabs>
              <w:jc w:val="right"/>
              <w:rPr>
                <w:b/>
                <w:snapToGrid w:val="0"/>
                <w:szCs w:val="24"/>
              </w:rPr>
            </w:pPr>
            <w:r>
              <w:rPr>
                <w:b/>
                <w:snapToGrid w:val="0"/>
                <w:szCs w:val="24"/>
              </w:rPr>
              <w:t>39,783</w:t>
            </w:r>
          </w:p>
        </w:tc>
        <w:tc>
          <w:tcPr>
            <w:tcW w:w="1280" w:type="dxa"/>
            <w:vAlign w:val="center"/>
          </w:tcPr>
          <w:p w14:paraId="7C4E2A20" w14:textId="6E2B900E" w:rsidR="00871E42" w:rsidRPr="00D948C1" w:rsidRDefault="00871E42" w:rsidP="00871E42">
            <w:pPr>
              <w:tabs>
                <w:tab w:val="decimal" w:pos="1104"/>
              </w:tabs>
              <w:jc w:val="right"/>
              <w:rPr>
                <w:b/>
                <w:snapToGrid w:val="0"/>
                <w:szCs w:val="24"/>
              </w:rPr>
            </w:pPr>
            <w:r>
              <w:rPr>
                <w:b/>
                <w:snapToGrid w:val="0"/>
                <w:szCs w:val="24"/>
              </w:rPr>
              <w:t>34,100</w:t>
            </w:r>
          </w:p>
        </w:tc>
      </w:tr>
      <w:tr w:rsidR="00871E42" w:rsidRPr="00D948C1" w14:paraId="53C0577D" w14:textId="77777777" w:rsidTr="003572E5">
        <w:trPr>
          <w:trHeight w:val="556"/>
        </w:trPr>
        <w:tc>
          <w:tcPr>
            <w:tcW w:w="6207" w:type="dxa"/>
          </w:tcPr>
          <w:p w14:paraId="3F07E890" w14:textId="6C9B4E0F" w:rsidR="00871E42" w:rsidRPr="00D948C1" w:rsidRDefault="00871E42" w:rsidP="00871E42">
            <w:pPr>
              <w:ind w:left="396" w:hanging="284"/>
              <w:rPr>
                <w:b/>
                <w:snapToGrid w:val="0"/>
                <w:szCs w:val="24"/>
              </w:rPr>
            </w:pPr>
            <w:r w:rsidRPr="00D948C1">
              <w:rPr>
                <w:b/>
                <w:snapToGrid w:val="0"/>
                <w:szCs w:val="24"/>
              </w:rPr>
              <w:t xml:space="preserve">Net amount receivable for the year before </w:t>
            </w:r>
            <w:proofErr w:type="gramStart"/>
            <w:r w:rsidRPr="00D948C1">
              <w:rPr>
                <w:b/>
                <w:snapToGrid w:val="0"/>
                <w:szCs w:val="24"/>
              </w:rPr>
              <w:t>top</w:t>
            </w:r>
            <w:proofErr w:type="gramEnd"/>
            <w:r w:rsidRPr="00D948C1">
              <w:rPr>
                <w:b/>
                <w:snapToGrid w:val="0"/>
                <w:szCs w:val="24"/>
              </w:rPr>
              <w:t xml:space="preserve"> up grant receivable from central government</w:t>
            </w:r>
          </w:p>
        </w:tc>
        <w:tc>
          <w:tcPr>
            <w:tcW w:w="1413" w:type="dxa"/>
            <w:vAlign w:val="center"/>
          </w:tcPr>
          <w:p w14:paraId="2D71B21B" w14:textId="4A1DCADB" w:rsidR="00871E42" w:rsidRPr="00D948C1" w:rsidRDefault="00DD29F0" w:rsidP="00871E42">
            <w:pPr>
              <w:tabs>
                <w:tab w:val="decimal" w:pos="1104"/>
              </w:tabs>
              <w:jc w:val="right"/>
              <w:rPr>
                <w:b/>
                <w:snapToGrid w:val="0"/>
                <w:szCs w:val="24"/>
              </w:rPr>
            </w:pPr>
            <w:r>
              <w:rPr>
                <w:b/>
                <w:snapToGrid w:val="0"/>
                <w:szCs w:val="24"/>
              </w:rPr>
              <w:t>22,669</w:t>
            </w:r>
          </w:p>
        </w:tc>
        <w:tc>
          <w:tcPr>
            <w:tcW w:w="1280" w:type="dxa"/>
            <w:vAlign w:val="center"/>
          </w:tcPr>
          <w:p w14:paraId="5ED60666" w14:textId="44FC6295" w:rsidR="00871E42" w:rsidRPr="00D948C1" w:rsidRDefault="00871E42" w:rsidP="00871E42">
            <w:pPr>
              <w:tabs>
                <w:tab w:val="decimal" w:pos="1104"/>
              </w:tabs>
              <w:jc w:val="right"/>
              <w:rPr>
                <w:b/>
                <w:snapToGrid w:val="0"/>
                <w:szCs w:val="24"/>
              </w:rPr>
            </w:pPr>
            <w:r>
              <w:rPr>
                <w:b/>
                <w:snapToGrid w:val="0"/>
                <w:szCs w:val="24"/>
              </w:rPr>
              <w:t>18,594</w:t>
            </w:r>
          </w:p>
        </w:tc>
      </w:tr>
      <w:tr w:rsidR="00871E42" w:rsidRPr="00D948C1" w14:paraId="259C04C7" w14:textId="77777777" w:rsidTr="003572E5">
        <w:trPr>
          <w:trHeight w:val="278"/>
        </w:trPr>
        <w:tc>
          <w:tcPr>
            <w:tcW w:w="6207" w:type="dxa"/>
          </w:tcPr>
          <w:p w14:paraId="14E9277C" w14:textId="5F924341" w:rsidR="00871E42" w:rsidRPr="00D948C1" w:rsidRDefault="00871E42" w:rsidP="00871E42">
            <w:pPr>
              <w:ind w:left="396" w:hanging="284"/>
              <w:rPr>
                <w:snapToGrid w:val="0"/>
                <w:szCs w:val="24"/>
              </w:rPr>
            </w:pPr>
            <w:r w:rsidRPr="00D948C1">
              <w:rPr>
                <w:snapToGrid w:val="0"/>
                <w:szCs w:val="24"/>
              </w:rPr>
              <w:t>Top up grant receivable from central government</w:t>
            </w:r>
          </w:p>
        </w:tc>
        <w:tc>
          <w:tcPr>
            <w:tcW w:w="1413" w:type="dxa"/>
            <w:vAlign w:val="center"/>
          </w:tcPr>
          <w:p w14:paraId="4F9C880D" w14:textId="69CCDBAC" w:rsidR="00871E42" w:rsidRPr="00D948C1" w:rsidRDefault="00DD29F0" w:rsidP="00871E42">
            <w:pPr>
              <w:tabs>
                <w:tab w:val="decimal" w:pos="1104"/>
              </w:tabs>
              <w:jc w:val="right"/>
              <w:rPr>
                <w:snapToGrid w:val="0"/>
                <w:szCs w:val="24"/>
              </w:rPr>
            </w:pPr>
            <w:r>
              <w:rPr>
                <w:snapToGrid w:val="0"/>
                <w:szCs w:val="24"/>
              </w:rPr>
              <w:t>(22,669)</w:t>
            </w:r>
          </w:p>
        </w:tc>
        <w:tc>
          <w:tcPr>
            <w:tcW w:w="1280" w:type="dxa"/>
            <w:vAlign w:val="center"/>
          </w:tcPr>
          <w:p w14:paraId="2F4C8521" w14:textId="49B4C316" w:rsidR="00871E42" w:rsidRPr="00D948C1" w:rsidRDefault="00871E42" w:rsidP="00871E42">
            <w:pPr>
              <w:tabs>
                <w:tab w:val="decimal" w:pos="1104"/>
              </w:tabs>
              <w:jc w:val="right"/>
              <w:rPr>
                <w:snapToGrid w:val="0"/>
                <w:szCs w:val="24"/>
              </w:rPr>
            </w:pPr>
            <w:r>
              <w:rPr>
                <w:snapToGrid w:val="0"/>
                <w:szCs w:val="24"/>
              </w:rPr>
              <w:t>(18,594)</w:t>
            </w:r>
          </w:p>
        </w:tc>
      </w:tr>
      <w:tr w:rsidR="00871E42" w:rsidRPr="00D948C1" w14:paraId="79E6CF3F" w14:textId="77777777" w:rsidTr="003572E5">
        <w:trPr>
          <w:trHeight w:val="278"/>
        </w:trPr>
        <w:tc>
          <w:tcPr>
            <w:tcW w:w="6207" w:type="dxa"/>
          </w:tcPr>
          <w:p w14:paraId="32E39142" w14:textId="20CC0BF3" w:rsidR="00871E42" w:rsidRPr="00D948C1" w:rsidRDefault="00871E42" w:rsidP="00871E42">
            <w:pPr>
              <w:ind w:left="396" w:hanging="284"/>
              <w:rPr>
                <w:snapToGrid w:val="0"/>
                <w:szCs w:val="24"/>
              </w:rPr>
            </w:pPr>
            <w:r w:rsidRPr="00D948C1">
              <w:rPr>
                <w:b/>
                <w:snapToGrid w:val="0"/>
                <w:szCs w:val="24"/>
              </w:rPr>
              <w:t>Net amount receivable for the year</w:t>
            </w:r>
          </w:p>
        </w:tc>
        <w:tc>
          <w:tcPr>
            <w:tcW w:w="1413" w:type="dxa"/>
            <w:vAlign w:val="center"/>
          </w:tcPr>
          <w:p w14:paraId="5F4872C2" w14:textId="21322B0B" w:rsidR="00871E42" w:rsidRPr="00D948C1" w:rsidRDefault="00871E42" w:rsidP="00871E42">
            <w:pPr>
              <w:tabs>
                <w:tab w:val="decimal" w:pos="1104"/>
              </w:tabs>
              <w:jc w:val="right"/>
              <w:rPr>
                <w:snapToGrid w:val="0"/>
                <w:szCs w:val="24"/>
              </w:rPr>
            </w:pPr>
          </w:p>
        </w:tc>
        <w:tc>
          <w:tcPr>
            <w:tcW w:w="1280" w:type="dxa"/>
            <w:vAlign w:val="center"/>
          </w:tcPr>
          <w:p w14:paraId="0CA39063" w14:textId="2860470A" w:rsidR="00871E42" w:rsidRPr="00D948C1" w:rsidRDefault="00871E42" w:rsidP="00871E42">
            <w:pPr>
              <w:tabs>
                <w:tab w:val="decimal" w:pos="1104"/>
              </w:tabs>
              <w:jc w:val="right"/>
              <w:rPr>
                <w:snapToGrid w:val="0"/>
                <w:szCs w:val="24"/>
              </w:rPr>
            </w:pPr>
            <w:r>
              <w:rPr>
                <w:snapToGrid w:val="0"/>
                <w:szCs w:val="24"/>
              </w:rPr>
              <w:t>-</w:t>
            </w:r>
          </w:p>
        </w:tc>
      </w:tr>
    </w:tbl>
    <w:p w14:paraId="672507F4" w14:textId="77777777" w:rsidR="00EC3487" w:rsidRPr="00D948C1" w:rsidRDefault="00EC3487"/>
    <w:tbl>
      <w:tblPr>
        <w:tblW w:w="89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07"/>
        <w:gridCol w:w="1413"/>
        <w:gridCol w:w="1280"/>
      </w:tblGrid>
      <w:tr w:rsidR="00871E42" w:rsidRPr="00D948C1" w14:paraId="3C433FF2" w14:textId="77777777" w:rsidTr="00F7299E">
        <w:trPr>
          <w:trHeight w:val="247"/>
        </w:trPr>
        <w:tc>
          <w:tcPr>
            <w:tcW w:w="6207" w:type="dxa"/>
            <w:shd w:val="clear" w:color="auto" w:fill="BD2716"/>
            <w:vAlign w:val="center"/>
          </w:tcPr>
          <w:p w14:paraId="51FAAE03" w14:textId="1D0E7715" w:rsidR="00871E42" w:rsidRPr="00D948C1" w:rsidRDefault="00871E42" w:rsidP="00871E42">
            <w:pPr>
              <w:rPr>
                <w:bCs/>
                <w:snapToGrid w:val="0"/>
                <w:szCs w:val="24"/>
              </w:rPr>
            </w:pPr>
            <w:r w:rsidRPr="00D948C1">
              <w:rPr>
                <w:bCs/>
                <w:snapToGrid w:val="0"/>
                <w:color w:val="FFFFFF" w:themeColor="background1"/>
                <w:szCs w:val="24"/>
              </w:rPr>
              <w:t>Net Assets Statement</w:t>
            </w:r>
          </w:p>
        </w:tc>
        <w:tc>
          <w:tcPr>
            <w:tcW w:w="1413" w:type="dxa"/>
            <w:shd w:val="clear" w:color="auto" w:fill="BD2716"/>
          </w:tcPr>
          <w:p w14:paraId="6283F7C9" w14:textId="005C6EF3" w:rsidR="00871E42" w:rsidRPr="00D948C1" w:rsidRDefault="001A42DD" w:rsidP="00871E42">
            <w:pPr>
              <w:jc w:val="right"/>
              <w:rPr>
                <w:color w:val="FFFFFF" w:themeColor="background1"/>
                <w:szCs w:val="24"/>
              </w:rPr>
            </w:pPr>
            <w:r>
              <w:rPr>
                <w:color w:val="FFFFFF" w:themeColor="background1"/>
                <w:szCs w:val="24"/>
              </w:rPr>
              <w:t>2025-26</w:t>
            </w:r>
          </w:p>
          <w:p w14:paraId="18F28AF3" w14:textId="7BC5C34A" w:rsidR="00871E42" w:rsidRPr="00D948C1" w:rsidRDefault="00871E42" w:rsidP="00871E42">
            <w:pPr>
              <w:jc w:val="right"/>
              <w:rPr>
                <w:color w:val="FFFFFF" w:themeColor="background1"/>
                <w:szCs w:val="24"/>
              </w:rPr>
            </w:pPr>
            <w:r w:rsidRPr="00D948C1">
              <w:rPr>
                <w:color w:val="FFFFFF" w:themeColor="background1"/>
                <w:szCs w:val="24"/>
              </w:rPr>
              <w:t>£000</w:t>
            </w:r>
          </w:p>
        </w:tc>
        <w:tc>
          <w:tcPr>
            <w:tcW w:w="1280" w:type="dxa"/>
            <w:shd w:val="clear" w:color="auto" w:fill="BD2716"/>
          </w:tcPr>
          <w:p w14:paraId="33A56616" w14:textId="46B40CC6" w:rsidR="00871E42" w:rsidRPr="00D948C1" w:rsidRDefault="001A42DD" w:rsidP="00871E42">
            <w:pPr>
              <w:jc w:val="right"/>
              <w:rPr>
                <w:color w:val="FFFFFF" w:themeColor="background1"/>
                <w:szCs w:val="24"/>
              </w:rPr>
            </w:pPr>
            <w:r>
              <w:rPr>
                <w:color w:val="FFFFFF" w:themeColor="background1"/>
                <w:szCs w:val="24"/>
              </w:rPr>
              <w:t>2024-25</w:t>
            </w:r>
          </w:p>
          <w:p w14:paraId="63E7520A" w14:textId="6B4A28BD" w:rsidR="00871E42" w:rsidRPr="00D948C1" w:rsidRDefault="00871E42" w:rsidP="00871E42">
            <w:pPr>
              <w:jc w:val="right"/>
              <w:rPr>
                <w:color w:val="FFFFFF" w:themeColor="background1"/>
                <w:szCs w:val="24"/>
              </w:rPr>
            </w:pPr>
            <w:r w:rsidRPr="00D948C1">
              <w:rPr>
                <w:color w:val="FFFFFF" w:themeColor="background1"/>
                <w:szCs w:val="24"/>
              </w:rPr>
              <w:t>£000</w:t>
            </w:r>
          </w:p>
        </w:tc>
      </w:tr>
      <w:tr w:rsidR="00AC5949" w:rsidRPr="00D948C1" w14:paraId="58F87DB9" w14:textId="77777777" w:rsidTr="003572E5">
        <w:trPr>
          <w:trHeight w:val="247"/>
        </w:trPr>
        <w:tc>
          <w:tcPr>
            <w:tcW w:w="8900" w:type="dxa"/>
            <w:gridSpan w:val="3"/>
            <w:shd w:val="clear" w:color="auto" w:fill="D9D9D9" w:themeFill="background1" w:themeFillShade="D9"/>
          </w:tcPr>
          <w:p w14:paraId="3F41C392" w14:textId="72EFE345" w:rsidR="00AC5949" w:rsidRPr="00D948C1" w:rsidRDefault="00AC5949" w:rsidP="00AC5949">
            <w:pPr>
              <w:rPr>
                <w:b/>
                <w:bCs/>
                <w:snapToGrid w:val="0"/>
                <w:szCs w:val="24"/>
              </w:rPr>
            </w:pPr>
            <w:r w:rsidRPr="00D948C1">
              <w:rPr>
                <w:b/>
                <w:bCs/>
                <w:snapToGrid w:val="0"/>
                <w:szCs w:val="24"/>
              </w:rPr>
              <w:t>Net current assets and liabilities:</w:t>
            </w:r>
          </w:p>
        </w:tc>
      </w:tr>
      <w:tr w:rsidR="00871E42" w:rsidRPr="00D948C1" w14:paraId="10B8EC4A" w14:textId="77777777" w:rsidTr="003572E5">
        <w:trPr>
          <w:trHeight w:val="556"/>
        </w:trPr>
        <w:tc>
          <w:tcPr>
            <w:tcW w:w="6207" w:type="dxa"/>
          </w:tcPr>
          <w:p w14:paraId="13B72DAC" w14:textId="6ABD0A1D" w:rsidR="00871E42" w:rsidRPr="00D948C1" w:rsidRDefault="00871E42" w:rsidP="00871E42">
            <w:pPr>
              <w:ind w:left="396" w:hanging="284"/>
              <w:rPr>
                <w:snapToGrid w:val="0"/>
                <w:szCs w:val="24"/>
              </w:rPr>
            </w:pPr>
            <w:r w:rsidRPr="00D948C1">
              <w:rPr>
                <w:snapToGrid w:val="0"/>
                <w:szCs w:val="24"/>
              </w:rPr>
              <w:t>- pensions top up grant receivable from central government</w:t>
            </w:r>
          </w:p>
        </w:tc>
        <w:tc>
          <w:tcPr>
            <w:tcW w:w="1413" w:type="dxa"/>
            <w:vAlign w:val="center"/>
          </w:tcPr>
          <w:p w14:paraId="755FDF8C" w14:textId="42FE60ED" w:rsidR="00871E42" w:rsidRPr="00D948C1" w:rsidRDefault="00DD29F0" w:rsidP="00871E42">
            <w:pPr>
              <w:tabs>
                <w:tab w:val="decimal" w:pos="821"/>
              </w:tabs>
              <w:jc w:val="right"/>
              <w:rPr>
                <w:snapToGrid w:val="0"/>
                <w:szCs w:val="24"/>
              </w:rPr>
            </w:pPr>
            <w:r>
              <w:rPr>
                <w:snapToGrid w:val="0"/>
                <w:szCs w:val="24"/>
              </w:rPr>
              <w:t>(1,005)</w:t>
            </w:r>
          </w:p>
        </w:tc>
        <w:tc>
          <w:tcPr>
            <w:tcW w:w="1280" w:type="dxa"/>
            <w:vAlign w:val="center"/>
          </w:tcPr>
          <w:p w14:paraId="4E904BCE" w14:textId="720C20D0" w:rsidR="00871E42" w:rsidRPr="00D948C1" w:rsidRDefault="00871E42" w:rsidP="00871E42">
            <w:pPr>
              <w:tabs>
                <w:tab w:val="decimal" w:pos="821"/>
              </w:tabs>
              <w:jc w:val="right"/>
              <w:rPr>
                <w:snapToGrid w:val="0"/>
                <w:szCs w:val="24"/>
              </w:rPr>
            </w:pPr>
            <w:r>
              <w:rPr>
                <w:snapToGrid w:val="0"/>
                <w:szCs w:val="24"/>
              </w:rPr>
              <w:t>(4,876)</w:t>
            </w:r>
          </w:p>
        </w:tc>
      </w:tr>
      <w:tr w:rsidR="00871E42" w:rsidRPr="00D948C1" w14:paraId="765A9275" w14:textId="77777777" w:rsidTr="003572E5">
        <w:trPr>
          <w:trHeight w:val="556"/>
        </w:trPr>
        <w:tc>
          <w:tcPr>
            <w:tcW w:w="6207" w:type="dxa"/>
          </w:tcPr>
          <w:p w14:paraId="214D8D2E" w14:textId="7EF4EB51" w:rsidR="00871E42" w:rsidRPr="00D948C1" w:rsidRDefault="00871E42" w:rsidP="00871E42">
            <w:pPr>
              <w:ind w:left="396" w:hanging="284"/>
              <w:rPr>
                <w:snapToGrid w:val="0"/>
                <w:szCs w:val="24"/>
              </w:rPr>
            </w:pPr>
            <w:r w:rsidRPr="00D948C1">
              <w:rPr>
                <w:snapToGrid w:val="0"/>
                <w:szCs w:val="24"/>
              </w:rPr>
              <w:t>- other current assets and liabilities (other than liabilities and other than benefits in the future)</w:t>
            </w:r>
          </w:p>
        </w:tc>
        <w:tc>
          <w:tcPr>
            <w:tcW w:w="1413" w:type="dxa"/>
            <w:vAlign w:val="center"/>
          </w:tcPr>
          <w:p w14:paraId="372DDD53" w14:textId="0EC83E0B" w:rsidR="00871E42" w:rsidRPr="00D948C1" w:rsidRDefault="00DD29F0" w:rsidP="00871E42">
            <w:pPr>
              <w:tabs>
                <w:tab w:val="decimal" w:pos="1104"/>
              </w:tabs>
              <w:jc w:val="right"/>
              <w:rPr>
                <w:snapToGrid w:val="0"/>
                <w:szCs w:val="24"/>
              </w:rPr>
            </w:pPr>
            <w:r>
              <w:rPr>
                <w:snapToGrid w:val="0"/>
                <w:szCs w:val="24"/>
              </w:rPr>
              <w:t>1,005</w:t>
            </w:r>
          </w:p>
        </w:tc>
        <w:tc>
          <w:tcPr>
            <w:tcW w:w="1280" w:type="dxa"/>
            <w:vAlign w:val="center"/>
          </w:tcPr>
          <w:p w14:paraId="479D3DD9" w14:textId="66138317" w:rsidR="00871E42" w:rsidRPr="00D948C1" w:rsidRDefault="00871E42" w:rsidP="00871E42">
            <w:pPr>
              <w:tabs>
                <w:tab w:val="decimal" w:pos="1104"/>
              </w:tabs>
              <w:jc w:val="right"/>
              <w:rPr>
                <w:snapToGrid w:val="0"/>
                <w:szCs w:val="24"/>
              </w:rPr>
            </w:pPr>
            <w:r>
              <w:rPr>
                <w:snapToGrid w:val="0"/>
                <w:szCs w:val="24"/>
              </w:rPr>
              <w:t>4,876</w:t>
            </w:r>
          </w:p>
        </w:tc>
      </w:tr>
      <w:tr w:rsidR="00871E42" w:rsidRPr="00D948C1" w14:paraId="164910DE" w14:textId="77777777" w:rsidTr="003572E5">
        <w:trPr>
          <w:trHeight w:val="278"/>
        </w:trPr>
        <w:tc>
          <w:tcPr>
            <w:tcW w:w="6207" w:type="dxa"/>
          </w:tcPr>
          <w:p w14:paraId="1E2FCD06" w14:textId="24E46DBF" w:rsidR="00871E42" w:rsidRPr="00D948C1" w:rsidRDefault="00871E42" w:rsidP="00871E42">
            <w:pPr>
              <w:ind w:left="396" w:hanging="284"/>
              <w:rPr>
                <w:snapToGrid w:val="0"/>
                <w:szCs w:val="24"/>
              </w:rPr>
            </w:pPr>
            <w:r w:rsidRPr="00D948C1">
              <w:rPr>
                <w:b/>
                <w:snapToGrid w:val="0"/>
                <w:szCs w:val="24"/>
              </w:rPr>
              <w:t>Net current assets at the end of the year</w:t>
            </w:r>
          </w:p>
        </w:tc>
        <w:tc>
          <w:tcPr>
            <w:tcW w:w="1413" w:type="dxa"/>
            <w:vAlign w:val="center"/>
          </w:tcPr>
          <w:p w14:paraId="2AD92D42" w14:textId="51E2A0F9" w:rsidR="00871E42" w:rsidRPr="00D948C1" w:rsidRDefault="008D1EF2" w:rsidP="00871E42">
            <w:pPr>
              <w:tabs>
                <w:tab w:val="decimal" w:pos="962"/>
                <w:tab w:val="decimal" w:pos="1104"/>
              </w:tabs>
              <w:jc w:val="right"/>
              <w:rPr>
                <w:snapToGrid w:val="0"/>
                <w:szCs w:val="24"/>
              </w:rPr>
            </w:pPr>
            <w:r>
              <w:rPr>
                <w:snapToGrid w:val="0"/>
                <w:szCs w:val="24"/>
              </w:rPr>
              <w:t>-</w:t>
            </w:r>
          </w:p>
        </w:tc>
        <w:tc>
          <w:tcPr>
            <w:tcW w:w="1280" w:type="dxa"/>
            <w:vAlign w:val="center"/>
          </w:tcPr>
          <w:p w14:paraId="5C0711F7" w14:textId="25B56250" w:rsidR="00871E42" w:rsidRPr="00D948C1" w:rsidRDefault="00871E42" w:rsidP="00871E42">
            <w:pPr>
              <w:tabs>
                <w:tab w:val="decimal" w:pos="962"/>
                <w:tab w:val="decimal" w:pos="1103"/>
              </w:tabs>
              <w:jc w:val="right"/>
              <w:rPr>
                <w:snapToGrid w:val="0"/>
                <w:szCs w:val="24"/>
              </w:rPr>
            </w:pPr>
            <w:r>
              <w:rPr>
                <w:snapToGrid w:val="0"/>
                <w:szCs w:val="24"/>
              </w:rPr>
              <w:t>-</w:t>
            </w:r>
          </w:p>
        </w:tc>
      </w:tr>
    </w:tbl>
    <w:p w14:paraId="729C40D0" w14:textId="77777777" w:rsidR="00D90216" w:rsidRPr="00D948C1" w:rsidRDefault="00D90216" w:rsidP="00D90216">
      <w:pPr>
        <w:rPr>
          <w:sz w:val="22"/>
        </w:rPr>
      </w:pPr>
      <w:r w:rsidRPr="00D948C1">
        <w:rPr>
          <w:sz w:val="22"/>
        </w:rPr>
        <w:br w:type="page"/>
      </w:r>
    </w:p>
    <w:p w14:paraId="6F6F5176" w14:textId="77777777" w:rsidR="00D90216" w:rsidRPr="00BD0FF0" w:rsidRDefault="00D90216" w:rsidP="000F5BFB">
      <w:pPr>
        <w:rPr>
          <w:b/>
          <w:szCs w:val="24"/>
        </w:rPr>
      </w:pPr>
      <w:r w:rsidRPr="00BD0FF0">
        <w:rPr>
          <w:b/>
          <w:szCs w:val="24"/>
        </w:rPr>
        <w:lastRenderedPageBreak/>
        <w:t>Firefighters Pension Fund Notes</w:t>
      </w:r>
    </w:p>
    <w:p w14:paraId="1C951D45" w14:textId="77777777" w:rsidR="00D90216" w:rsidRPr="00BD0FF0" w:rsidRDefault="00D90216" w:rsidP="000F5BFB">
      <w:pPr>
        <w:rPr>
          <w:b/>
          <w:szCs w:val="24"/>
        </w:rPr>
      </w:pPr>
    </w:p>
    <w:p w14:paraId="1F90AE38" w14:textId="65F486D4" w:rsidR="00D90216" w:rsidRPr="00BD0FF0" w:rsidRDefault="00D90216" w:rsidP="000F5BFB">
      <w:r w:rsidRPr="00BD0FF0">
        <w:t xml:space="preserve">The </w:t>
      </w:r>
      <w:r w:rsidR="009C1C8D" w:rsidRPr="00BD0FF0">
        <w:t xml:space="preserve">four </w:t>
      </w:r>
      <w:r w:rsidRPr="00BD0FF0">
        <w:t xml:space="preserve">firefighters pension schemes </w:t>
      </w:r>
      <w:r w:rsidR="009C1C8D" w:rsidRPr="00BD0FF0">
        <w:t xml:space="preserve">(1992 scheme, 2006 scheme, special members of the 2006 scheme and 2015 scheme) </w:t>
      </w:r>
      <w:r w:rsidRPr="00BD0FF0">
        <w:t xml:space="preserve">are unfunded defined benefits schemes, meaning that there </w:t>
      </w:r>
      <w:proofErr w:type="gramStart"/>
      <w:r w:rsidRPr="00BD0FF0">
        <w:t>are</w:t>
      </w:r>
      <w:proofErr w:type="gramEnd"/>
      <w:r w:rsidRPr="00BD0FF0">
        <w:t xml:space="preserve"> no investment assets built up to meet the pensions liabilities, and cash </w:t>
      </w:r>
      <w:r w:rsidR="0094180B" w:rsidRPr="00BD0FF0">
        <w:t>must</w:t>
      </w:r>
      <w:r w:rsidRPr="00BD0FF0">
        <w:t xml:space="preserve"> be generated to meet the actual pension payments as they fall due. The Authority makes employers contributions into the schemes and the balance of funding required after pension payments are made is received from </w:t>
      </w:r>
      <w:r w:rsidRPr="00BD0FF0">
        <w:rPr>
          <w:snapToGrid w:val="0"/>
        </w:rPr>
        <w:t>central government</w:t>
      </w:r>
      <w:r w:rsidRPr="00BD0FF0">
        <w:t>.</w:t>
      </w:r>
    </w:p>
    <w:p w14:paraId="0C785F22" w14:textId="77777777" w:rsidR="00D90216" w:rsidRPr="00BD0FF0" w:rsidRDefault="00D90216" w:rsidP="000F5BFB"/>
    <w:p w14:paraId="00E64517" w14:textId="2B4F6E5D" w:rsidR="00D90216" w:rsidRPr="00BD0FF0" w:rsidRDefault="00D90216" w:rsidP="000F5BFB">
      <w:r w:rsidRPr="00BD0FF0">
        <w:t xml:space="preserve">The above statement shows the financial position of the </w:t>
      </w:r>
      <w:r w:rsidR="00F05F09" w:rsidRPr="00BD0FF0">
        <w:t>total</w:t>
      </w:r>
      <w:r w:rsidRPr="00BD0FF0">
        <w:t xml:space="preserve"> fire fighters pension fund account, showing that as </w:t>
      </w:r>
      <w:proofErr w:type="gramStart"/>
      <w:r w:rsidRPr="00BD0FF0">
        <w:t>at</w:t>
      </w:r>
      <w:proofErr w:type="gramEnd"/>
      <w:r w:rsidRPr="00BD0FF0">
        <w:t xml:space="preserve"> 31 Marc</w:t>
      </w:r>
      <w:r w:rsidR="006B4284" w:rsidRPr="00BD0FF0">
        <w:t>h</w:t>
      </w:r>
      <w:r w:rsidRPr="00BD0FF0">
        <w:t xml:space="preserve"> 20</w:t>
      </w:r>
      <w:r w:rsidR="00B0722C" w:rsidRPr="00BD0FF0">
        <w:t>2</w:t>
      </w:r>
      <w:r w:rsidR="006B4284" w:rsidRPr="00BD0FF0">
        <w:t>6</w:t>
      </w:r>
      <w:r w:rsidRPr="00BD0FF0">
        <w:t xml:space="preserve"> the Authority is owed £</w:t>
      </w:r>
      <w:r w:rsidR="00AE522A" w:rsidRPr="00BD0FF0">
        <w:t>1</w:t>
      </w:r>
      <w:r w:rsidR="11F7D8ED" w:rsidRPr="00BD0FF0">
        <w:t>.</w:t>
      </w:r>
      <w:r w:rsidR="00AE522A" w:rsidRPr="00BD0FF0">
        <w:t>005</w:t>
      </w:r>
      <w:r w:rsidR="00851C90" w:rsidRPr="00BD0FF0">
        <w:t xml:space="preserve"> </w:t>
      </w:r>
      <w:r w:rsidRPr="00BD0FF0">
        <w:t>m</w:t>
      </w:r>
      <w:r w:rsidR="00851C90" w:rsidRPr="00BD0FF0">
        <w:t>illion</w:t>
      </w:r>
      <w:r w:rsidRPr="00BD0FF0">
        <w:t xml:space="preserve"> </w:t>
      </w:r>
      <w:r w:rsidR="00D720D1" w:rsidRPr="00BD0FF0">
        <w:t xml:space="preserve">by </w:t>
      </w:r>
      <w:r w:rsidR="00383862" w:rsidRPr="00BD0FF0">
        <w:t>(</w:t>
      </w:r>
      <w:r w:rsidR="001A42DD" w:rsidRPr="00BD0FF0">
        <w:t>2024-25</w:t>
      </w:r>
      <w:r w:rsidR="00383862" w:rsidRPr="00BD0FF0">
        <w:t xml:space="preserve">: </w:t>
      </w:r>
      <w:r w:rsidR="00851C90" w:rsidRPr="00BD0FF0">
        <w:t xml:space="preserve">the Authority owed </w:t>
      </w:r>
      <w:r w:rsidR="00383862" w:rsidRPr="00BD0FF0">
        <w:t>£</w:t>
      </w:r>
      <w:r w:rsidR="006B4284" w:rsidRPr="00BD0FF0">
        <w:t>4.876</w:t>
      </w:r>
      <w:r w:rsidR="00851C90" w:rsidRPr="00BD0FF0">
        <w:t xml:space="preserve"> </w:t>
      </w:r>
      <w:r w:rsidRPr="00BD0FF0">
        <w:t>m</w:t>
      </w:r>
      <w:r w:rsidR="00851C90" w:rsidRPr="00BD0FF0">
        <w:t>illion</w:t>
      </w:r>
      <w:r w:rsidR="00D720D1" w:rsidRPr="00BD0FF0">
        <w:t xml:space="preserve"> to</w:t>
      </w:r>
      <w:r w:rsidR="00383862" w:rsidRPr="00BD0FF0">
        <w:t xml:space="preserve">) </w:t>
      </w:r>
      <w:r w:rsidRPr="00BD0FF0">
        <w:t xml:space="preserve">the </w:t>
      </w:r>
      <w:r w:rsidR="00153A2A" w:rsidRPr="00BD0FF0">
        <w:t>Home Office</w:t>
      </w:r>
      <w:r w:rsidRPr="00BD0FF0">
        <w:t xml:space="preserve"> </w:t>
      </w:r>
      <w:r w:rsidR="001F23E6" w:rsidRPr="00BD0FF0">
        <w:t>to</w:t>
      </w:r>
      <w:r w:rsidRPr="00BD0FF0">
        <w:t xml:space="preserve"> balance the account. The fund statements do not take account of liabilities after the period </w:t>
      </w:r>
      <w:proofErr w:type="gramStart"/>
      <w:r w:rsidRPr="00BD0FF0">
        <w:t>end,</w:t>
      </w:r>
      <w:proofErr w:type="gramEnd"/>
      <w:r w:rsidRPr="00BD0FF0">
        <w:t xml:space="preserve"> the Authority’s long</w:t>
      </w:r>
      <w:r w:rsidR="00A16368" w:rsidRPr="00BD0FF0">
        <w:t>-</w:t>
      </w:r>
      <w:r w:rsidRPr="00BD0FF0">
        <w:t xml:space="preserve">term pension obligations can be found in the Authority’s main </w:t>
      </w:r>
      <w:r w:rsidR="0094180B" w:rsidRPr="00BD0FF0">
        <w:t>statements and</w:t>
      </w:r>
      <w:r w:rsidRPr="00BD0FF0">
        <w:t xml:space="preserve"> </w:t>
      </w:r>
      <w:hyperlink w:anchor="_16_Net_Liability">
        <w:r w:rsidR="00BA04F9" w:rsidRPr="00BD0FF0">
          <w:rPr>
            <w:rStyle w:val="Hyperlink"/>
          </w:rPr>
          <w:t>Note 16</w:t>
        </w:r>
      </w:hyperlink>
      <w:r w:rsidRPr="00BD0FF0">
        <w:t xml:space="preserve"> to the accounts. The fund was established under the Firefighters’ Pension Scheme (Amendment) (England) Order 2006. The statement was prepared according to International Financial Reporting Standards (IFRS)</w:t>
      </w:r>
      <w:r w:rsidR="00383862" w:rsidRPr="00BD0FF0">
        <w:t>.</w:t>
      </w:r>
    </w:p>
    <w:p w14:paraId="1CF53D81" w14:textId="77777777" w:rsidR="00383862" w:rsidRPr="00BD0FF0" w:rsidRDefault="00383862" w:rsidP="000F5BFB"/>
    <w:p w14:paraId="07452F8C" w14:textId="311BE1BA" w:rsidR="00D90216" w:rsidRPr="00B15C36" w:rsidRDefault="00D90216" w:rsidP="000F5BFB">
      <w:r w:rsidRPr="00BD0FF0">
        <w:t xml:space="preserve">The note has been prepared in line with general accounting policies set in </w:t>
      </w:r>
      <w:hyperlink w:anchor="_30_Accounting_Policies">
        <w:r w:rsidR="00BA04F9" w:rsidRPr="00BD0FF0">
          <w:rPr>
            <w:rStyle w:val="Hyperlink"/>
          </w:rPr>
          <w:t>Note 30</w:t>
        </w:r>
      </w:hyperlink>
      <w:r w:rsidR="00970877" w:rsidRPr="00BD0FF0">
        <w:t xml:space="preserve"> </w:t>
      </w:r>
      <w:r w:rsidRPr="00BD0FF0">
        <w:t xml:space="preserve">– accounting policies, in particular </w:t>
      </w:r>
      <w:r w:rsidR="00DD3B97" w:rsidRPr="00BD0FF0">
        <w:t xml:space="preserve">section </w:t>
      </w:r>
      <w:r w:rsidR="005F5C95" w:rsidRPr="00BD0FF0">
        <w:t>e</w:t>
      </w:r>
      <w:r w:rsidRPr="00BD0FF0">
        <w:t>.</w:t>
      </w:r>
    </w:p>
    <w:p w14:paraId="043DB6E3" w14:textId="77777777" w:rsidR="00D90216" w:rsidRPr="00B15C36" w:rsidRDefault="00D90216" w:rsidP="000F5BFB">
      <w:pPr>
        <w:rPr>
          <w:szCs w:val="24"/>
        </w:rPr>
      </w:pPr>
    </w:p>
    <w:p w14:paraId="4E9DD3F4" w14:textId="77777777" w:rsidR="00D90216" w:rsidRPr="005268E9" w:rsidRDefault="00D90216" w:rsidP="000F5BFB">
      <w:pPr>
        <w:ind w:right="-52"/>
        <w:rPr>
          <w:rFonts w:cs="Arial"/>
          <w:lang w:eastAsia="en-GB"/>
        </w:rPr>
      </w:pPr>
      <w:r w:rsidRPr="005268E9">
        <w:rPr>
          <w:rFonts w:cs="Arial"/>
          <w:u w:val="single"/>
          <w:lang w:eastAsia="en-GB"/>
        </w:rPr>
        <w:t>Contribution Rates</w:t>
      </w:r>
      <w:r w:rsidRPr="005268E9">
        <w:rPr>
          <w:rFonts w:cs="Arial"/>
          <w:szCs w:val="24"/>
          <w:lang w:eastAsia="en-GB"/>
        </w:rPr>
        <w:t xml:space="preserve"> </w:t>
      </w:r>
    </w:p>
    <w:p w14:paraId="6929FA61" w14:textId="237D437E" w:rsidR="00633424" w:rsidRPr="005268E9" w:rsidRDefault="00D35AD6" w:rsidP="000F5BFB">
      <w:pPr>
        <w:ind w:right="-52"/>
        <w:rPr>
          <w:rFonts w:cs="Arial"/>
          <w:lang w:eastAsia="en-GB"/>
        </w:rPr>
      </w:pPr>
      <w:r w:rsidRPr="005268E9">
        <w:rPr>
          <w:rFonts w:cs="Arial"/>
          <w:lang w:eastAsia="en-GB"/>
        </w:rPr>
        <w:t xml:space="preserve">To remove future discrimination and ensure equal treatment, all remaining protected members in the 1992 and 2006 scheme were transferred to the 2015 scheme on the </w:t>
      </w:r>
      <w:proofErr w:type="gramStart"/>
      <w:r w:rsidRPr="005268E9">
        <w:rPr>
          <w:rFonts w:cs="Arial"/>
          <w:lang w:eastAsia="en-GB"/>
        </w:rPr>
        <w:t>1</w:t>
      </w:r>
      <w:r w:rsidRPr="005268E9">
        <w:rPr>
          <w:rFonts w:cs="Arial"/>
          <w:vertAlign w:val="superscript"/>
          <w:lang w:eastAsia="en-GB"/>
        </w:rPr>
        <w:t>st</w:t>
      </w:r>
      <w:proofErr w:type="gramEnd"/>
      <w:r w:rsidRPr="005268E9">
        <w:rPr>
          <w:rFonts w:cs="Arial"/>
          <w:lang w:eastAsia="en-GB"/>
        </w:rPr>
        <w:t xml:space="preserve"> April 2022. For the 2015 Firefighter pension scheme employer contributions are </w:t>
      </w:r>
      <w:r w:rsidR="32CD93E1" w:rsidRPr="005268E9">
        <w:rPr>
          <w:rFonts w:cs="Arial"/>
          <w:lang w:eastAsia="en-GB"/>
        </w:rPr>
        <w:t>3</w:t>
      </w:r>
      <w:r w:rsidR="00D5173F" w:rsidRPr="005268E9">
        <w:rPr>
          <w:rFonts w:cs="Arial"/>
          <w:lang w:eastAsia="en-GB"/>
        </w:rPr>
        <w:t>7</w:t>
      </w:r>
      <w:r w:rsidR="32CD93E1" w:rsidRPr="005268E9">
        <w:rPr>
          <w:rFonts w:cs="Arial"/>
          <w:lang w:eastAsia="en-GB"/>
        </w:rPr>
        <w:t>.</w:t>
      </w:r>
      <w:r w:rsidR="00D5173F" w:rsidRPr="005268E9">
        <w:rPr>
          <w:rFonts w:cs="Arial"/>
          <w:lang w:eastAsia="en-GB"/>
        </w:rPr>
        <w:t>6</w:t>
      </w:r>
      <w:r w:rsidRPr="005268E9">
        <w:rPr>
          <w:rFonts w:cs="Arial"/>
          <w:lang w:eastAsia="en-GB"/>
        </w:rPr>
        <w:t>%</w:t>
      </w:r>
      <w:r w:rsidR="375C082A" w:rsidRPr="005268E9">
        <w:rPr>
          <w:rFonts w:cs="Arial"/>
          <w:lang w:eastAsia="en-GB"/>
        </w:rPr>
        <w:t xml:space="preserve"> (</w:t>
      </w:r>
      <w:r w:rsidR="00AB678C" w:rsidRPr="005268E9">
        <w:rPr>
          <w:rFonts w:cs="Arial"/>
          <w:lang w:eastAsia="en-GB"/>
        </w:rPr>
        <w:t>37</w:t>
      </w:r>
      <w:r w:rsidR="375C082A" w:rsidRPr="005268E9">
        <w:rPr>
          <w:rFonts w:cs="Arial"/>
          <w:lang w:eastAsia="en-GB"/>
        </w:rPr>
        <w:t>.</w:t>
      </w:r>
      <w:r w:rsidR="00AB678C" w:rsidRPr="005268E9">
        <w:rPr>
          <w:rFonts w:cs="Arial"/>
          <w:lang w:eastAsia="en-GB"/>
        </w:rPr>
        <w:t>6</w:t>
      </w:r>
      <w:r w:rsidR="375C082A" w:rsidRPr="005268E9">
        <w:rPr>
          <w:rFonts w:cs="Arial"/>
          <w:lang w:eastAsia="en-GB"/>
        </w:rPr>
        <w:t xml:space="preserve">% in </w:t>
      </w:r>
      <w:r w:rsidR="001A42DD" w:rsidRPr="005268E9">
        <w:rPr>
          <w:rFonts w:cs="Arial"/>
          <w:lang w:eastAsia="en-GB"/>
        </w:rPr>
        <w:t>2024-25</w:t>
      </w:r>
      <w:r w:rsidR="375C082A" w:rsidRPr="005268E9">
        <w:rPr>
          <w:rFonts w:cs="Arial"/>
          <w:lang w:eastAsia="en-GB"/>
        </w:rPr>
        <w:t>)</w:t>
      </w:r>
      <w:r w:rsidRPr="005268E9">
        <w:rPr>
          <w:rFonts w:cs="Arial"/>
          <w:lang w:eastAsia="en-GB"/>
        </w:rPr>
        <w:t xml:space="preserve"> and employees contribute </w:t>
      </w:r>
      <w:r w:rsidR="003D0845" w:rsidRPr="005268E9">
        <w:rPr>
          <w:rFonts w:cs="Arial"/>
          <w:lang w:eastAsia="en-GB"/>
        </w:rPr>
        <w:t>between 1</w:t>
      </w:r>
      <w:r w:rsidR="00060022" w:rsidRPr="005268E9">
        <w:rPr>
          <w:rFonts w:cs="Arial"/>
          <w:lang w:eastAsia="en-GB"/>
        </w:rPr>
        <w:t>1.0</w:t>
      </w:r>
      <w:r w:rsidR="003D0845" w:rsidRPr="005268E9">
        <w:rPr>
          <w:rFonts w:cs="Arial"/>
          <w:lang w:eastAsia="en-GB"/>
        </w:rPr>
        <w:t>% and 14.5% dependent on salary</w:t>
      </w:r>
      <w:r w:rsidRPr="005268E9">
        <w:rPr>
          <w:rFonts w:cs="Arial"/>
          <w:lang w:eastAsia="en-GB"/>
        </w:rPr>
        <w:t>.</w:t>
      </w:r>
    </w:p>
    <w:p w14:paraId="0A77542D" w14:textId="77777777" w:rsidR="00633424" w:rsidRPr="005268E9" w:rsidRDefault="00633424" w:rsidP="000F5BFB">
      <w:pPr>
        <w:ind w:right="-52"/>
        <w:rPr>
          <w:rFonts w:cs="Arial"/>
          <w:szCs w:val="24"/>
          <w:lang w:eastAsia="en-GB"/>
        </w:rPr>
      </w:pPr>
    </w:p>
    <w:p w14:paraId="1EE4FC45" w14:textId="5EBE5D49" w:rsidR="00D90216" w:rsidRPr="005268E9" w:rsidRDefault="00D90216" w:rsidP="000F5BFB">
      <w:pPr>
        <w:ind w:right="-52"/>
        <w:rPr>
          <w:rFonts w:cs="Arial"/>
          <w:lang w:eastAsia="en-GB"/>
        </w:rPr>
      </w:pPr>
      <w:r w:rsidRPr="005268E9">
        <w:rPr>
          <w:rFonts w:cs="Arial"/>
          <w:lang w:eastAsia="en-GB"/>
        </w:rPr>
        <w:t xml:space="preserve">These contribution levels are set nationally by the </w:t>
      </w:r>
      <w:r w:rsidR="00A16368" w:rsidRPr="005268E9">
        <w:rPr>
          <w:rFonts w:cs="Arial"/>
          <w:lang w:eastAsia="en-GB"/>
        </w:rPr>
        <w:t>Government and</w:t>
      </w:r>
      <w:r w:rsidRPr="005268E9">
        <w:rPr>
          <w:rFonts w:cs="Arial"/>
          <w:lang w:eastAsia="en-GB"/>
        </w:rPr>
        <w:t xml:space="preserve"> are subject to triennial revaluations by the Government Actuary’s Department</w:t>
      </w:r>
      <w:r w:rsidR="00406AB0" w:rsidRPr="005268E9">
        <w:rPr>
          <w:rFonts w:cs="Arial"/>
          <w:lang w:eastAsia="en-GB"/>
        </w:rPr>
        <w:t xml:space="preserve">. </w:t>
      </w:r>
      <w:r w:rsidR="005C5347" w:rsidRPr="005268E9">
        <w:rPr>
          <w:rFonts w:cs="Arial"/>
          <w:lang w:eastAsia="en-GB"/>
        </w:rPr>
        <w:t>Three</w:t>
      </w:r>
      <w:r w:rsidR="008D1BDB" w:rsidRPr="005268E9">
        <w:rPr>
          <w:rFonts w:cs="Arial"/>
          <w:lang w:eastAsia="en-GB"/>
        </w:rPr>
        <w:t xml:space="preserve"> </w:t>
      </w:r>
      <w:r w:rsidRPr="005268E9">
        <w:rPr>
          <w:rFonts w:cs="Arial"/>
          <w:lang w:eastAsia="en-GB"/>
        </w:rPr>
        <w:t>ill health retiremen</w:t>
      </w:r>
      <w:r w:rsidR="00F55B1C" w:rsidRPr="005268E9">
        <w:rPr>
          <w:rFonts w:cs="Arial"/>
          <w:lang w:eastAsia="en-GB"/>
        </w:rPr>
        <w:t>t</w:t>
      </w:r>
      <w:r w:rsidR="005C5347" w:rsidRPr="005268E9">
        <w:rPr>
          <w:rFonts w:cs="Arial"/>
          <w:lang w:eastAsia="en-GB"/>
        </w:rPr>
        <w:t>s</w:t>
      </w:r>
      <w:r w:rsidR="00406AB0" w:rsidRPr="005268E9">
        <w:rPr>
          <w:rFonts w:cs="Arial"/>
          <w:lang w:eastAsia="en-GB"/>
        </w:rPr>
        <w:t xml:space="preserve"> w</w:t>
      </w:r>
      <w:r w:rsidR="005C5347" w:rsidRPr="005268E9">
        <w:rPr>
          <w:rFonts w:cs="Arial"/>
          <w:lang w:eastAsia="en-GB"/>
        </w:rPr>
        <w:t>ere</w:t>
      </w:r>
      <w:r w:rsidR="00406AB0" w:rsidRPr="005268E9">
        <w:rPr>
          <w:rFonts w:cs="Arial"/>
          <w:lang w:eastAsia="en-GB"/>
        </w:rPr>
        <w:t xml:space="preserve"> recognised</w:t>
      </w:r>
      <w:r w:rsidRPr="005268E9">
        <w:rPr>
          <w:rFonts w:cs="Arial"/>
          <w:lang w:eastAsia="en-GB"/>
        </w:rPr>
        <w:t xml:space="preserve"> during </w:t>
      </w:r>
      <w:r w:rsidR="001A42DD" w:rsidRPr="005268E9">
        <w:rPr>
          <w:rFonts w:cs="Arial"/>
          <w:lang w:eastAsia="en-GB"/>
        </w:rPr>
        <w:t>2025-26</w:t>
      </w:r>
      <w:r w:rsidR="00421B3D" w:rsidRPr="005268E9">
        <w:rPr>
          <w:rFonts w:cs="Arial"/>
          <w:lang w:eastAsia="en-GB"/>
        </w:rPr>
        <w:t xml:space="preserve">, and </w:t>
      </w:r>
      <w:r w:rsidR="005C5347" w:rsidRPr="005268E9">
        <w:rPr>
          <w:rFonts w:cs="Arial"/>
          <w:lang w:eastAsia="en-GB"/>
        </w:rPr>
        <w:t>one</w:t>
      </w:r>
      <w:r w:rsidR="00421B3D" w:rsidRPr="005268E9">
        <w:rPr>
          <w:rFonts w:cs="Arial"/>
          <w:lang w:eastAsia="en-GB"/>
        </w:rPr>
        <w:t xml:space="preserve"> in </w:t>
      </w:r>
      <w:r w:rsidR="001A42DD" w:rsidRPr="005268E9">
        <w:rPr>
          <w:rFonts w:cs="Arial"/>
          <w:lang w:eastAsia="en-GB"/>
        </w:rPr>
        <w:t>2024-25</w:t>
      </w:r>
      <w:r w:rsidRPr="005268E9">
        <w:rPr>
          <w:rFonts w:cs="Arial"/>
          <w:lang w:eastAsia="en-GB"/>
        </w:rPr>
        <w:t>.</w:t>
      </w:r>
    </w:p>
    <w:p w14:paraId="51AEA634" w14:textId="77777777" w:rsidR="00D90216" w:rsidRPr="005268E9" w:rsidRDefault="00D90216" w:rsidP="000F5BFB">
      <w:pPr>
        <w:ind w:left="284" w:right="-52"/>
        <w:rPr>
          <w:rFonts w:cs="Arial"/>
          <w:lang w:eastAsia="en-GB"/>
        </w:rPr>
      </w:pPr>
    </w:p>
    <w:p w14:paraId="342AE924" w14:textId="77777777" w:rsidR="00D90216" w:rsidRPr="005268E9" w:rsidRDefault="00D90216" w:rsidP="000F5BFB">
      <w:pPr>
        <w:ind w:right="-52"/>
        <w:rPr>
          <w:rFonts w:cs="Arial"/>
          <w:u w:val="single"/>
          <w:lang w:eastAsia="en-GB"/>
        </w:rPr>
      </w:pPr>
      <w:r w:rsidRPr="005268E9">
        <w:rPr>
          <w:rFonts w:cs="Arial"/>
          <w:u w:val="single"/>
          <w:lang w:eastAsia="en-GB"/>
        </w:rPr>
        <w:t>Benefits Paid</w:t>
      </w:r>
    </w:p>
    <w:p w14:paraId="6D3ED228" w14:textId="77777777" w:rsidR="00D90216" w:rsidRPr="005268E9" w:rsidRDefault="00D90216" w:rsidP="000F5BFB">
      <w:pPr>
        <w:ind w:right="-52"/>
        <w:rPr>
          <w:rFonts w:cs="Arial"/>
          <w:lang w:eastAsia="en-GB"/>
        </w:rPr>
      </w:pPr>
      <w:r w:rsidRPr="005268E9">
        <w:rPr>
          <w:rFonts w:cs="Arial"/>
          <w:lang w:eastAsia="en-GB"/>
        </w:rPr>
        <w:t>Pensions are paid to retired officers, their survivors and others who are eligible for benefits under new and existing pension schemes.</w:t>
      </w:r>
    </w:p>
    <w:p w14:paraId="1E113EB2" w14:textId="77777777" w:rsidR="00D90216" w:rsidRPr="005268E9" w:rsidRDefault="00D90216" w:rsidP="000F5BFB">
      <w:pPr>
        <w:ind w:left="284" w:right="-52"/>
        <w:rPr>
          <w:rFonts w:cs="Arial"/>
          <w:lang w:eastAsia="en-GB"/>
        </w:rPr>
      </w:pPr>
    </w:p>
    <w:p w14:paraId="169EF760" w14:textId="77777777" w:rsidR="00D90216" w:rsidRPr="005268E9" w:rsidRDefault="00153A2A" w:rsidP="000F5BFB">
      <w:pPr>
        <w:ind w:right="-52"/>
        <w:rPr>
          <w:rFonts w:cs="Arial"/>
          <w:u w:val="single"/>
          <w:lang w:val="en" w:eastAsia="en-GB"/>
        </w:rPr>
      </w:pPr>
      <w:r w:rsidRPr="005268E9">
        <w:rPr>
          <w:rFonts w:cs="Arial"/>
          <w:u w:val="single"/>
          <w:lang w:val="en" w:eastAsia="en-GB"/>
        </w:rPr>
        <w:t>Home Office</w:t>
      </w:r>
      <w:r w:rsidR="00D90216" w:rsidRPr="005268E9">
        <w:rPr>
          <w:rFonts w:cs="Arial"/>
          <w:u w:val="single"/>
          <w:lang w:val="en" w:eastAsia="en-GB"/>
        </w:rPr>
        <w:t xml:space="preserve"> Grant</w:t>
      </w:r>
    </w:p>
    <w:p w14:paraId="6B84E701" w14:textId="349EC753" w:rsidR="00D90216" w:rsidRPr="005268E9" w:rsidRDefault="00D90216" w:rsidP="000F5BFB">
      <w:pPr>
        <w:ind w:right="-52"/>
        <w:rPr>
          <w:rFonts w:cs="Arial"/>
          <w:lang w:eastAsia="en-GB"/>
        </w:rPr>
      </w:pPr>
      <w:r w:rsidRPr="005268E9">
        <w:rPr>
          <w:rFonts w:cs="Arial"/>
          <w:lang w:val="en" w:eastAsia="en-GB"/>
        </w:rPr>
        <w:t xml:space="preserve">There are no investment </w:t>
      </w:r>
      <w:r w:rsidR="00A16368" w:rsidRPr="005268E9">
        <w:rPr>
          <w:rFonts w:cs="Arial"/>
          <w:lang w:val="en" w:eastAsia="en-GB"/>
        </w:rPr>
        <w:t>assets,</w:t>
      </w:r>
      <w:r w:rsidRPr="005268E9">
        <w:rPr>
          <w:rFonts w:cs="Arial"/>
          <w:lang w:val="en" w:eastAsia="en-GB"/>
        </w:rPr>
        <w:t xml:space="preserve"> and the fund is balanced to zero each year by receipt of a top up grant from the </w:t>
      </w:r>
      <w:r w:rsidR="00153A2A" w:rsidRPr="005268E9">
        <w:rPr>
          <w:rFonts w:cs="Arial"/>
          <w:lang w:val="en" w:eastAsia="en-GB"/>
        </w:rPr>
        <w:t>Home Office</w:t>
      </w:r>
      <w:r w:rsidRPr="005268E9">
        <w:rPr>
          <w:rFonts w:cs="Arial"/>
          <w:lang w:val="en" w:eastAsia="en-GB"/>
        </w:rPr>
        <w:t>, if contributions are insufficient to meet the cost of pension payments, or by paying over any surplus grant.</w:t>
      </w:r>
    </w:p>
    <w:p w14:paraId="649EF5FD" w14:textId="77777777" w:rsidR="00D90216" w:rsidRPr="005268E9" w:rsidRDefault="00D90216" w:rsidP="000F5BFB">
      <w:pPr>
        <w:ind w:right="-52"/>
        <w:rPr>
          <w:rFonts w:cs="Arial"/>
          <w:lang w:eastAsia="en-GB"/>
        </w:rPr>
      </w:pPr>
    </w:p>
    <w:p w14:paraId="414FE904" w14:textId="77777777" w:rsidR="00D90216" w:rsidRPr="005268E9" w:rsidRDefault="00D90216" w:rsidP="000F5BFB">
      <w:pPr>
        <w:ind w:right="-52"/>
        <w:rPr>
          <w:rFonts w:cs="Arial"/>
          <w:u w:val="single"/>
          <w:lang w:val="en" w:eastAsia="en-GB"/>
        </w:rPr>
      </w:pPr>
      <w:r w:rsidRPr="005268E9">
        <w:rPr>
          <w:rFonts w:cs="Arial"/>
          <w:u w:val="single"/>
          <w:lang w:val="en" w:eastAsia="en-GB"/>
        </w:rPr>
        <w:t>Future Liabilities</w:t>
      </w:r>
    </w:p>
    <w:p w14:paraId="31AB0CD4" w14:textId="37C17D08" w:rsidR="00D90216" w:rsidRPr="00B15C36" w:rsidRDefault="00D90216" w:rsidP="000F5BFB">
      <w:r w:rsidRPr="005268E9">
        <w:t>The firefighters pension fund financial statements do not take account of liabilities to pay pensions and other benefits af</w:t>
      </w:r>
      <w:r w:rsidR="00467C60" w:rsidRPr="005268E9">
        <w:t xml:space="preserve">ter the period </w:t>
      </w:r>
      <w:proofErr w:type="gramStart"/>
      <w:r w:rsidR="00467C60" w:rsidRPr="005268E9">
        <w:t>end,</w:t>
      </w:r>
      <w:proofErr w:type="gramEnd"/>
      <w:r w:rsidR="00467C60" w:rsidRPr="005268E9">
        <w:t xml:space="preserve"> however details of the </w:t>
      </w:r>
      <w:r w:rsidR="0042437F" w:rsidRPr="005268E9">
        <w:t>firefighter’s</w:t>
      </w:r>
      <w:r w:rsidR="00467C60" w:rsidRPr="005268E9">
        <w:t xml:space="preserve"> pension fund long</w:t>
      </w:r>
      <w:r w:rsidR="00A16368" w:rsidRPr="005268E9">
        <w:t>-</w:t>
      </w:r>
      <w:r w:rsidR="00467C60" w:rsidRPr="005268E9">
        <w:t xml:space="preserve">term pension obligations are recognised in the Authorities financial statements, details can be found in </w:t>
      </w:r>
      <w:hyperlink w:anchor="_16_Net_Liability">
        <w:r w:rsidR="00656A6F" w:rsidRPr="005268E9">
          <w:rPr>
            <w:rStyle w:val="Hyperlink"/>
          </w:rPr>
          <w:t>Note 16</w:t>
        </w:r>
      </w:hyperlink>
      <w:r w:rsidR="00467C60" w:rsidRPr="005268E9">
        <w:t>.</w:t>
      </w:r>
    </w:p>
    <w:p w14:paraId="0A17FAB5" w14:textId="77777777" w:rsidR="00D90216" w:rsidRPr="00B15C36" w:rsidRDefault="00D90216" w:rsidP="000F5BFB">
      <w:pPr>
        <w:rPr>
          <w:sz w:val="22"/>
        </w:rPr>
      </w:pPr>
    </w:p>
    <w:p w14:paraId="54F9B57D" w14:textId="77777777" w:rsidR="00D90216" w:rsidRPr="00B15C36" w:rsidRDefault="00D90216" w:rsidP="000F5BFB">
      <w:pPr>
        <w:rPr>
          <w:sz w:val="22"/>
        </w:rPr>
      </w:pPr>
    </w:p>
    <w:p w14:paraId="0AB45E0C" w14:textId="77777777" w:rsidR="00D90216" w:rsidRPr="00B15C36" w:rsidRDefault="00D90216" w:rsidP="000F5BFB">
      <w:pPr>
        <w:rPr>
          <w:sz w:val="22"/>
        </w:rPr>
      </w:pPr>
      <w:r w:rsidRPr="00B15C36">
        <w:rPr>
          <w:sz w:val="22"/>
        </w:rPr>
        <w:br w:type="page"/>
      </w:r>
    </w:p>
    <w:p w14:paraId="477489C1" w14:textId="3FC40053" w:rsidR="00D90216" w:rsidRPr="00AB678C" w:rsidRDefault="006563F1" w:rsidP="000F5BFB">
      <w:pPr>
        <w:pStyle w:val="Heading1"/>
      </w:pPr>
      <w:bookmarkStart w:id="101" w:name="Terms"/>
      <w:bookmarkStart w:id="102" w:name="_Toc233717552"/>
      <w:bookmarkEnd w:id="101"/>
      <w:r>
        <w:lastRenderedPageBreak/>
        <w:t>Glossary of Terms</w:t>
      </w:r>
      <w:bookmarkEnd w:id="102"/>
    </w:p>
    <w:p w14:paraId="5CD57FF0" w14:textId="77777777" w:rsidR="00D90216" w:rsidRPr="00AB678C" w:rsidRDefault="00D90216" w:rsidP="000F5BFB">
      <w:pPr>
        <w:rPr>
          <w:b/>
          <w:sz w:val="22"/>
          <w:szCs w:val="22"/>
        </w:rPr>
      </w:pPr>
    </w:p>
    <w:p w14:paraId="0599F754" w14:textId="77777777" w:rsidR="00D90216" w:rsidRPr="00AB678C" w:rsidRDefault="00D90216" w:rsidP="000F5BFB">
      <w:pPr>
        <w:rPr>
          <w:b/>
        </w:rPr>
      </w:pPr>
      <w:r w:rsidRPr="2693FC52">
        <w:rPr>
          <w:b/>
        </w:rPr>
        <w:t>Accrual</w:t>
      </w:r>
    </w:p>
    <w:p w14:paraId="7EB1FC85" w14:textId="2CDF6CC1" w:rsidR="00D90216" w:rsidRPr="00AB678C" w:rsidRDefault="00D90216" w:rsidP="10271499">
      <w:pPr>
        <w:keepLines/>
        <w:widowControl w:val="0"/>
        <w:tabs>
          <w:tab w:val="right" w:pos="9072"/>
        </w:tabs>
      </w:pPr>
      <w:r>
        <w:t>A sum included in the accounts to cover income or expenditure attributable to the accounting period covered by the accounts but for which payment had not been received</w:t>
      </w:r>
      <w:r w:rsidR="00920F22">
        <w:t xml:space="preserve"> or </w:t>
      </w:r>
      <w:r>
        <w:t>made at the Balance Sheet date.</w:t>
      </w:r>
    </w:p>
    <w:p w14:paraId="0D318490" w14:textId="77777777" w:rsidR="00D90216" w:rsidRPr="00AB678C" w:rsidRDefault="00D90216" w:rsidP="10271499">
      <w:pPr>
        <w:keepLines/>
        <w:widowControl w:val="0"/>
        <w:tabs>
          <w:tab w:val="right" w:pos="9072"/>
        </w:tabs>
      </w:pPr>
    </w:p>
    <w:p w14:paraId="3FB740BC" w14:textId="77777777" w:rsidR="00D90216" w:rsidRPr="00AB678C" w:rsidRDefault="00D90216" w:rsidP="000F5BFB">
      <w:pPr>
        <w:rPr>
          <w:b/>
        </w:rPr>
      </w:pPr>
      <w:r w:rsidRPr="2693FC52">
        <w:rPr>
          <w:b/>
        </w:rPr>
        <w:t>Amortised cost</w:t>
      </w:r>
    </w:p>
    <w:p w14:paraId="743B3D84" w14:textId="77777777" w:rsidR="00D90216" w:rsidRPr="00AB678C" w:rsidRDefault="00D90216" w:rsidP="000F5BFB">
      <w:r>
        <w:t>Amortised cost is a valuation basis for financial instruments that, in the case of this Authority’s assets and liabilities, is equal to their nominal value plus any interest accrued to the balance sheet date.</w:t>
      </w:r>
    </w:p>
    <w:p w14:paraId="1FB3ED43" w14:textId="77777777" w:rsidR="00D90216" w:rsidRPr="00AB678C" w:rsidRDefault="00D90216" w:rsidP="10271499">
      <w:pPr>
        <w:keepLines/>
        <w:widowControl w:val="0"/>
        <w:tabs>
          <w:tab w:val="right" w:pos="9072"/>
        </w:tabs>
      </w:pPr>
    </w:p>
    <w:p w14:paraId="54A1E401" w14:textId="77777777" w:rsidR="00D90216" w:rsidRPr="00AB678C" w:rsidRDefault="00D90216" w:rsidP="000F5BFB">
      <w:pPr>
        <w:rPr>
          <w:b/>
        </w:rPr>
      </w:pPr>
      <w:r w:rsidRPr="2693FC52">
        <w:rPr>
          <w:b/>
        </w:rPr>
        <w:t>Budget</w:t>
      </w:r>
    </w:p>
    <w:p w14:paraId="61B4CAD6" w14:textId="345643DB" w:rsidR="00D90216" w:rsidRPr="00AB678C" w:rsidRDefault="00D90216" w:rsidP="10271499">
      <w:pPr>
        <w:keepLines/>
        <w:widowControl w:val="0"/>
        <w:tabs>
          <w:tab w:val="right" w:pos="9072"/>
        </w:tabs>
      </w:pPr>
      <w:r>
        <w:t xml:space="preserve">A statement which reflects the Authority’s policies in financial </w:t>
      </w:r>
      <w:r w:rsidR="0094180B">
        <w:t>terms,</w:t>
      </w:r>
      <w:r>
        <w:t xml:space="preserve"> and which quantifies its plans for spending over a specified period. The Revenue Budget (spending other than capital expenditure) is normally finalised and approved in </w:t>
      </w:r>
      <w:r w:rsidR="004A769C">
        <w:t>Febr</w:t>
      </w:r>
      <w:r>
        <w:t>uary prior to the commencement of the financial year.</w:t>
      </w:r>
    </w:p>
    <w:p w14:paraId="6FD650BA" w14:textId="77777777" w:rsidR="00D90216" w:rsidRPr="00AB678C" w:rsidRDefault="00D90216" w:rsidP="10271499">
      <w:pPr>
        <w:keepLines/>
        <w:widowControl w:val="0"/>
        <w:tabs>
          <w:tab w:val="right" w:pos="9072"/>
        </w:tabs>
      </w:pPr>
    </w:p>
    <w:p w14:paraId="0BE3D95F" w14:textId="77777777" w:rsidR="00D90216" w:rsidRPr="00AB678C" w:rsidRDefault="00D90216" w:rsidP="000F5BFB">
      <w:pPr>
        <w:rPr>
          <w:b/>
        </w:rPr>
      </w:pPr>
      <w:r w:rsidRPr="2693FC52">
        <w:rPr>
          <w:b/>
        </w:rPr>
        <w:t>Capital Expenditure</w:t>
      </w:r>
    </w:p>
    <w:p w14:paraId="3F16D745" w14:textId="74AD05B7" w:rsidR="00D90216" w:rsidRPr="00AB678C" w:rsidRDefault="00D90216" w:rsidP="10271499">
      <w:pPr>
        <w:keepLines/>
        <w:widowControl w:val="0"/>
        <w:tabs>
          <w:tab w:val="right" w:pos="9072"/>
        </w:tabs>
      </w:pPr>
      <w:r>
        <w:t xml:space="preserve">Payments made for the acquisition or provision of assets which will be of relatively long-term value to the Authority </w:t>
      </w:r>
      <w:r w:rsidR="00AA3FF8">
        <w:t>for example</w:t>
      </w:r>
      <w:r>
        <w:t xml:space="preserve"> land, buildings and equipment. Also referred to as capital spending, capital outlay, or capital payments. The resulting capital assets are referred to as “fixed assets”.</w:t>
      </w:r>
    </w:p>
    <w:p w14:paraId="6A4D5006" w14:textId="77777777" w:rsidR="00D90216" w:rsidRPr="00AB678C" w:rsidRDefault="00D90216" w:rsidP="10271499">
      <w:pPr>
        <w:keepLines/>
        <w:widowControl w:val="0"/>
        <w:tabs>
          <w:tab w:val="right" w:pos="9072"/>
        </w:tabs>
      </w:pPr>
    </w:p>
    <w:p w14:paraId="3303EDD7" w14:textId="77777777" w:rsidR="00D90216" w:rsidRPr="00AB678C" w:rsidRDefault="00D90216" w:rsidP="000F5BFB">
      <w:pPr>
        <w:rPr>
          <w:b/>
        </w:rPr>
      </w:pPr>
      <w:r w:rsidRPr="2693FC52">
        <w:rPr>
          <w:b/>
        </w:rPr>
        <w:t>Capital Receipts</w:t>
      </w:r>
    </w:p>
    <w:p w14:paraId="38C82E04" w14:textId="2BD7A5EA" w:rsidR="00D90216" w:rsidRPr="00AB678C" w:rsidRDefault="00D90216" w:rsidP="10271499">
      <w:pPr>
        <w:keepLines/>
        <w:widowControl w:val="0"/>
        <w:tabs>
          <w:tab w:val="right" w:pos="9072"/>
        </w:tabs>
      </w:pPr>
      <w:r>
        <w:t>Proceeds from the sale of capital assets. Such income may only be used for capital purposes, to repay existing loan debt, or to finance new capital expenditure in proportions determined by the Government. Any receipts which have not yet been utilised as described are referred to as “capital receipts unapplied”.</w:t>
      </w:r>
    </w:p>
    <w:p w14:paraId="729A3248" w14:textId="77777777" w:rsidR="00D90216" w:rsidRPr="00AB678C" w:rsidRDefault="00D90216" w:rsidP="10271499">
      <w:pPr>
        <w:keepLines/>
        <w:widowControl w:val="0"/>
        <w:tabs>
          <w:tab w:val="right" w:pos="9072"/>
        </w:tabs>
      </w:pPr>
    </w:p>
    <w:p w14:paraId="2087E467" w14:textId="77777777" w:rsidR="00D90216" w:rsidRPr="00AB678C" w:rsidRDefault="00D90216" w:rsidP="10271499">
      <w:pPr>
        <w:keepLines/>
        <w:widowControl w:val="0"/>
        <w:tabs>
          <w:tab w:val="right" w:pos="9072"/>
        </w:tabs>
        <w:rPr>
          <w:b/>
        </w:rPr>
      </w:pPr>
      <w:r w:rsidRPr="2693FC52">
        <w:rPr>
          <w:b/>
        </w:rPr>
        <w:t>Comprehensive Income &amp; Expenditure Statement</w:t>
      </w:r>
    </w:p>
    <w:p w14:paraId="1851FACB" w14:textId="77777777" w:rsidR="00D90216" w:rsidRPr="00AB678C" w:rsidRDefault="00D90216" w:rsidP="10271499">
      <w:pPr>
        <w:keepLines/>
        <w:widowControl w:val="0"/>
        <w:tabs>
          <w:tab w:val="right" w:pos="9072"/>
        </w:tabs>
      </w:pPr>
      <w:r>
        <w:t>An account which records an authority’s day to day expenditure and income on items such as salaries and wages, running costs of services and the financing</w:t>
      </w:r>
      <w:r w:rsidRPr="2693FC52">
        <w:rPr>
          <w:b/>
        </w:rPr>
        <w:t xml:space="preserve"> </w:t>
      </w:r>
      <w:r>
        <w:t>charges in respect of capital expenditure.</w:t>
      </w:r>
    </w:p>
    <w:p w14:paraId="1C0EFA24" w14:textId="77777777" w:rsidR="00D90216" w:rsidRPr="00AB678C" w:rsidRDefault="00D90216" w:rsidP="10271499">
      <w:pPr>
        <w:keepLines/>
        <w:widowControl w:val="0"/>
        <w:tabs>
          <w:tab w:val="right" w:pos="9072"/>
        </w:tabs>
      </w:pPr>
    </w:p>
    <w:p w14:paraId="059EF9FE" w14:textId="77777777" w:rsidR="00D90216" w:rsidRPr="00AB678C" w:rsidRDefault="00D90216" w:rsidP="000F5BFB">
      <w:pPr>
        <w:rPr>
          <w:b/>
        </w:rPr>
      </w:pPr>
      <w:r w:rsidRPr="2693FC52">
        <w:rPr>
          <w:b/>
        </w:rPr>
        <w:t>Creditors</w:t>
      </w:r>
    </w:p>
    <w:p w14:paraId="3EE9409E" w14:textId="77777777" w:rsidR="00D90216" w:rsidRPr="00AB678C" w:rsidRDefault="00D90216" w:rsidP="10271499">
      <w:pPr>
        <w:keepLines/>
        <w:widowControl w:val="0"/>
        <w:tabs>
          <w:tab w:val="right" w:pos="9072"/>
        </w:tabs>
      </w:pPr>
      <w:r>
        <w:t>Amounts owed by the Authority for work done, goods received, or services rendered but for which payment had not been made at the date of the Balance Sheet.</w:t>
      </w:r>
    </w:p>
    <w:p w14:paraId="1560C1D8" w14:textId="77777777" w:rsidR="00D90216" w:rsidRPr="00AB678C" w:rsidRDefault="00D90216" w:rsidP="10271499">
      <w:pPr>
        <w:keepLines/>
        <w:widowControl w:val="0"/>
        <w:tabs>
          <w:tab w:val="right" w:pos="9072"/>
        </w:tabs>
      </w:pPr>
    </w:p>
    <w:p w14:paraId="3BF94A25" w14:textId="77777777" w:rsidR="00D90216" w:rsidRPr="00AB678C" w:rsidRDefault="00D90216" w:rsidP="000F5BFB">
      <w:pPr>
        <w:rPr>
          <w:b/>
        </w:rPr>
      </w:pPr>
      <w:r w:rsidRPr="2693FC52">
        <w:rPr>
          <w:b/>
        </w:rPr>
        <w:t>Debtors</w:t>
      </w:r>
    </w:p>
    <w:p w14:paraId="659E3CA3" w14:textId="77777777" w:rsidR="00D90216" w:rsidRDefault="00D90216" w:rsidP="10271499">
      <w:pPr>
        <w:keepLines/>
        <w:widowControl w:val="0"/>
        <w:tabs>
          <w:tab w:val="right" w:pos="9072"/>
        </w:tabs>
      </w:pPr>
      <w:r>
        <w:t>Sums of money due to the Authority in the relevant financial year but not received at the Balance Sheet date.</w:t>
      </w:r>
    </w:p>
    <w:p w14:paraId="4D303722" w14:textId="77777777" w:rsidR="005C5347" w:rsidRPr="00BA4B11" w:rsidRDefault="005C5347" w:rsidP="10271499">
      <w:pPr>
        <w:keepLines/>
        <w:widowControl w:val="0"/>
        <w:tabs>
          <w:tab w:val="right" w:pos="9072"/>
        </w:tabs>
      </w:pPr>
    </w:p>
    <w:p w14:paraId="59C9E224" w14:textId="18DD7348" w:rsidR="005C5347" w:rsidRPr="00BA4B11" w:rsidRDefault="005C5347" w:rsidP="10271499">
      <w:pPr>
        <w:keepLines/>
        <w:widowControl w:val="0"/>
        <w:tabs>
          <w:tab w:val="right" w:pos="9072"/>
        </w:tabs>
        <w:rPr>
          <w:b/>
          <w:bCs/>
        </w:rPr>
      </w:pPr>
      <w:r w:rsidRPr="00BA4B11">
        <w:rPr>
          <w:b/>
          <w:bCs/>
        </w:rPr>
        <w:t>Indexation</w:t>
      </w:r>
    </w:p>
    <w:p w14:paraId="401E96BB" w14:textId="39B486F6" w:rsidR="005C5347" w:rsidRPr="00BA4B11" w:rsidRDefault="008C2E65" w:rsidP="10271499">
      <w:pPr>
        <w:keepLines/>
        <w:widowControl w:val="0"/>
        <w:tabs>
          <w:tab w:val="right" w:pos="9072"/>
        </w:tabs>
      </w:pPr>
      <w:r w:rsidRPr="00BA4B11">
        <w:t xml:space="preserve">Indexation is a </w:t>
      </w:r>
      <w:r w:rsidR="00CF3B0E" w:rsidRPr="00BA4B11">
        <w:t xml:space="preserve">valuation basis for property assets </w:t>
      </w:r>
      <w:r w:rsidR="002E2320" w:rsidRPr="00BA4B11">
        <w:t>which have not had a full valuation in year</w:t>
      </w:r>
      <w:r w:rsidR="00342B8A" w:rsidRPr="00BA4B11">
        <w:t>,</w:t>
      </w:r>
      <w:r w:rsidR="00ED6CC8" w:rsidRPr="00BA4B11">
        <w:t xml:space="preserve"> instead </w:t>
      </w:r>
      <w:r w:rsidR="009F5416" w:rsidRPr="00BA4B11">
        <w:t xml:space="preserve">appropriate </w:t>
      </w:r>
      <w:r w:rsidR="00087E05" w:rsidRPr="00BA4B11">
        <w:t>indices</w:t>
      </w:r>
      <w:r w:rsidR="003D54E6" w:rsidRPr="00BA4B11">
        <w:t xml:space="preserve"> are</w:t>
      </w:r>
      <w:r w:rsidR="00087E05" w:rsidRPr="00BA4B11">
        <w:t xml:space="preserve"> used</w:t>
      </w:r>
      <w:r w:rsidR="00342B8A" w:rsidRPr="00BA4B11">
        <w:t xml:space="preserve"> to </w:t>
      </w:r>
      <w:r w:rsidR="00AC5BBA" w:rsidRPr="00BA4B11">
        <w:t>revalue propert</w:t>
      </w:r>
      <w:r w:rsidR="00601511" w:rsidRPr="00BA4B11">
        <w:t>y assets</w:t>
      </w:r>
      <w:r w:rsidR="00AC5BBA" w:rsidRPr="00BA4B11">
        <w:t xml:space="preserve"> </w:t>
      </w:r>
      <w:r w:rsidR="00606DE3" w:rsidRPr="00BA4B11">
        <w:t>in line with current economic conditions</w:t>
      </w:r>
      <w:r w:rsidR="00322B9F" w:rsidRPr="00BA4B11">
        <w:t>.</w:t>
      </w:r>
    </w:p>
    <w:p w14:paraId="02893932" w14:textId="77777777" w:rsidR="00D90216" w:rsidRPr="00AB678C" w:rsidRDefault="00D90216" w:rsidP="10271499">
      <w:pPr>
        <w:keepLines/>
        <w:widowControl w:val="0"/>
        <w:tabs>
          <w:tab w:val="right" w:pos="9072"/>
        </w:tabs>
        <w:rPr>
          <w:highlight w:val="green"/>
        </w:rPr>
      </w:pPr>
    </w:p>
    <w:p w14:paraId="6563EFEE" w14:textId="77777777" w:rsidR="00D90216" w:rsidRPr="00AB678C" w:rsidRDefault="00D90216" w:rsidP="000F5BFB">
      <w:pPr>
        <w:rPr>
          <w:b/>
        </w:rPr>
      </w:pPr>
      <w:r w:rsidRPr="1AABA95A">
        <w:rPr>
          <w:b/>
        </w:rPr>
        <w:t>Fair Value</w:t>
      </w:r>
    </w:p>
    <w:p w14:paraId="45F86337" w14:textId="77777777" w:rsidR="00D90216" w:rsidRPr="00AB678C" w:rsidRDefault="00D90216" w:rsidP="000F5BFB">
      <w:r>
        <w:t>Fair value is a valuation basis for financial instruments that represents the amount at which the instruments could be exchanged in an open market transaction. If no market for a specific instrument exists, fair value can be estimated by a technique that is based on a comparison of the interest rate on the instrument with interest rates on similar instruments that are available in financial markets.</w:t>
      </w:r>
    </w:p>
    <w:p w14:paraId="65031915" w14:textId="77777777" w:rsidR="00D90216" w:rsidRPr="00AB678C" w:rsidRDefault="00D90216" w:rsidP="10271499">
      <w:pPr>
        <w:keepLines/>
        <w:widowControl w:val="0"/>
        <w:tabs>
          <w:tab w:val="right" w:pos="9072"/>
        </w:tabs>
      </w:pPr>
    </w:p>
    <w:p w14:paraId="42E62E3E" w14:textId="77777777" w:rsidR="00D90216" w:rsidRPr="00AB678C" w:rsidRDefault="00D90216" w:rsidP="10271499">
      <w:pPr>
        <w:keepLines/>
        <w:widowControl w:val="0"/>
        <w:tabs>
          <w:tab w:val="right" w:pos="9072"/>
        </w:tabs>
        <w:rPr>
          <w:b/>
        </w:rPr>
      </w:pPr>
      <w:r w:rsidRPr="1AABA95A">
        <w:rPr>
          <w:b/>
        </w:rPr>
        <w:t>Financial Instrument</w:t>
      </w:r>
    </w:p>
    <w:p w14:paraId="05BD817C" w14:textId="31C09478" w:rsidR="00D90216" w:rsidRPr="00AB678C" w:rsidRDefault="00D90216" w:rsidP="00322B9F">
      <w:pPr>
        <w:rPr>
          <w:b/>
          <w:highlight w:val="green"/>
        </w:rPr>
      </w:pPr>
      <w:r>
        <w:t>A financial liability or asset such as a borrowing or an investment.</w:t>
      </w:r>
      <w:r w:rsidRPr="00AB678C">
        <w:rPr>
          <w:b/>
          <w:highlight w:val="green"/>
        </w:rPr>
        <w:br w:type="page"/>
      </w:r>
    </w:p>
    <w:p w14:paraId="4388B39A" w14:textId="77777777" w:rsidR="00D90216" w:rsidRPr="00AB678C" w:rsidRDefault="00D90216" w:rsidP="10271499">
      <w:pPr>
        <w:keepLines/>
        <w:widowControl w:val="0"/>
        <w:tabs>
          <w:tab w:val="right" w:pos="9072"/>
        </w:tabs>
        <w:rPr>
          <w:b/>
        </w:rPr>
      </w:pPr>
      <w:r w:rsidRPr="094D1461">
        <w:rPr>
          <w:b/>
        </w:rPr>
        <w:lastRenderedPageBreak/>
        <w:t>Financial Year</w:t>
      </w:r>
    </w:p>
    <w:p w14:paraId="6E5EEFE9" w14:textId="57F34DDF" w:rsidR="00D90216" w:rsidRPr="00AB678C" w:rsidRDefault="00D90216" w:rsidP="10271499">
      <w:pPr>
        <w:keepLines/>
        <w:widowControl w:val="0"/>
        <w:tabs>
          <w:tab w:val="right" w:pos="9072"/>
        </w:tabs>
      </w:pPr>
      <w:r>
        <w:t>The period of twelve months for which the accounts are comprised. For Fire Authorities the financial year (or accounting period as it is also known) commences on 1 April and finishes on the 31 March of the following year.</w:t>
      </w:r>
    </w:p>
    <w:p w14:paraId="4B26BD19" w14:textId="77777777" w:rsidR="00D90216" w:rsidRPr="00AB678C" w:rsidRDefault="00D90216" w:rsidP="10271499">
      <w:pPr>
        <w:keepLines/>
        <w:widowControl w:val="0"/>
        <w:tabs>
          <w:tab w:val="right" w:pos="9072"/>
        </w:tabs>
      </w:pPr>
    </w:p>
    <w:p w14:paraId="283140E0" w14:textId="77777777" w:rsidR="00D90216" w:rsidRPr="00AB678C" w:rsidRDefault="00D90216" w:rsidP="10271499">
      <w:pPr>
        <w:keepLines/>
        <w:widowControl w:val="0"/>
        <w:tabs>
          <w:tab w:val="right" w:pos="9072"/>
        </w:tabs>
        <w:rPr>
          <w:b/>
        </w:rPr>
      </w:pPr>
      <w:r w:rsidRPr="094D1461">
        <w:rPr>
          <w:b/>
        </w:rPr>
        <w:t>Financing Charges</w:t>
      </w:r>
    </w:p>
    <w:p w14:paraId="04928E39" w14:textId="2BFF401A" w:rsidR="00D90216" w:rsidRPr="00AB678C" w:rsidRDefault="00D90216" w:rsidP="10271499">
      <w:pPr>
        <w:keepLines/>
        <w:widowControl w:val="0"/>
        <w:tabs>
          <w:tab w:val="right" w:pos="9072"/>
        </w:tabs>
      </w:pPr>
      <w:r>
        <w:t xml:space="preserve">Annual charges to the Authority’s Comprehensive Income and Expenditure Statement to cover the interest on and the repayment </w:t>
      </w:r>
      <w:r w:rsidR="0094180B">
        <w:t>of</w:t>
      </w:r>
      <w:r>
        <w:t xml:space="preserve"> loans raised for capital expenditure. Annual lease rental payments are also included.</w:t>
      </w:r>
    </w:p>
    <w:p w14:paraId="682C5E57" w14:textId="77777777" w:rsidR="00116F83" w:rsidRPr="00AB678C" w:rsidRDefault="00116F83" w:rsidP="10271499">
      <w:pPr>
        <w:keepLines/>
        <w:widowControl w:val="0"/>
        <w:tabs>
          <w:tab w:val="right" w:pos="9072"/>
        </w:tabs>
      </w:pPr>
    </w:p>
    <w:p w14:paraId="51FB825F" w14:textId="77777777" w:rsidR="00D90216" w:rsidRPr="00AB678C" w:rsidRDefault="00D90216" w:rsidP="000F5BFB">
      <w:pPr>
        <w:rPr>
          <w:b/>
        </w:rPr>
      </w:pPr>
      <w:r w:rsidRPr="094D1461">
        <w:rPr>
          <w:b/>
        </w:rPr>
        <w:t>Premiums and Discounts</w:t>
      </w:r>
    </w:p>
    <w:p w14:paraId="38C54D34" w14:textId="77777777" w:rsidR="00D90216" w:rsidRPr="00AB678C" w:rsidRDefault="00D90216" w:rsidP="000F5BFB">
      <w:r>
        <w:t>Premiums are payable and discounts receivable when loans are repaid to the Public Works Loan Board (PWLB) in advance of their contracted maturity date. The premium or discount is calculated with reference to the interest rate on the loan being repaid and the interest rate for similar new loans on the repayment date.</w:t>
      </w:r>
    </w:p>
    <w:p w14:paraId="042FA3CE" w14:textId="77777777" w:rsidR="00D90216" w:rsidRPr="00AB678C" w:rsidRDefault="00D90216" w:rsidP="10271499">
      <w:pPr>
        <w:keepLines/>
        <w:widowControl w:val="0"/>
        <w:tabs>
          <w:tab w:val="right" w:pos="9072"/>
        </w:tabs>
      </w:pPr>
    </w:p>
    <w:p w14:paraId="32ABB622" w14:textId="77777777" w:rsidR="00D90216" w:rsidRPr="00AB678C" w:rsidRDefault="00D90216" w:rsidP="10271499">
      <w:pPr>
        <w:keepLines/>
        <w:widowControl w:val="0"/>
        <w:tabs>
          <w:tab w:val="right" w:pos="9072"/>
        </w:tabs>
        <w:rPr>
          <w:b/>
        </w:rPr>
      </w:pPr>
      <w:r w:rsidRPr="094D1461">
        <w:rPr>
          <w:b/>
        </w:rPr>
        <w:t>Public Works Loan Board (PWLB)</w:t>
      </w:r>
    </w:p>
    <w:p w14:paraId="0076F4D9" w14:textId="77777777" w:rsidR="00D90216" w:rsidRPr="00AB678C" w:rsidRDefault="00D90216" w:rsidP="10271499">
      <w:pPr>
        <w:keepLines/>
        <w:widowControl w:val="0"/>
        <w:tabs>
          <w:tab w:val="right" w:pos="9072"/>
        </w:tabs>
      </w:pPr>
      <w:r>
        <w:t>A government agency which provides longer-term loans to local authorities at interest rates only slightly higher than those at which the government itself can borrow.</w:t>
      </w:r>
    </w:p>
    <w:p w14:paraId="6E9BC8AD" w14:textId="77777777" w:rsidR="00D90216" w:rsidRPr="00AB678C" w:rsidRDefault="00D90216" w:rsidP="10271499">
      <w:pPr>
        <w:keepLines/>
        <w:widowControl w:val="0"/>
        <w:tabs>
          <w:tab w:val="right" w:pos="9072"/>
        </w:tabs>
      </w:pPr>
    </w:p>
    <w:p w14:paraId="696E7641" w14:textId="77777777" w:rsidR="00D90216" w:rsidRPr="00AB678C" w:rsidRDefault="00D90216" w:rsidP="10271499">
      <w:pPr>
        <w:keepLines/>
        <w:widowControl w:val="0"/>
        <w:tabs>
          <w:tab w:val="right" w:pos="9072"/>
        </w:tabs>
        <w:rPr>
          <w:b/>
        </w:rPr>
      </w:pPr>
      <w:r w:rsidRPr="094D1461">
        <w:rPr>
          <w:b/>
        </w:rPr>
        <w:t>Revenue Contribution to Capital Outlay</w:t>
      </w:r>
    </w:p>
    <w:p w14:paraId="4DBB8616" w14:textId="77777777" w:rsidR="00D90216" w:rsidRPr="00AB678C" w:rsidRDefault="00D90216" w:rsidP="10271499">
      <w:pPr>
        <w:keepLines/>
        <w:widowControl w:val="0"/>
        <w:tabs>
          <w:tab w:val="right" w:pos="9072"/>
        </w:tabs>
      </w:pPr>
      <w:r>
        <w:t>The financing of capital expenditure by a direct contribution from revenue account, rather than by means of loan or other forms of finance.</w:t>
      </w:r>
    </w:p>
    <w:p w14:paraId="2E13D81B" w14:textId="77777777" w:rsidR="00D90216" w:rsidRPr="00AB678C" w:rsidRDefault="00D90216" w:rsidP="10271499">
      <w:pPr>
        <w:keepLines/>
        <w:widowControl w:val="0"/>
        <w:tabs>
          <w:tab w:val="right" w:pos="9072"/>
        </w:tabs>
      </w:pPr>
    </w:p>
    <w:p w14:paraId="4A563CAE" w14:textId="77777777" w:rsidR="00D90216" w:rsidRPr="00AB678C" w:rsidRDefault="00D90216" w:rsidP="10271499">
      <w:pPr>
        <w:keepLines/>
        <w:widowControl w:val="0"/>
        <w:tabs>
          <w:tab w:val="right" w:pos="9072"/>
        </w:tabs>
        <w:rPr>
          <w:b/>
        </w:rPr>
      </w:pPr>
      <w:r w:rsidRPr="094D1461">
        <w:rPr>
          <w:b/>
        </w:rPr>
        <w:t>Revenue Expenditure</w:t>
      </w:r>
    </w:p>
    <w:p w14:paraId="609B02BB" w14:textId="7961156C" w:rsidR="00116F83" w:rsidRPr="00B15C36" w:rsidRDefault="00D90216" w:rsidP="10271499">
      <w:pPr>
        <w:keepLines/>
        <w:widowControl w:val="0"/>
        <w:tabs>
          <w:tab w:val="right" w:pos="9072"/>
        </w:tabs>
      </w:pPr>
      <w:r>
        <w:t>The day-to-day expenditure of the Authority, which is charged to the Comprehensive Income &amp; Expenditure Statement, comprising mainly salaries and wages, running costs, and financing charges.</w:t>
      </w:r>
    </w:p>
    <w:sectPr w:rsidR="00116F83" w:rsidRPr="00B15C36" w:rsidSect="0050229D">
      <w:pgSz w:w="11907" w:h="16840" w:code="9"/>
      <w:pgMar w:top="454" w:right="567" w:bottom="39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D913" w14:textId="77777777" w:rsidR="00A477F3" w:rsidRDefault="00A477F3">
      <w:r>
        <w:separator/>
      </w:r>
    </w:p>
  </w:endnote>
  <w:endnote w:type="continuationSeparator" w:id="0">
    <w:p w14:paraId="63D971CC" w14:textId="77777777" w:rsidR="00A477F3" w:rsidRDefault="00A477F3">
      <w:r>
        <w:continuationSeparator/>
      </w:r>
    </w:p>
  </w:endnote>
  <w:endnote w:type="continuationNotice" w:id="1">
    <w:p w14:paraId="2C66CCC4" w14:textId="77777777" w:rsidR="00A477F3" w:rsidRDefault="00A47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FB48" w14:textId="77777777" w:rsidR="00865F1A" w:rsidRDefault="00865F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609" w14:textId="77777777" w:rsidR="00865F1A" w:rsidRDefault="00865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48797CC2" w14:textId="77777777" w:rsidR="00865F1A" w:rsidRDefault="00865F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3A67" w14:textId="77777777" w:rsidR="00A477F3" w:rsidRDefault="00A477F3">
      <w:r>
        <w:separator/>
      </w:r>
    </w:p>
  </w:footnote>
  <w:footnote w:type="continuationSeparator" w:id="0">
    <w:p w14:paraId="76AE9418" w14:textId="77777777" w:rsidR="00A477F3" w:rsidRDefault="00A477F3">
      <w:r>
        <w:continuationSeparator/>
      </w:r>
    </w:p>
  </w:footnote>
  <w:footnote w:type="continuationNotice" w:id="1">
    <w:p w14:paraId="63D8CA2B" w14:textId="77777777" w:rsidR="00A477F3" w:rsidRDefault="00A47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3999" w14:textId="4D97F184" w:rsidR="001651FA" w:rsidRDefault="00000000">
    <w:pPr>
      <w:pStyle w:val="Header"/>
    </w:pPr>
    <w:r>
      <w:rPr>
        <w:noProof/>
      </w:rPr>
      <w:pict w14:anchorId="32750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4" o:spid="_x0000_s1026" type="#_x0000_t136" style="position:absolute;margin-left:0;margin-top:0;width:572.25pt;height:127.15pt;rotation:315;z-index:-251658240;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57E" w14:textId="44DE46C8" w:rsidR="001651FA" w:rsidRDefault="00000000">
    <w:pPr>
      <w:pStyle w:val="Header"/>
    </w:pPr>
    <w:r>
      <w:rPr>
        <w:noProof/>
      </w:rPr>
      <w:pict w14:anchorId="12BF0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5" o:spid="_x0000_s1027" type="#_x0000_t136" style="position:absolute;margin-left:0;margin-top:0;width:572.25pt;height:127.15pt;rotation:315;z-index:-251658239;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6E14" w14:textId="67C3D9B3" w:rsidR="001651FA" w:rsidRDefault="00000000">
    <w:pPr>
      <w:pStyle w:val="Header"/>
    </w:pPr>
    <w:r>
      <w:rPr>
        <w:noProof/>
      </w:rPr>
      <w:pict w14:anchorId="73C50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3" o:spid="_x0000_s1025" type="#_x0000_t136" style="position:absolute;margin-left:0;margin-top:0;width:572.25pt;height:127.15pt;rotation:315;z-index:-251658238;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936" w14:textId="5A7D9AC0" w:rsidR="00865F1A" w:rsidRDefault="00000000">
    <w:pPr>
      <w:pStyle w:val="Header"/>
    </w:pPr>
    <w:r>
      <w:rPr>
        <w:noProof/>
      </w:rPr>
      <w:pict w14:anchorId="6B5FE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7" o:spid="_x0000_s1029" type="#_x0000_t136" style="position:absolute;margin-left:0;margin-top:0;width:572.25pt;height:127.15pt;rotation:315;z-index:-251658237;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A37C" w14:textId="7D07DE49" w:rsidR="00865F1A" w:rsidRPr="003D7559" w:rsidRDefault="00000000" w:rsidP="002F318F">
    <w:pPr>
      <w:pStyle w:val="Header"/>
      <w:rPr>
        <w:sz w:val="22"/>
        <w:szCs w:val="22"/>
      </w:rPr>
    </w:pPr>
    <w:r>
      <w:rPr>
        <w:noProof/>
      </w:rPr>
      <w:pict w14:anchorId="7A0DC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8" o:spid="_x0000_s1030" type="#_x0000_t136" style="position:absolute;margin-left:0;margin-top:0;width:572.25pt;height:127.15pt;rotation:315;z-index:-251658236;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r w:rsidR="00865F1A" w:rsidRPr="003D7559">
      <w:rPr>
        <w:sz w:val="22"/>
        <w:szCs w:val="22"/>
      </w:rPr>
      <w:t>Lancashire Combined Fire Authority</w:t>
    </w:r>
  </w:p>
  <w:p w14:paraId="16CDFC35" w14:textId="4C9E794D" w:rsidR="00004B20" w:rsidRDefault="00865F1A">
    <w:pPr>
      <w:pStyle w:val="Header"/>
      <w:rPr>
        <w:sz w:val="22"/>
        <w:szCs w:val="22"/>
      </w:rPr>
    </w:pPr>
    <w:r w:rsidRPr="003D7559">
      <w:rPr>
        <w:sz w:val="22"/>
        <w:szCs w:val="22"/>
      </w:rPr>
      <w:t xml:space="preserve">Statement of Accounts </w:t>
    </w:r>
    <w:r w:rsidR="001A42DD">
      <w:rPr>
        <w:sz w:val="22"/>
        <w:szCs w:val="22"/>
      </w:rPr>
      <w:t>2025-26</w:t>
    </w:r>
  </w:p>
  <w:p w14:paraId="05C3AD74" w14:textId="77777777" w:rsidR="00ED21C2" w:rsidRPr="002F318F" w:rsidRDefault="00ED21C2">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983" w14:textId="59AFC00A" w:rsidR="00865F1A" w:rsidRDefault="00000000">
    <w:pPr>
      <w:pStyle w:val="Header"/>
    </w:pPr>
    <w:r>
      <w:rPr>
        <w:noProof/>
      </w:rPr>
      <w:pict w14:anchorId="5C02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46096" o:spid="_x0000_s1028" type="#_x0000_t136" style="position:absolute;margin-left:0;margin-top:0;width:572.25pt;height:127.15pt;rotation:315;z-index:-251658235;mso-position-horizontal:center;mso-position-horizontal-relative:margin;mso-position-vertical:center;mso-position-vertical-relative:margin" o:allowincell="f" fillcolor="silver" stroked="f">
          <v:fill opacity=".5"/>
          <v:textpath style="font-family:&quot;Arial&quot;;font-size:1pt" string="UNAUDI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96D"/>
    <w:multiLevelType w:val="hybridMultilevel"/>
    <w:tmpl w:val="241E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403"/>
    <w:multiLevelType w:val="multilevel"/>
    <w:tmpl w:val="8F50608C"/>
    <w:lvl w:ilvl="0">
      <w:start w:val="1"/>
      <w:numFmt w:val="decimal"/>
      <w:pStyle w:val="Bodytextnumbered"/>
      <w:lvlText w:val="%1"/>
      <w:lvlJc w:val="right"/>
      <w:pPr>
        <w:tabs>
          <w:tab w:val="num" w:pos="397"/>
        </w:tabs>
        <w:ind w:left="397" w:hanging="227"/>
      </w:pPr>
      <w:rPr>
        <w:rFonts w:hint="default"/>
        <w:b/>
        <w:i w:val="0"/>
        <w:color w:val="083863"/>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i w:val="0"/>
        <w:color w:val="083863"/>
        <w:sz w:val="20"/>
        <w:szCs w:val="2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A12543"/>
    <w:multiLevelType w:val="hybridMultilevel"/>
    <w:tmpl w:val="7ECAB368"/>
    <w:lvl w:ilvl="0" w:tplc="BF3E21C2">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3" w15:restartNumberingAfterBreak="0">
    <w:nsid w:val="06272E2D"/>
    <w:multiLevelType w:val="hybridMultilevel"/>
    <w:tmpl w:val="3814A038"/>
    <w:lvl w:ilvl="0" w:tplc="D6B461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B521F"/>
    <w:multiLevelType w:val="hybridMultilevel"/>
    <w:tmpl w:val="33BAC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211F7"/>
    <w:multiLevelType w:val="hybridMultilevel"/>
    <w:tmpl w:val="11680D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FA042F"/>
    <w:multiLevelType w:val="hybridMultilevel"/>
    <w:tmpl w:val="ABDA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06A5D"/>
    <w:multiLevelType w:val="hybridMultilevel"/>
    <w:tmpl w:val="99DE52A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5AC2980"/>
    <w:multiLevelType w:val="hybridMultilevel"/>
    <w:tmpl w:val="05CC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D2716"/>
    <w:multiLevelType w:val="hybridMultilevel"/>
    <w:tmpl w:val="767E5D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92421D6"/>
    <w:multiLevelType w:val="hybridMultilevel"/>
    <w:tmpl w:val="A446A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C066C"/>
    <w:multiLevelType w:val="hybridMultilevel"/>
    <w:tmpl w:val="F2EABE9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F20540B"/>
    <w:multiLevelType w:val="hybridMultilevel"/>
    <w:tmpl w:val="BC8E09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1F61496"/>
    <w:multiLevelType w:val="hybridMultilevel"/>
    <w:tmpl w:val="F52AF7D6"/>
    <w:lvl w:ilvl="0" w:tplc="FED4AA18">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4" w15:restartNumberingAfterBreak="0">
    <w:nsid w:val="22F72944"/>
    <w:multiLevelType w:val="hybridMultilevel"/>
    <w:tmpl w:val="88EA13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7D0B9E"/>
    <w:multiLevelType w:val="hybridMultilevel"/>
    <w:tmpl w:val="A62421B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0B011D0"/>
    <w:multiLevelType w:val="hybridMultilevel"/>
    <w:tmpl w:val="3F168F3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8D7242"/>
    <w:multiLevelType w:val="hybridMultilevel"/>
    <w:tmpl w:val="C97C27EA"/>
    <w:lvl w:ilvl="0" w:tplc="9516EDE4">
      <w:start w:val="18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F15DEA"/>
    <w:multiLevelType w:val="hybridMultilevel"/>
    <w:tmpl w:val="528EA10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5E54D0C"/>
    <w:multiLevelType w:val="singleLevel"/>
    <w:tmpl w:val="F02C6FD0"/>
    <w:lvl w:ilvl="0">
      <w:start w:val="1"/>
      <w:numFmt w:val="bullet"/>
      <w:pStyle w:val="Bullets"/>
      <w:lvlText w:val=""/>
      <w:lvlJc w:val="left"/>
      <w:pPr>
        <w:tabs>
          <w:tab w:val="num" w:pos="397"/>
        </w:tabs>
        <w:ind w:left="397" w:hanging="397"/>
      </w:pPr>
      <w:rPr>
        <w:rFonts w:ascii="Wingdings" w:hAnsi="Wingdings" w:hint="default"/>
        <w:sz w:val="12"/>
      </w:rPr>
    </w:lvl>
  </w:abstractNum>
  <w:abstractNum w:abstractNumId="20" w15:restartNumberingAfterBreak="0">
    <w:nsid w:val="36F46C96"/>
    <w:multiLevelType w:val="hybridMultilevel"/>
    <w:tmpl w:val="0FA21E5A"/>
    <w:lvl w:ilvl="0" w:tplc="08090001">
      <w:start w:val="1"/>
      <w:numFmt w:val="bullet"/>
      <w:lvlText w:val=""/>
      <w:lvlJc w:val="left"/>
      <w:pPr>
        <w:tabs>
          <w:tab w:val="num" w:pos="2149"/>
        </w:tabs>
        <w:ind w:left="2149" w:hanging="360"/>
      </w:pPr>
      <w:rPr>
        <w:rFonts w:ascii="Symbol" w:hAnsi="Symbol" w:hint="default"/>
      </w:rPr>
    </w:lvl>
    <w:lvl w:ilvl="1" w:tplc="08090003" w:tentative="1">
      <w:start w:val="1"/>
      <w:numFmt w:val="bullet"/>
      <w:lvlText w:val="o"/>
      <w:lvlJc w:val="left"/>
      <w:pPr>
        <w:tabs>
          <w:tab w:val="num" w:pos="2869"/>
        </w:tabs>
        <w:ind w:left="2869" w:hanging="360"/>
      </w:pPr>
      <w:rPr>
        <w:rFonts w:ascii="Courier New" w:hAnsi="Courier New" w:cs="Courier New" w:hint="default"/>
      </w:rPr>
    </w:lvl>
    <w:lvl w:ilvl="2" w:tplc="08090005" w:tentative="1">
      <w:start w:val="1"/>
      <w:numFmt w:val="bullet"/>
      <w:lvlText w:val=""/>
      <w:lvlJc w:val="left"/>
      <w:pPr>
        <w:tabs>
          <w:tab w:val="num" w:pos="3589"/>
        </w:tabs>
        <w:ind w:left="3589" w:hanging="360"/>
      </w:pPr>
      <w:rPr>
        <w:rFonts w:ascii="Wingdings" w:hAnsi="Wingdings" w:hint="default"/>
      </w:rPr>
    </w:lvl>
    <w:lvl w:ilvl="3" w:tplc="08090001" w:tentative="1">
      <w:start w:val="1"/>
      <w:numFmt w:val="bullet"/>
      <w:lvlText w:val=""/>
      <w:lvlJc w:val="left"/>
      <w:pPr>
        <w:tabs>
          <w:tab w:val="num" w:pos="4309"/>
        </w:tabs>
        <w:ind w:left="4309" w:hanging="360"/>
      </w:pPr>
      <w:rPr>
        <w:rFonts w:ascii="Symbol" w:hAnsi="Symbol" w:hint="default"/>
      </w:rPr>
    </w:lvl>
    <w:lvl w:ilvl="4" w:tplc="08090003" w:tentative="1">
      <w:start w:val="1"/>
      <w:numFmt w:val="bullet"/>
      <w:lvlText w:val="o"/>
      <w:lvlJc w:val="left"/>
      <w:pPr>
        <w:tabs>
          <w:tab w:val="num" w:pos="5029"/>
        </w:tabs>
        <w:ind w:left="5029" w:hanging="360"/>
      </w:pPr>
      <w:rPr>
        <w:rFonts w:ascii="Courier New" w:hAnsi="Courier New" w:cs="Courier New" w:hint="default"/>
      </w:rPr>
    </w:lvl>
    <w:lvl w:ilvl="5" w:tplc="08090005" w:tentative="1">
      <w:start w:val="1"/>
      <w:numFmt w:val="bullet"/>
      <w:lvlText w:val=""/>
      <w:lvlJc w:val="left"/>
      <w:pPr>
        <w:tabs>
          <w:tab w:val="num" w:pos="5749"/>
        </w:tabs>
        <w:ind w:left="5749" w:hanging="360"/>
      </w:pPr>
      <w:rPr>
        <w:rFonts w:ascii="Wingdings" w:hAnsi="Wingdings" w:hint="default"/>
      </w:rPr>
    </w:lvl>
    <w:lvl w:ilvl="6" w:tplc="08090001" w:tentative="1">
      <w:start w:val="1"/>
      <w:numFmt w:val="bullet"/>
      <w:lvlText w:val=""/>
      <w:lvlJc w:val="left"/>
      <w:pPr>
        <w:tabs>
          <w:tab w:val="num" w:pos="6469"/>
        </w:tabs>
        <w:ind w:left="6469" w:hanging="360"/>
      </w:pPr>
      <w:rPr>
        <w:rFonts w:ascii="Symbol" w:hAnsi="Symbol" w:hint="default"/>
      </w:rPr>
    </w:lvl>
    <w:lvl w:ilvl="7" w:tplc="08090003" w:tentative="1">
      <w:start w:val="1"/>
      <w:numFmt w:val="bullet"/>
      <w:lvlText w:val="o"/>
      <w:lvlJc w:val="left"/>
      <w:pPr>
        <w:tabs>
          <w:tab w:val="num" w:pos="7189"/>
        </w:tabs>
        <w:ind w:left="7189" w:hanging="360"/>
      </w:pPr>
      <w:rPr>
        <w:rFonts w:ascii="Courier New" w:hAnsi="Courier New" w:cs="Courier New" w:hint="default"/>
      </w:rPr>
    </w:lvl>
    <w:lvl w:ilvl="8" w:tplc="08090005" w:tentative="1">
      <w:start w:val="1"/>
      <w:numFmt w:val="bullet"/>
      <w:lvlText w:val=""/>
      <w:lvlJc w:val="left"/>
      <w:pPr>
        <w:tabs>
          <w:tab w:val="num" w:pos="7909"/>
        </w:tabs>
        <w:ind w:left="7909" w:hanging="360"/>
      </w:pPr>
      <w:rPr>
        <w:rFonts w:ascii="Wingdings" w:hAnsi="Wingdings" w:hint="default"/>
      </w:rPr>
    </w:lvl>
  </w:abstractNum>
  <w:abstractNum w:abstractNumId="21" w15:restartNumberingAfterBreak="0">
    <w:nsid w:val="383D36BA"/>
    <w:multiLevelType w:val="hybridMultilevel"/>
    <w:tmpl w:val="89B2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97202"/>
    <w:multiLevelType w:val="hybridMultilevel"/>
    <w:tmpl w:val="EBBC1B8C"/>
    <w:lvl w:ilvl="0" w:tplc="B12A20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1DE34B4"/>
    <w:multiLevelType w:val="hybridMultilevel"/>
    <w:tmpl w:val="648E1CFA"/>
    <w:lvl w:ilvl="0" w:tplc="9516EDE4">
      <w:start w:val="1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C3B5B"/>
    <w:multiLevelType w:val="hybridMultilevel"/>
    <w:tmpl w:val="995A9A00"/>
    <w:lvl w:ilvl="0" w:tplc="07243122">
      <w:start w:val="4"/>
      <w:numFmt w:val="lowerRoman"/>
      <w:lvlText w:val="%1)"/>
      <w:lvlJc w:val="left"/>
      <w:pPr>
        <w:tabs>
          <w:tab w:val="num" w:pos="2160"/>
        </w:tabs>
        <w:ind w:left="2160" w:hanging="720"/>
      </w:pPr>
      <w:rPr>
        <w:rFonts w:hint="default"/>
      </w:rPr>
    </w:lvl>
    <w:lvl w:ilvl="1" w:tplc="5F906F5C">
      <w:start w:val="8"/>
      <w:numFmt w:val="decimal"/>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5" w15:restartNumberingAfterBreak="0">
    <w:nsid w:val="44A24F3B"/>
    <w:multiLevelType w:val="multilevel"/>
    <w:tmpl w:val="CBC28D86"/>
    <w:lvl w:ilvl="0">
      <w:start w:val="1"/>
      <w:numFmt w:val="bullet"/>
      <w:pStyle w:val="Bullet1"/>
      <w:lvlText w:val=""/>
      <w:lvlJc w:val="left"/>
      <w:pPr>
        <w:tabs>
          <w:tab w:val="num" w:pos="794"/>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Sabo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abo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abon"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B31BBA"/>
    <w:multiLevelType w:val="hybridMultilevel"/>
    <w:tmpl w:val="950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97D12"/>
    <w:multiLevelType w:val="hybridMultilevel"/>
    <w:tmpl w:val="E152A368"/>
    <w:lvl w:ilvl="0" w:tplc="8C342F3E">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8" w15:restartNumberingAfterBreak="0">
    <w:nsid w:val="47A7026C"/>
    <w:multiLevelType w:val="hybridMultilevel"/>
    <w:tmpl w:val="1E32C058"/>
    <w:lvl w:ilvl="0" w:tplc="08090001">
      <w:start w:val="1"/>
      <w:numFmt w:val="bullet"/>
      <w:lvlText w:val=""/>
      <w:lvlJc w:val="left"/>
      <w:pPr>
        <w:tabs>
          <w:tab w:val="num" w:pos="1490"/>
        </w:tabs>
        <w:ind w:left="1490" w:hanging="360"/>
      </w:pPr>
      <w:rPr>
        <w:rFonts w:ascii="Symbol" w:hAnsi="Symbol" w:hint="default"/>
      </w:rPr>
    </w:lvl>
    <w:lvl w:ilvl="1" w:tplc="08090003" w:tentative="1">
      <w:start w:val="1"/>
      <w:numFmt w:val="bullet"/>
      <w:lvlText w:val="o"/>
      <w:lvlJc w:val="left"/>
      <w:pPr>
        <w:tabs>
          <w:tab w:val="num" w:pos="2210"/>
        </w:tabs>
        <w:ind w:left="2210" w:hanging="360"/>
      </w:pPr>
      <w:rPr>
        <w:rFonts w:ascii="Courier New" w:hAnsi="Courier New" w:cs="Courier New" w:hint="default"/>
      </w:rPr>
    </w:lvl>
    <w:lvl w:ilvl="2" w:tplc="08090005" w:tentative="1">
      <w:start w:val="1"/>
      <w:numFmt w:val="bullet"/>
      <w:lvlText w:val=""/>
      <w:lvlJc w:val="left"/>
      <w:pPr>
        <w:tabs>
          <w:tab w:val="num" w:pos="2930"/>
        </w:tabs>
        <w:ind w:left="2930" w:hanging="360"/>
      </w:pPr>
      <w:rPr>
        <w:rFonts w:ascii="Wingdings" w:hAnsi="Wingdings" w:hint="default"/>
      </w:rPr>
    </w:lvl>
    <w:lvl w:ilvl="3" w:tplc="08090001" w:tentative="1">
      <w:start w:val="1"/>
      <w:numFmt w:val="bullet"/>
      <w:lvlText w:val=""/>
      <w:lvlJc w:val="left"/>
      <w:pPr>
        <w:tabs>
          <w:tab w:val="num" w:pos="3650"/>
        </w:tabs>
        <w:ind w:left="3650" w:hanging="360"/>
      </w:pPr>
      <w:rPr>
        <w:rFonts w:ascii="Symbol" w:hAnsi="Symbol" w:hint="default"/>
      </w:rPr>
    </w:lvl>
    <w:lvl w:ilvl="4" w:tplc="08090003" w:tentative="1">
      <w:start w:val="1"/>
      <w:numFmt w:val="bullet"/>
      <w:lvlText w:val="o"/>
      <w:lvlJc w:val="left"/>
      <w:pPr>
        <w:tabs>
          <w:tab w:val="num" w:pos="4370"/>
        </w:tabs>
        <w:ind w:left="4370" w:hanging="360"/>
      </w:pPr>
      <w:rPr>
        <w:rFonts w:ascii="Courier New" w:hAnsi="Courier New" w:cs="Courier New" w:hint="default"/>
      </w:rPr>
    </w:lvl>
    <w:lvl w:ilvl="5" w:tplc="08090005" w:tentative="1">
      <w:start w:val="1"/>
      <w:numFmt w:val="bullet"/>
      <w:lvlText w:val=""/>
      <w:lvlJc w:val="left"/>
      <w:pPr>
        <w:tabs>
          <w:tab w:val="num" w:pos="5090"/>
        </w:tabs>
        <w:ind w:left="5090" w:hanging="360"/>
      </w:pPr>
      <w:rPr>
        <w:rFonts w:ascii="Wingdings" w:hAnsi="Wingdings" w:hint="default"/>
      </w:rPr>
    </w:lvl>
    <w:lvl w:ilvl="6" w:tplc="08090001" w:tentative="1">
      <w:start w:val="1"/>
      <w:numFmt w:val="bullet"/>
      <w:lvlText w:val=""/>
      <w:lvlJc w:val="left"/>
      <w:pPr>
        <w:tabs>
          <w:tab w:val="num" w:pos="5810"/>
        </w:tabs>
        <w:ind w:left="5810" w:hanging="360"/>
      </w:pPr>
      <w:rPr>
        <w:rFonts w:ascii="Symbol" w:hAnsi="Symbol" w:hint="default"/>
      </w:rPr>
    </w:lvl>
    <w:lvl w:ilvl="7" w:tplc="08090003" w:tentative="1">
      <w:start w:val="1"/>
      <w:numFmt w:val="bullet"/>
      <w:lvlText w:val="o"/>
      <w:lvlJc w:val="left"/>
      <w:pPr>
        <w:tabs>
          <w:tab w:val="num" w:pos="6530"/>
        </w:tabs>
        <w:ind w:left="6530" w:hanging="360"/>
      </w:pPr>
      <w:rPr>
        <w:rFonts w:ascii="Courier New" w:hAnsi="Courier New" w:cs="Courier New" w:hint="default"/>
      </w:rPr>
    </w:lvl>
    <w:lvl w:ilvl="8" w:tplc="08090005" w:tentative="1">
      <w:start w:val="1"/>
      <w:numFmt w:val="bullet"/>
      <w:lvlText w:val=""/>
      <w:lvlJc w:val="left"/>
      <w:pPr>
        <w:tabs>
          <w:tab w:val="num" w:pos="7250"/>
        </w:tabs>
        <w:ind w:left="7250" w:hanging="360"/>
      </w:pPr>
      <w:rPr>
        <w:rFonts w:ascii="Wingdings" w:hAnsi="Wingdings" w:hint="default"/>
      </w:rPr>
    </w:lvl>
  </w:abstractNum>
  <w:abstractNum w:abstractNumId="29" w15:restartNumberingAfterBreak="0">
    <w:nsid w:val="480C43AD"/>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F773D89"/>
    <w:multiLevelType w:val="hybridMultilevel"/>
    <w:tmpl w:val="CB400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B21E4"/>
    <w:multiLevelType w:val="hybridMultilevel"/>
    <w:tmpl w:val="A49C75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1EA56AB"/>
    <w:multiLevelType w:val="hybridMultilevel"/>
    <w:tmpl w:val="F4B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375D0"/>
    <w:multiLevelType w:val="hybridMultilevel"/>
    <w:tmpl w:val="EF4239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58395677"/>
    <w:multiLevelType w:val="hybridMultilevel"/>
    <w:tmpl w:val="F8FC87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CC761C"/>
    <w:multiLevelType w:val="hybridMultilevel"/>
    <w:tmpl w:val="E46A6498"/>
    <w:lvl w:ilvl="0" w:tplc="08090001">
      <w:start w:val="1"/>
      <w:numFmt w:val="bullet"/>
      <w:lvlText w:val=""/>
      <w:lvlJc w:val="left"/>
      <w:pPr>
        <w:tabs>
          <w:tab w:val="num" w:pos="2216"/>
        </w:tabs>
        <w:ind w:left="2216" w:hanging="360"/>
      </w:pPr>
      <w:rPr>
        <w:rFonts w:ascii="Symbol" w:hAnsi="Symbol" w:hint="default"/>
      </w:rPr>
    </w:lvl>
    <w:lvl w:ilvl="1" w:tplc="08090003" w:tentative="1">
      <w:start w:val="1"/>
      <w:numFmt w:val="bullet"/>
      <w:lvlText w:val="o"/>
      <w:lvlJc w:val="left"/>
      <w:pPr>
        <w:tabs>
          <w:tab w:val="num" w:pos="2936"/>
        </w:tabs>
        <w:ind w:left="2936" w:hanging="360"/>
      </w:pPr>
      <w:rPr>
        <w:rFonts w:ascii="Courier New" w:hAnsi="Courier New" w:cs="Courier New" w:hint="default"/>
      </w:rPr>
    </w:lvl>
    <w:lvl w:ilvl="2" w:tplc="08090005" w:tentative="1">
      <w:start w:val="1"/>
      <w:numFmt w:val="bullet"/>
      <w:lvlText w:val=""/>
      <w:lvlJc w:val="left"/>
      <w:pPr>
        <w:tabs>
          <w:tab w:val="num" w:pos="3656"/>
        </w:tabs>
        <w:ind w:left="3656" w:hanging="360"/>
      </w:pPr>
      <w:rPr>
        <w:rFonts w:ascii="Wingdings" w:hAnsi="Wingdings" w:hint="default"/>
      </w:rPr>
    </w:lvl>
    <w:lvl w:ilvl="3" w:tplc="08090001" w:tentative="1">
      <w:start w:val="1"/>
      <w:numFmt w:val="bullet"/>
      <w:lvlText w:val=""/>
      <w:lvlJc w:val="left"/>
      <w:pPr>
        <w:tabs>
          <w:tab w:val="num" w:pos="4376"/>
        </w:tabs>
        <w:ind w:left="4376" w:hanging="360"/>
      </w:pPr>
      <w:rPr>
        <w:rFonts w:ascii="Symbol" w:hAnsi="Symbol" w:hint="default"/>
      </w:rPr>
    </w:lvl>
    <w:lvl w:ilvl="4" w:tplc="08090003" w:tentative="1">
      <w:start w:val="1"/>
      <w:numFmt w:val="bullet"/>
      <w:lvlText w:val="o"/>
      <w:lvlJc w:val="left"/>
      <w:pPr>
        <w:tabs>
          <w:tab w:val="num" w:pos="5096"/>
        </w:tabs>
        <w:ind w:left="5096" w:hanging="360"/>
      </w:pPr>
      <w:rPr>
        <w:rFonts w:ascii="Courier New" w:hAnsi="Courier New" w:cs="Courier New" w:hint="default"/>
      </w:rPr>
    </w:lvl>
    <w:lvl w:ilvl="5" w:tplc="08090005" w:tentative="1">
      <w:start w:val="1"/>
      <w:numFmt w:val="bullet"/>
      <w:lvlText w:val=""/>
      <w:lvlJc w:val="left"/>
      <w:pPr>
        <w:tabs>
          <w:tab w:val="num" w:pos="5816"/>
        </w:tabs>
        <w:ind w:left="5816" w:hanging="360"/>
      </w:pPr>
      <w:rPr>
        <w:rFonts w:ascii="Wingdings" w:hAnsi="Wingdings" w:hint="default"/>
      </w:rPr>
    </w:lvl>
    <w:lvl w:ilvl="6" w:tplc="08090001" w:tentative="1">
      <w:start w:val="1"/>
      <w:numFmt w:val="bullet"/>
      <w:lvlText w:val=""/>
      <w:lvlJc w:val="left"/>
      <w:pPr>
        <w:tabs>
          <w:tab w:val="num" w:pos="6536"/>
        </w:tabs>
        <w:ind w:left="6536" w:hanging="360"/>
      </w:pPr>
      <w:rPr>
        <w:rFonts w:ascii="Symbol" w:hAnsi="Symbol" w:hint="default"/>
      </w:rPr>
    </w:lvl>
    <w:lvl w:ilvl="7" w:tplc="08090003" w:tentative="1">
      <w:start w:val="1"/>
      <w:numFmt w:val="bullet"/>
      <w:lvlText w:val="o"/>
      <w:lvlJc w:val="left"/>
      <w:pPr>
        <w:tabs>
          <w:tab w:val="num" w:pos="7256"/>
        </w:tabs>
        <w:ind w:left="7256" w:hanging="360"/>
      </w:pPr>
      <w:rPr>
        <w:rFonts w:ascii="Courier New" w:hAnsi="Courier New" w:cs="Courier New" w:hint="default"/>
      </w:rPr>
    </w:lvl>
    <w:lvl w:ilvl="8" w:tplc="08090005" w:tentative="1">
      <w:start w:val="1"/>
      <w:numFmt w:val="bullet"/>
      <w:lvlText w:val=""/>
      <w:lvlJc w:val="left"/>
      <w:pPr>
        <w:tabs>
          <w:tab w:val="num" w:pos="7976"/>
        </w:tabs>
        <w:ind w:left="7976" w:hanging="360"/>
      </w:pPr>
      <w:rPr>
        <w:rFonts w:ascii="Wingdings" w:hAnsi="Wingdings" w:hint="default"/>
      </w:rPr>
    </w:lvl>
  </w:abstractNum>
  <w:abstractNum w:abstractNumId="36" w15:restartNumberingAfterBreak="0">
    <w:nsid w:val="5F8BEB90"/>
    <w:multiLevelType w:val="hybridMultilevel"/>
    <w:tmpl w:val="10421C4C"/>
    <w:lvl w:ilvl="0" w:tplc="039CF29E">
      <w:start w:val="1"/>
      <w:numFmt w:val="bullet"/>
      <w:lvlText w:val=""/>
      <w:lvlJc w:val="left"/>
      <w:pPr>
        <w:ind w:left="1800" w:hanging="360"/>
      </w:pPr>
      <w:rPr>
        <w:rFonts w:ascii="Symbol" w:hAnsi="Symbol" w:hint="default"/>
      </w:rPr>
    </w:lvl>
    <w:lvl w:ilvl="1" w:tplc="40D22204">
      <w:start w:val="1"/>
      <w:numFmt w:val="bullet"/>
      <w:lvlText w:val="o"/>
      <w:lvlJc w:val="left"/>
      <w:pPr>
        <w:ind w:left="2520" w:hanging="360"/>
      </w:pPr>
      <w:rPr>
        <w:rFonts w:ascii="Courier New" w:hAnsi="Courier New" w:hint="default"/>
      </w:rPr>
    </w:lvl>
    <w:lvl w:ilvl="2" w:tplc="4648C1D6">
      <w:start w:val="1"/>
      <w:numFmt w:val="bullet"/>
      <w:lvlText w:val=""/>
      <w:lvlJc w:val="left"/>
      <w:pPr>
        <w:ind w:left="3240" w:hanging="360"/>
      </w:pPr>
      <w:rPr>
        <w:rFonts w:ascii="Wingdings" w:hAnsi="Wingdings" w:hint="default"/>
      </w:rPr>
    </w:lvl>
    <w:lvl w:ilvl="3" w:tplc="CE289466">
      <w:start w:val="1"/>
      <w:numFmt w:val="bullet"/>
      <w:lvlText w:val=""/>
      <w:lvlJc w:val="left"/>
      <w:pPr>
        <w:ind w:left="3960" w:hanging="360"/>
      </w:pPr>
      <w:rPr>
        <w:rFonts w:ascii="Symbol" w:hAnsi="Symbol" w:hint="default"/>
      </w:rPr>
    </w:lvl>
    <w:lvl w:ilvl="4" w:tplc="8DB6ED8A">
      <w:start w:val="1"/>
      <w:numFmt w:val="bullet"/>
      <w:lvlText w:val="o"/>
      <w:lvlJc w:val="left"/>
      <w:pPr>
        <w:ind w:left="4680" w:hanging="360"/>
      </w:pPr>
      <w:rPr>
        <w:rFonts w:ascii="Courier New" w:hAnsi="Courier New" w:hint="default"/>
      </w:rPr>
    </w:lvl>
    <w:lvl w:ilvl="5" w:tplc="87228472">
      <w:start w:val="1"/>
      <w:numFmt w:val="bullet"/>
      <w:lvlText w:val=""/>
      <w:lvlJc w:val="left"/>
      <w:pPr>
        <w:ind w:left="5400" w:hanging="360"/>
      </w:pPr>
      <w:rPr>
        <w:rFonts w:ascii="Wingdings" w:hAnsi="Wingdings" w:hint="default"/>
      </w:rPr>
    </w:lvl>
    <w:lvl w:ilvl="6" w:tplc="B0D8F0D4">
      <w:start w:val="1"/>
      <w:numFmt w:val="bullet"/>
      <w:lvlText w:val=""/>
      <w:lvlJc w:val="left"/>
      <w:pPr>
        <w:ind w:left="6120" w:hanging="360"/>
      </w:pPr>
      <w:rPr>
        <w:rFonts w:ascii="Symbol" w:hAnsi="Symbol" w:hint="default"/>
      </w:rPr>
    </w:lvl>
    <w:lvl w:ilvl="7" w:tplc="78F011A2">
      <w:start w:val="1"/>
      <w:numFmt w:val="bullet"/>
      <w:lvlText w:val="o"/>
      <w:lvlJc w:val="left"/>
      <w:pPr>
        <w:ind w:left="6840" w:hanging="360"/>
      </w:pPr>
      <w:rPr>
        <w:rFonts w:ascii="Courier New" w:hAnsi="Courier New" w:hint="default"/>
      </w:rPr>
    </w:lvl>
    <w:lvl w:ilvl="8" w:tplc="B4023082">
      <w:start w:val="1"/>
      <w:numFmt w:val="bullet"/>
      <w:lvlText w:val=""/>
      <w:lvlJc w:val="left"/>
      <w:pPr>
        <w:ind w:left="7560" w:hanging="360"/>
      </w:pPr>
      <w:rPr>
        <w:rFonts w:ascii="Wingdings" w:hAnsi="Wingdings" w:hint="default"/>
      </w:rPr>
    </w:lvl>
  </w:abstractNum>
  <w:abstractNum w:abstractNumId="37" w15:restartNumberingAfterBreak="0">
    <w:nsid w:val="60490B0E"/>
    <w:multiLevelType w:val="hybridMultilevel"/>
    <w:tmpl w:val="4418A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543278"/>
    <w:multiLevelType w:val="hybridMultilevel"/>
    <w:tmpl w:val="AB0C8A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40" w15:restartNumberingAfterBreak="0">
    <w:nsid w:val="61F82309"/>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41" w15:restartNumberingAfterBreak="0">
    <w:nsid w:val="640B3A81"/>
    <w:multiLevelType w:val="hybridMultilevel"/>
    <w:tmpl w:val="FC26F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0C1C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EB7F3D"/>
    <w:multiLevelType w:val="hybridMultilevel"/>
    <w:tmpl w:val="1884EEB6"/>
    <w:lvl w:ilvl="0" w:tplc="AB626CF8">
      <w:start w:val="1"/>
      <w:numFmt w:val="bullet"/>
      <w:lvlText w:val=""/>
      <w:lvlJc w:val="left"/>
      <w:pPr>
        <w:tabs>
          <w:tab w:val="num" w:pos="284"/>
        </w:tabs>
        <w:ind w:left="284" w:hanging="284"/>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4E42D1"/>
    <w:multiLevelType w:val="hybridMultilevel"/>
    <w:tmpl w:val="FF726B28"/>
    <w:lvl w:ilvl="0" w:tplc="335A57E2">
      <w:start w:val="18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C45D97"/>
    <w:multiLevelType w:val="singleLevel"/>
    <w:tmpl w:val="23A48BB8"/>
    <w:lvl w:ilvl="0">
      <w:start w:val="1"/>
      <w:numFmt w:val="bullet"/>
      <w:lvlText w:val=""/>
      <w:lvlJc w:val="left"/>
      <w:pPr>
        <w:tabs>
          <w:tab w:val="num" w:pos="720"/>
        </w:tabs>
        <w:ind w:left="720" w:hanging="720"/>
      </w:pPr>
      <w:rPr>
        <w:rFonts w:ascii="Symbol" w:hAnsi="Symbol" w:hint="default"/>
      </w:rPr>
    </w:lvl>
  </w:abstractNum>
  <w:abstractNum w:abstractNumId="46" w15:restartNumberingAfterBreak="0">
    <w:nsid w:val="79B27A8E"/>
    <w:multiLevelType w:val="hybridMultilevel"/>
    <w:tmpl w:val="DCF8B550"/>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7" w15:restartNumberingAfterBreak="0">
    <w:nsid w:val="7BBF1565"/>
    <w:multiLevelType w:val="hybridMultilevel"/>
    <w:tmpl w:val="BF0839BC"/>
    <w:lvl w:ilvl="0" w:tplc="6F48BC0C">
      <w:start w:val="186"/>
      <w:numFmt w:val="bullet"/>
      <w:lvlText w:val="-"/>
      <w:lvlJc w:val="left"/>
      <w:pPr>
        <w:ind w:left="472" w:hanging="360"/>
      </w:pPr>
      <w:rPr>
        <w:rFonts w:ascii="Arial" w:eastAsia="Times New Roman"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48" w15:restartNumberingAfterBreak="0">
    <w:nsid w:val="7C947C1B"/>
    <w:multiLevelType w:val="hybridMultilevel"/>
    <w:tmpl w:val="F1A0194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7F8C6B95"/>
    <w:multiLevelType w:val="hybridMultilevel"/>
    <w:tmpl w:val="DDEC4CA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16cid:durableId="214856021">
    <w:abstractNumId w:val="36"/>
  </w:num>
  <w:num w:numId="2" w16cid:durableId="1190297219">
    <w:abstractNumId w:val="19"/>
  </w:num>
  <w:num w:numId="3" w16cid:durableId="2141334774">
    <w:abstractNumId w:val="1"/>
  </w:num>
  <w:num w:numId="4" w16cid:durableId="856650926">
    <w:abstractNumId w:val="25"/>
  </w:num>
  <w:num w:numId="5" w16cid:durableId="849225146">
    <w:abstractNumId w:val="42"/>
  </w:num>
  <w:num w:numId="6" w16cid:durableId="1564947889">
    <w:abstractNumId w:val="29"/>
  </w:num>
  <w:num w:numId="7" w16cid:durableId="1257321723">
    <w:abstractNumId w:val="45"/>
  </w:num>
  <w:num w:numId="8" w16cid:durableId="1426195552">
    <w:abstractNumId w:val="11"/>
  </w:num>
  <w:num w:numId="9" w16cid:durableId="1787850570">
    <w:abstractNumId w:val="34"/>
  </w:num>
  <w:num w:numId="10" w16cid:durableId="481237762">
    <w:abstractNumId w:val="7"/>
  </w:num>
  <w:num w:numId="11" w16cid:durableId="241763646">
    <w:abstractNumId w:val="15"/>
  </w:num>
  <w:num w:numId="12" w16cid:durableId="701587304">
    <w:abstractNumId w:val="9"/>
  </w:num>
  <w:num w:numId="13" w16cid:durableId="1043560006">
    <w:abstractNumId w:val="20"/>
  </w:num>
  <w:num w:numId="14" w16cid:durableId="1721705196">
    <w:abstractNumId w:val="28"/>
  </w:num>
  <w:num w:numId="15" w16cid:durableId="508568227">
    <w:abstractNumId w:val="4"/>
  </w:num>
  <w:num w:numId="16" w16cid:durableId="709691427">
    <w:abstractNumId w:val="48"/>
  </w:num>
  <w:num w:numId="17" w16cid:durableId="1067847930">
    <w:abstractNumId w:val="46"/>
  </w:num>
  <w:num w:numId="18" w16cid:durableId="2010517222">
    <w:abstractNumId w:val="49"/>
  </w:num>
  <w:num w:numId="19" w16cid:durableId="1043598923">
    <w:abstractNumId w:val="12"/>
  </w:num>
  <w:num w:numId="20" w16cid:durableId="1424572668">
    <w:abstractNumId w:val="18"/>
  </w:num>
  <w:num w:numId="21" w16cid:durableId="81487555">
    <w:abstractNumId w:val="24"/>
  </w:num>
  <w:num w:numId="22" w16cid:durableId="243995930">
    <w:abstractNumId w:val="35"/>
  </w:num>
  <w:num w:numId="23" w16cid:durableId="848643638">
    <w:abstractNumId w:val="31"/>
  </w:num>
  <w:num w:numId="24" w16cid:durableId="329604137">
    <w:abstractNumId w:val="2"/>
  </w:num>
  <w:num w:numId="25" w16cid:durableId="280116307">
    <w:abstractNumId w:val="13"/>
  </w:num>
  <w:num w:numId="26" w16cid:durableId="798649872">
    <w:abstractNumId w:val="47"/>
  </w:num>
  <w:num w:numId="27" w16cid:durableId="2082174097">
    <w:abstractNumId w:val="27"/>
  </w:num>
  <w:num w:numId="28" w16cid:durableId="1276446120">
    <w:abstractNumId w:val="44"/>
  </w:num>
  <w:num w:numId="29" w16cid:durableId="786584060">
    <w:abstractNumId w:val="17"/>
  </w:num>
  <w:num w:numId="30" w16cid:durableId="337587335">
    <w:abstractNumId w:val="40"/>
  </w:num>
  <w:num w:numId="31" w16cid:durableId="1333533934">
    <w:abstractNumId w:val="43"/>
  </w:num>
  <w:num w:numId="32" w16cid:durableId="1470049257">
    <w:abstractNumId w:val="38"/>
  </w:num>
  <w:num w:numId="33" w16cid:durableId="1742210348">
    <w:abstractNumId w:val="41"/>
  </w:num>
  <w:num w:numId="34" w16cid:durableId="2018192096">
    <w:abstractNumId w:val="5"/>
  </w:num>
  <w:num w:numId="35" w16cid:durableId="1005740120">
    <w:abstractNumId w:val="21"/>
  </w:num>
  <w:num w:numId="36" w16cid:durableId="1147894387">
    <w:abstractNumId w:val="32"/>
  </w:num>
  <w:num w:numId="37" w16cid:durableId="316106286">
    <w:abstractNumId w:val="30"/>
  </w:num>
  <w:num w:numId="38" w16cid:durableId="602685835">
    <w:abstractNumId w:val="33"/>
  </w:num>
  <w:num w:numId="39" w16cid:durableId="848371889">
    <w:abstractNumId w:val="39"/>
  </w:num>
  <w:num w:numId="40" w16cid:durableId="1572234239">
    <w:abstractNumId w:val="3"/>
  </w:num>
  <w:num w:numId="41" w16cid:durableId="1210336782">
    <w:abstractNumId w:val="23"/>
  </w:num>
  <w:num w:numId="42" w16cid:durableId="129590628">
    <w:abstractNumId w:val="6"/>
  </w:num>
  <w:num w:numId="43" w16cid:durableId="865800621">
    <w:abstractNumId w:val="26"/>
  </w:num>
  <w:num w:numId="44" w16cid:durableId="1018968834">
    <w:abstractNumId w:val="0"/>
  </w:num>
  <w:num w:numId="45" w16cid:durableId="339115734">
    <w:abstractNumId w:val="10"/>
  </w:num>
  <w:num w:numId="46" w16cid:durableId="102924157">
    <w:abstractNumId w:val="16"/>
  </w:num>
  <w:num w:numId="47" w16cid:durableId="958222104">
    <w:abstractNumId w:val="8"/>
  </w:num>
  <w:num w:numId="48" w16cid:durableId="1639723915">
    <w:abstractNumId w:val="14"/>
  </w:num>
  <w:num w:numId="49" w16cid:durableId="1903253885">
    <w:abstractNumId w:val="37"/>
  </w:num>
  <w:num w:numId="50" w16cid:durableId="46298408">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4"/>
    <w:rsid w:val="0000067B"/>
    <w:rsid w:val="00000B3D"/>
    <w:rsid w:val="00000C47"/>
    <w:rsid w:val="000015AB"/>
    <w:rsid w:val="000018DE"/>
    <w:rsid w:val="00001BF5"/>
    <w:rsid w:val="00002055"/>
    <w:rsid w:val="0000209D"/>
    <w:rsid w:val="000025A3"/>
    <w:rsid w:val="000025D5"/>
    <w:rsid w:val="0000263D"/>
    <w:rsid w:val="00002901"/>
    <w:rsid w:val="00002924"/>
    <w:rsid w:val="000032C4"/>
    <w:rsid w:val="0000336D"/>
    <w:rsid w:val="00003377"/>
    <w:rsid w:val="000033D1"/>
    <w:rsid w:val="00003462"/>
    <w:rsid w:val="000035CB"/>
    <w:rsid w:val="00003B55"/>
    <w:rsid w:val="00003D7C"/>
    <w:rsid w:val="00003E3A"/>
    <w:rsid w:val="0000403B"/>
    <w:rsid w:val="00004046"/>
    <w:rsid w:val="000044E4"/>
    <w:rsid w:val="00004699"/>
    <w:rsid w:val="0000477D"/>
    <w:rsid w:val="00004B20"/>
    <w:rsid w:val="00004E49"/>
    <w:rsid w:val="0000572C"/>
    <w:rsid w:val="0000622E"/>
    <w:rsid w:val="0000629B"/>
    <w:rsid w:val="00006532"/>
    <w:rsid w:val="0000665E"/>
    <w:rsid w:val="00006BEA"/>
    <w:rsid w:val="00006EAA"/>
    <w:rsid w:val="000071E9"/>
    <w:rsid w:val="0000789F"/>
    <w:rsid w:val="00007DD9"/>
    <w:rsid w:val="000100F8"/>
    <w:rsid w:val="000102DF"/>
    <w:rsid w:val="00010719"/>
    <w:rsid w:val="000109F8"/>
    <w:rsid w:val="00010C11"/>
    <w:rsid w:val="00010CC9"/>
    <w:rsid w:val="00010E1A"/>
    <w:rsid w:val="000110C9"/>
    <w:rsid w:val="000116A2"/>
    <w:rsid w:val="00011A9B"/>
    <w:rsid w:val="00011B1E"/>
    <w:rsid w:val="00011D83"/>
    <w:rsid w:val="00011E3D"/>
    <w:rsid w:val="0001227C"/>
    <w:rsid w:val="000125F5"/>
    <w:rsid w:val="00012675"/>
    <w:rsid w:val="000127B3"/>
    <w:rsid w:val="00013537"/>
    <w:rsid w:val="0001394D"/>
    <w:rsid w:val="00013CD4"/>
    <w:rsid w:val="000143DD"/>
    <w:rsid w:val="00014622"/>
    <w:rsid w:val="00014CE5"/>
    <w:rsid w:val="00015000"/>
    <w:rsid w:val="0001516C"/>
    <w:rsid w:val="00015204"/>
    <w:rsid w:val="00016167"/>
    <w:rsid w:val="0001633D"/>
    <w:rsid w:val="00016E91"/>
    <w:rsid w:val="00016F2E"/>
    <w:rsid w:val="00016F55"/>
    <w:rsid w:val="00016FF5"/>
    <w:rsid w:val="00017786"/>
    <w:rsid w:val="00017A79"/>
    <w:rsid w:val="00017A89"/>
    <w:rsid w:val="00017ADA"/>
    <w:rsid w:val="00017DF0"/>
    <w:rsid w:val="0002022D"/>
    <w:rsid w:val="0002057D"/>
    <w:rsid w:val="0002058D"/>
    <w:rsid w:val="0002063B"/>
    <w:rsid w:val="000206F5"/>
    <w:rsid w:val="0002071C"/>
    <w:rsid w:val="000209B1"/>
    <w:rsid w:val="00020EDF"/>
    <w:rsid w:val="000211AD"/>
    <w:rsid w:val="0002177D"/>
    <w:rsid w:val="00021F7E"/>
    <w:rsid w:val="00022360"/>
    <w:rsid w:val="00022699"/>
    <w:rsid w:val="00022E5A"/>
    <w:rsid w:val="00022F68"/>
    <w:rsid w:val="00022FEF"/>
    <w:rsid w:val="00023152"/>
    <w:rsid w:val="00023306"/>
    <w:rsid w:val="00023623"/>
    <w:rsid w:val="00023652"/>
    <w:rsid w:val="000237C4"/>
    <w:rsid w:val="00023D8B"/>
    <w:rsid w:val="00024DE7"/>
    <w:rsid w:val="00024E54"/>
    <w:rsid w:val="00024E8E"/>
    <w:rsid w:val="00025012"/>
    <w:rsid w:val="0002538D"/>
    <w:rsid w:val="000258AD"/>
    <w:rsid w:val="000259DA"/>
    <w:rsid w:val="00025A15"/>
    <w:rsid w:val="000261E2"/>
    <w:rsid w:val="000262B3"/>
    <w:rsid w:val="000266D5"/>
    <w:rsid w:val="000267C4"/>
    <w:rsid w:val="0002689E"/>
    <w:rsid w:val="000269EB"/>
    <w:rsid w:val="00026E37"/>
    <w:rsid w:val="000278C3"/>
    <w:rsid w:val="00027B07"/>
    <w:rsid w:val="00027E41"/>
    <w:rsid w:val="00030201"/>
    <w:rsid w:val="0003044C"/>
    <w:rsid w:val="0003053B"/>
    <w:rsid w:val="00030C39"/>
    <w:rsid w:val="00031528"/>
    <w:rsid w:val="000319E1"/>
    <w:rsid w:val="00031A34"/>
    <w:rsid w:val="00031A98"/>
    <w:rsid w:val="00031D88"/>
    <w:rsid w:val="00032A22"/>
    <w:rsid w:val="00032D7C"/>
    <w:rsid w:val="000333BE"/>
    <w:rsid w:val="00033427"/>
    <w:rsid w:val="000336DD"/>
    <w:rsid w:val="00033AB1"/>
    <w:rsid w:val="0003405C"/>
    <w:rsid w:val="00034337"/>
    <w:rsid w:val="00034501"/>
    <w:rsid w:val="00035241"/>
    <w:rsid w:val="0003554C"/>
    <w:rsid w:val="00035AD1"/>
    <w:rsid w:val="000364BA"/>
    <w:rsid w:val="00036541"/>
    <w:rsid w:val="00036947"/>
    <w:rsid w:val="00036A71"/>
    <w:rsid w:val="00036C34"/>
    <w:rsid w:val="00036EDA"/>
    <w:rsid w:val="00036F7F"/>
    <w:rsid w:val="0003719D"/>
    <w:rsid w:val="00037917"/>
    <w:rsid w:val="00040384"/>
    <w:rsid w:val="0004063A"/>
    <w:rsid w:val="00040749"/>
    <w:rsid w:val="000409D9"/>
    <w:rsid w:val="00040D54"/>
    <w:rsid w:val="00040D55"/>
    <w:rsid w:val="000413DF"/>
    <w:rsid w:val="000414B9"/>
    <w:rsid w:val="00041788"/>
    <w:rsid w:val="00041895"/>
    <w:rsid w:val="00041988"/>
    <w:rsid w:val="0004224A"/>
    <w:rsid w:val="000424F2"/>
    <w:rsid w:val="000425C5"/>
    <w:rsid w:val="00042ADF"/>
    <w:rsid w:val="00043308"/>
    <w:rsid w:val="00043328"/>
    <w:rsid w:val="00043722"/>
    <w:rsid w:val="00043A7E"/>
    <w:rsid w:val="00043D18"/>
    <w:rsid w:val="00043DA8"/>
    <w:rsid w:val="00043F20"/>
    <w:rsid w:val="00043FF1"/>
    <w:rsid w:val="000441A8"/>
    <w:rsid w:val="000443CA"/>
    <w:rsid w:val="00044EAD"/>
    <w:rsid w:val="00045B6B"/>
    <w:rsid w:val="00045BDF"/>
    <w:rsid w:val="00045C50"/>
    <w:rsid w:val="00045CD9"/>
    <w:rsid w:val="00045D1B"/>
    <w:rsid w:val="00045E3F"/>
    <w:rsid w:val="00045FFF"/>
    <w:rsid w:val="000462EB"/>
    <w:rsid w:val="0004667E"/>
    <w:rsid w:val="00046E3D"/>
    <w:rsid w:val="000470F1"/>
    <w:rsid w:val="0004720E"/>
    <w:rsid w:val="00047328"/>
    <w:rsid w:val="00047A01"/>
    <w:rsid w:val="00047B61"/>
    <w:rsid w:val="00047FA6"/>
    <w:rsid w:val="00047FE7"/>
    <w:rsid w:val="0005046F"/>
    <w:rsid w:val="0005068D"/>
    <w:rsid w:val="00050CF9"/>
    <w:rsid w:val="0005100D"/>
    <w:rsid w:val="00051046"/>
    <w:rsid w:val="00051652"/>
    <w:rsid w:val="00051B22"/>
    <w:rsid w:val="00051F06"/>
    <w:rsid w:val="00052064"/>
    <w:rsid w:val="0005214B"/>
    <w:rsid w:val="00052D08"/>
    <w:rsid w:val="00052E60"/>
    <w:rsid w:val="00053115"/>
    <w:rsid w:val="00053122"/>
    <w:rsid w:val="000532DC"/>
    <w:rsid w:val="00053629"/>
    <w:rsid w:val="00053815"/>
    <w:rsid w:val="00053A63"/>
    <w:rsid w:val="00053F5E"/>
    <w:rsid w:val="000543B0"/>
    <w:rsid w:val="000543E4"/>
    <w:rsid w:val="00054510"/>
    <w:rsid w:val="00054570"/>
    <w:rsid w:val="000546B0"/>
    <w:rsid w:val="00054877"/>
    <w:rsid w:val="00054AA8"/>
    <w:rsid w:val="00054E6A"/>
    <w:rsid w:val="0005509D"/>
    <w:rsid w:val="00055136"/>
    <w:rsid w:val="00055731"/>
    <w:rsid w:val="000559C2"/>
    <w:rsid w:val="00055D76"/>
    <w:rsid w:val="00055E2D"/>
    <w:rsid w:val="00055F30"/>
    <w:rsid w:val="000560AD"/>
    <w:rsid w:val="00056408"/>
    <w:rsid w:val="0005699E"/>
    <w:rsid w:val="00056A8C"/>
    <w:rsid w:val="000570EC"/>
    <w:rsid w:val="000573DF"/>
    <w:rsid w:val="00057BE7"/>
    <w:rsid w:val="00057C80"/>
    <w:rsid w:val="00057CAF"/>
    <w:rsid w:val="00057D84"/>
    <w:rsid w:val="00057E95"/>
    <w:rsid w:val="00057EDA"/>
    <w:rsid w:val="00060022"/>
    <w:rsid w:val="00060A67"/>
    <w:rsid w:val="00060B7D"/>
    <w:rsid w:val="00060BDE"/>
    <w:rsid w:val="00060DB6"/>
    <w:rsid w:val="00061565"/>
    <w:rsid w:val="00061A8D"/>
    <w:rsid w:val="00061B2C"/>
    <w:rsid w:val="00062050"/>
    <w:rsid w:val="0006243F"/>
    <w:rsid w:val="0006254A"/>
    <w:rsid w:val="00062E46"/>
    <w:rsid w:val="00063068"/>
    <w:rsid w:val="00063170"/>
    <w:rsid w:val="00063302"/>
    <w:rsid w:val="000637D9"/>
    <w:rsid w:val="00063C42"/>
    <w:rsid w:val="00064235"/>
    <w:rsid w:val="000646FA"/>
    <w:rsid w:val="00064784"/>
    <w:rsid w:val="00065114"/>
    <w:rsid w:val="00065BCB"/>
    <w:rsid w:val="000660CE"/>
    <w:rsid w:val="0006635A"/>
    <w:rsid w:val="000667D3"/>
    <w:rsid w:val="000669A2"/>
    <w:rsid w:val="000669A4"/>
    <w:rsid w:val="000669E5"/>
    <w:rsid w:val="00066B7A"/>
    <w:rsid w:val="00066EFB"/>
    <w:rsid w:val="00067331"/>
    <w:rsid w:val="00067DE9"/>
    <w:rsid w:val="00067F6E"/>
    <w:rsid w:val="00070229"/>
    <w:rsid w:val="000702AE"/>
    <w:rsid w:val="0007030A"/>
    <w:rsid w:val="00070E14"/>
    <w:rsid w:val="00071DAD"/>
    <w:rsid w:val="00071F6A"/>
    <w:rsid w:val="0007247A"/>
    <w:rsid w:val="0007251B"/>
    <w:rsid w:val="00072672"/>
    <w:rsid w:val="00072915"/>
    <w:rsid w:val="00072BAC"/>
    <w:rsid w:val="00072BDE"/>
    <w:rsid w:val="00072C0E"/>
    <w:rsid w:val="00072DD3"/>
    <w:rsid w:val="00072F2D"/>
    <w:rsid w:val="000731D7"/>
    <w:rsid w:val="0007322B"/>
    <w:rsid w:val="00073CCB"/>
    <w:rsid w:val="00073CDA"/>
    <w:rsid w:val="00073FB1"/>
    <w:rsid w:val="00073FBC"/>
    <w:rsid w:val="00074548"/>
    <w:rsid w:val="000745FD"/>
    <w:rsid w:val="000749F4"/>
    <w:rsid w:val="00074D4F"/>
    <w:rsid w:val="00075251"/>
    <w:rsid w:val="00075377"/>
    <w:rsid w:val="000756D9"/>
    <w:rsid w:val="00075D09"/>
    <w:rsid w:val="0007606E"/>
    <w:rsid w:val="0007614F"/>
    <w:rsid w:val="000764E6"/>
    <w:rsid w:val="0007688B"/>
    <w:rsid w:val="0007689B"/>
    <w:rsid w:val="00076CF5"/>
    <w:rsid w:val="00076D09"/>
    <w:rsid w:val="00076DC2"/>
    <w:rsid w:val="00077219"/>
    <w:rsid w:val="000779D0"/>
    <w:rsid w:val="00077C16"/>
    <w:rsid w:val="0008007D"/>
    <w:rsid w:val="0008039B"/>
    <w:rsid w:val="0008056D"/>
    <w:rsid w:val="00080573"/>
    <w:rsid w:val="00080B03"/>
    <w:rsid w:val="00080DC8"/>
    <w:rsid w:val="00080E74"/>
    <w:rsid w:val="000810CD"/>
    <w:rsid w:val="000811CC"/>
    <w:rsid w:val="00081316"/>
    <w:rsid w:val="00081A63"/>
    <w:rsid w:val="00081AB5"/>
    <w:rsid w:val="000820ED"/>
    <w:rsid w:val="0008219E"/>
    <w:rsid w:val="00082289"/>
    <w:rsid w:val="000822A0"/>
    <w:rsid w:val="0008244F"/>
    <w:rsid w:val="000829A5"/>
    <w:rsid w:val="00082BA7"/>
    <w:rsid w:val="00082D85"/>
    <w:rsid w:val="0008308F"/>
    <w:rsid w:val="00083221"/>
    <w:rsid w:val="0008385D"/>
    <w:rsid w:val="00083937"/>
    <w:rsid w:val="000839EE"/>
    <w:rsid w:val="00083C30"/>
    <w:rsid w:val="0008405C"/>
    <w:rsid w:val="000850E2"/>
    <w:rsid w:val="000859C2"/>
    <w:rsid w:val="000859CE"/>
    <w:rsid w:val="00085B15"/>
    <w:rsid w:val="00085D4A"/>
    <w:rsid w:val="00085DD6"/>
    <w:rsid w:val="00085EB6"/>
    <w:rsid w:val="00085F1D"/>
    <w:rsid w:val="000865DE"/>
    <w:rsid w:val="00086894"/>
    <w:rsid w:val="000868E0"/>
    <w:rsid w:val="00086A2F"/>
    <w:rsid w:val="00086C27"/>
    <w:rsid w:val="00086C74"/>
    <w:rsid w:val="00086CEA"/>
    <w:rsid w:val="000870F3"/>
    <w:rsid w:val="000870FC"/>
    <w:rsid w:val="0008742E"/>
    <w:rsid w:val="0008764F"/>
    <w:rsid w:val="0008767D"/>
    <w:rsid w:val="00087853"/>
    <w:rsid w:val="0008798D"/>
    <w:rsid w:val="00087BDE"/>
    <w:rsid w:val="00087E05"/>
    <w:rsid w:val="00087F79"/>
    <w:rsid w:val="0009002C"/>
    <w:rsid w:val="000900E6"/>
    <w:rsid w:val="0009014E"/>
    <w:rsid w:val="000901BF"/>
    <w:rsid w:val="0009039C"/>
    <w:rsid w:val="0009046E"/>
    <w:rsid w:val="00090681"/>
    <w:rsid w:val="00091450"/>
    <w:rsid w:val="00091649"/>
    <w:rsid w:val="00091829"/>
    <w:rsid w:val="00091A60"/>
    <w:rsid w:val="00092065"/>
    <w:rsid w:val="00092266"/>
    <w:rsid w:val="00092510"/>
    <w:rsid w:val="000926B5"/>
    <w:rsid w:val="00092AD6"/>
    <w:rsid w:val="00092B69"/>
    <w:rsid w:val="00092E82"/>
    <w:rsid w:val="000931CD"/>
    <w:rsid w:val="0009348D"/>
    <w:rsid w:val="000934A3"/>
    <w:rsid w:val="00093C7E"/>
    <w:rsid w:val="000940E5"/>
    <w:rsid w:val="0009463B"/>
    <w:rsid w:val="000946E6"/>
    <w:rsid w:val="0009480D"/>
    <w:rsid w:val="00094D7E"/>
    <w:rsid w:val="00094F7B"/>
    <w:rsid w:val="00095241"/>
    <w:rsid w:val="00095523"/>
    <w:rsid w:val="00095A62"/>
    <w:rsid w:val="00095B3F"/>
    <w:rsid w:val="000960DE"/>
    <w:rsid w:val="00096C20"/>
    <w:rsid w:val="00096E02"/>
    <w:rsid w:val="00097243"/>
    <w:rsid w:val="00097D31"/>
    <w:rsid w:val="000A0445"/>
    <w:rsid w:val="000A088D"/>
    <w:rsid w:val="000A0C59"/>
    <w:rsid w:val="000A1967"/>
    <w:rsid w:val="000A1EF2"/>
    <w:rsid w:val="000A237E"/>
    <w:rsid w:val="000A2E23"/>
    <w:rsid w:val="000A2EDE"/>
    <w:rsid w:val="000A2F40"/>
    <w:rsid w:val="000A3074"/>
    <w:rsid w:val="000A3119"/>
    <w:rsid w:val="000A38C0"/>
    <w:rsid w:val="000A39B5"/>
    <w:rsid w:val="000A3E8F"/>
    <w:rsid w:val="000A3F30"/>
    <w:rsid w:val="000A40E3"/>
    <w:rsid w:val="000A46AA"/>
    <w:rsid w:val="000A475A"/>
    <w:rsid w:val="000A4C81"/>
    <w:rsid w:val="000A4CDB"/>
    <w:rsid w:val="000A57AE"/>
    <w:rsid w:val="000A5995"/>
    <w:rsid w:val="000A5B64"/>
    <w:rsid w:val="000A5B67"/>
    <w:rsid w:val="000A6919"/>
    <w:rsid w:val="000A69DC"/>
    <w:rsid w:val="000A6A40"/>
    <w:rsid w:val="000A6A56"/>
    <w:rsid w:val="000A6B17"/>
    <w:rsid w:val="000A7077"/>
    <w:rsid w:val="000A71B3"/>
    <w:rsid w:val="000A78CF"/>
    <w:rsid w:val="000A7F5A"/>
    <w:rsid w:val="000A7FFE"/>
    <w:rsid w:val="000B018F"/>
    <w:rsid w:val="000B0AE3"/>
    <w:rsid w:val="000B1923"/>
    <w:rsid w:val="000B1A37"/>
    <w:rsid w:val="000B1CA0"/>
    <w:rsid w:val="000B1DC8"/>
    <w:rsid w:val="000B1DF5"/>
    <w:rsid w:val="000B1E03"/>
    <w:rsid w:val="000B21BE"/>
    <w:rsid w:val="000B23A0"/>
    <w:rsid w:val="000B2427"/>
    <w:rsid w:val="000B2898"/>
    <w:rsid w:val="000B2F4C"/>
    <w:rsid w:val="000B305C"/>
    <w:rsid w:val="000B31D4"/>
    <w:rsid w:val="000B3792"/>
    <w:rsid w:val="000B3871"/>
    <w:rsid w:val="000B38B6"/>
    <w:rsid w:val="000B3A5D"/>
    <w:rsid w:val="000B3A98"/>
    <w:rsid w:val="000B3F95"/>
    <w:rsid w:val="000B4121"/>
    <w:rsid w:val="000B4A14"/>
    <w:rsid w:val="000B4E07"/>
    <w:rsid w:val="000B52A1"/>
    <w:rsid w:val="000B55E0"/>
    <w:rsid w:val="000B56F8"/>
    <w:rsid w:val="000B572F"/>
    <w:rsid w:val="000B58B6"/>
    <w:rsid w:val="000B5D2E"/>
    <w:rsid w:val="000B5FC3"/>
    <w:rsid w:val="000B6DF3"/>
    <w:rsid w:val="000B6EDD"/>
    <w:rsid w:val="000B6FBC"/>
    <w:rsid w:val="000B71C0"/>
    <w:rsid w:val="000B724F"/>
    <w:rsid w:val="000B73C5"/>
    <w:rsid w:val="000B78AD"/>
    <w:rsid w:val="000B7945"/>
    <w:rsid w:val="000C02E4"/>
    <w:rsid w:val="000C06F6"/>
    <w:rsid w:val="000C0836"/>
    <w:rsid w:val="000C0ADE"/>
    <w:rsid w:val="000C1400"/>
    <w:rsid w:val="000C1BC7"/>
    <w:rsid w:val="000C1F7C"/>
    <w:rsid w:val="000C20A6"/>
    <w:rsid w:val="000C2384"/>
    <w:rsid w:val="000C24D5"/>
    <w:rsid w:val="000C2F3B"/>
    <w:rsid w:val="000C3071"/>
    <w:rsid w:val="000C33C5"/>
    <w:rsid w:val="000C3D53"/>
    <w:rsid w:val="000C3EA5"/>
    <w:rsid w:val="000C3FB9"/>
    <w:rsid w:val="000C4247"/>
    <w:rsid w:val="000C442C"/>
    <w:rsid w:val="000C464D"/>
    <w:rsid w:val="000C4ECF"/>
    <w:rsid w:val="000C50E9"/>
    <w:rsid w:val="000C54EE"/>
    <w:rsid w:val="000C563A"/>
    <w:rsid w:val="000C58A7"/>
    <w:rsid w:val="000C5C37"/>
    <w:rsid w:val="000C5EEA"/>
    <w:rsid w:val="000C6370"/>
    <w:rsid w:val="000C6A4A"/>
    <w:rsid w:val="000C6C5D"/>
    <w:rsid w:val="000C7021"/>
    <w:rsid w:val="000C759D"/>
    <w:rsid w:val="000C78DA"/>
    <w:rsid w:val="000C7BD8"/>
    <w:rsid w:val="000C7F0E"/>
    <w:rsid w:val="000D009D"/>
    <w:rsid w:val="000D0281"/>
    <w:rsid w:val="000D082F"/>
    <w:rsid w:val="000D0FBE"/>
    <w:rsid w:val="000D1D42"/>
    <w:rsid w:val="000D2238"/>
    <w:rsid w:val="000D294E"/>
    <w:rsid w:val="000D29ED"/>
    <w:rsid w:val="000D2A3D"/>
    <w:rsid w:val="000D32B1"/>
    <w:rsid w:val="000D3EA8"/>
    <w:rsid w:val="000D4768"/>
    <w:rsid w:val="000D47B3"/>
    <w:rsid w:val="000D48AA"/>
    <w:rsid w:val="000D5322"/>
    <w:rsid w:val="000D5389"/>
    <w:rsid w:val="000D53E2"/>
    <w:rsid w:val="000D683A"/>
    <w:rsid w:val="000D736C"/>
    <w:rsid w:val="000D74A5"/>
    <w:rsid w:val="000D753D"/>
    <w:rsid w:val="000D780F"/>
    <w:rsid w:val="000D7B73"/>
    <w:rsid w:val="000D7D67"/>
    <w:rsid w:val="000E00D1"/>
    <w:rsid w:val="000E0355"/>
    <w:rsid w:val="000E0E2C"/>
    <w:rsid w:val="000E0E6A"/>
    <w:rsid w:val="000E0F84"/>
    <w:rsid w:val="000E117E"/>
    <w:rsid w:val="000E148C"/>
    <w:rsid w:val="000E1873"/>
    <w:rsid w:val="000E1CBC"/>
    <w:rsid w:val="000E1E15"/>
    <w:rsid w:val="000E21A4"/>
    <w:rsid w:val="000E23AE"/>
    <w:rsid w:val="000E2553"/>
    <w:rsid w:val="000E2635"/>
    <w:rsid w:val="000E28C1"/>
    <w:rsid w:val="000E2C96"/>
    <w:rsid w:val="000E2CD0"/>
    <w:rsid w:val="000E2CEE"/>
    <w:rsid w:val="000E2EB0"/>
    <w:rsid w:val="000E2F44"/>
    <w:rsid w:val="000E3304"/>
    <w:rsid w:val="000E34AD"/>
    <w:rsid w:val="000E388E"/>
    <w:rsid w:val="000E3908"/>
    <w:rsid w:val="000E3DB6"/>
    <w:rsid w:val="000E3E6B"/>
    <w:rsid w:val="000E482A"/>
    <w:rsid w:val="000E5AAD"/>
    <w:rsid w:val="000E5B3B"/>
    <w:rsid w:val="000E606D"/>
    <w:rsid w:val="000E6298"/>
    <w:rsid w:val="000E6435"/>
    <w:rsid w:val="000E65E0"/>
    <w:rsid w:val="000E666A"/>
    <w:rsid w:val="000E6747"/>
    <w:rsid w:val="000E744C"/>
    <w:rsid w:val="000E7C3B"/>
    <w:rsid w:val="000E7E4C"/>
    <w:rsid w:val="000E7E83"/>
    <w:rsid w:val="000F023E"/>
    <w:rsid w:val="000F0339"/>
    <w:rsid w:val="000F0682"/>
    <w:rsid w:val="000F0B45"/>
    <w:rsid w:val="000F11FF"/>
    <w:rsid w:val="000F173B"/>
    <w:rsid w:val="000F1793"/>
    <w:rsid w:val="000F1E09"/>
    <w:rsid w:val="000F21E3"/>
    <w:rsid w:val="000F2211"/>
    <w:rsid w:val="000F223B"/>
    <w:rsid w:val="000F28B4"/>
    <w:rsid w:val="000F28FF"/>
    <w:rsid w:val="000F2CF4"/>
    <w:rsid w:val="000F33C2"/>
    <w:rsid w:val="000F36C2"/>
    <w:rsid w:val="000F38E6"/>
    <w:rsid w:val="000F3C09"/>
    <w:rsid w:val="000F3DD7"/>
    <w:rsid w:val="000F3EA5"/>
    <w:rsid w:val="000F3F80"/>
    <w:rsid w:val="000F450F"/>
    <w:rsid w:val="000F4527"/>
    <w:rsid w:val="000F4691"/>
    <w:rsid w:val="000F49D7"/>
    <w:rsid w:val="000F4B71"/>
    <w:rsid w:val="000F512D"/>
    <w:rsid w:val="000F562F"/>
    <w:rsid w:val="000F5BFB"/>
    <w:rsid w:val="000F5E3B"/>
    <w:rsid w:val="000F5F35"/>
    <w:rsid w:val="000F639B"/>
    <w:rsid w:val="000F6477"/>
    <w:rsid w:val="000F6495"/>
    <w:rsid w:val="000F662C"/>
    <w:rsid w:val="000F70BD"/>
    <w:rsid w:val="000F765A"/>
    <w:rsid w:val="000F7E50"/>
    <w:rsid w:val="0010016C"/>
    <w:rsid w:val="001005AE"/>
    <w:rsid w:val="0010066C"/>
    <w:rsid w:val="001006F7"/>
    <w:rsid w:val="001009CE"/>
    <w:rsid w:val="001009ED"/>
    <w:rsid w:val="00100B74"/>
    <w:rsid w:val="00100C0F"/>
    <w:rsid w:val="001011C7"/>
    <w:rsid w:val="00101C38"/>
    <w:rsid w:val="00101CF8"/>
    <w:rsid w:val="00101D2A"/>
    <w:rsid w:val="001020F8"/>
    <w:rsid w:val="00102321"/>
    <w:rsid w:val="00102D41"/>
    <w:rsid w:val="001031AC"/>
    <w:rsid w:val="00103759"/>
    <w:rsid w:val="00103897"/>
    <w:rsid w:val="00103E3D"/>
    <w:rsid w:val="00104003"/>
    <w:rsid w:val="00104103"/>
    <w:rsid w:val="001045AC"/>
    <w:rsid w:val="00104A49"/>
    <w:rsid w:val="00104D5B"/>
    <w:rsid w:val="00104E1A"/>
    <w:rsid w:val="00104EC8"/>
    <w:rsid w:val="00104F16"/>
    <w:rsid w:val="00104FD1"/>
    <w:rsid w:val="00105217"/>
    <w:rsid w:val="0010525E"/>
    <w:rsid w:val="00105260"/>
    <w:rsid w:val="0010548A"/>
    <w:rsid w:val="00105B91"/>
    <w:rsid w:val="00106BE6"/>
    <w:rsid w:val="00106C42"/>
    <w:rsid w:val="00107A15"/>
    <w:rsid w:val="00107A5F"/>
    <w:rsid w:val="00107DE7"/>
    <w:rsid w:val="00107EE5"/>
    <w:rsid w:val="0011082B"/>
    <w:rsid w:val="00110895"/>
    <w:rsid w:val="00110A85"/>
    <w:rsid w:val="0011177B"/>
    <w:rsid w:val="00111B1F"/>
    <w:rsid w:val="00111D3A"/>
    <w:rsid w:val="0011250E"/>
    <w:rsid w:val="00112786"/>
    <w:rsid w:val="00112799"/>
    <w:rsid w:val="00112857"/>
    <w:rsid w:val="00112C15"/>
    <w:rsid w:val="00112CEF"/>
    <w:rsid w:val="0011310C"/>
    <w:rsid w:val="001131FC"/>
    <w:rsid w:val="001137E9"/>
    <w:rsid w:val="00113C30"/>
    <w:rsid w:val="0011402D"/>
    <w:rsid w:val="00114995"/>
    <w:rsid w:val="00114A24"/>
    <w:rsid w:val="00114D55"/>
    <w:rsid w:val="00114DBB"/>
    <w:rsid w:val="001158B2"/>
    <w:rsid w:val="00115A42"/>
    <w:rsid w:val="00115C82"/>
    <w:rsid w:val="00115FB1"/>
    <w:rsid w:val="00116670"/>
    <w:rsid w:val="00116F62"/>
    <w:rsid w:val="00116F83"/>
    <w:rsid w:val="00117504"/>
    <w:rsid w:val="00117739"/>
    <w:rsid w:val="0011788E"/>
    <w:rsid w:val="00117EE6"/>
    <w:rsid w:val="00120194"/>
    <w:rsid w:val="001206F3"/>
    <w:rsid w:val="001208E9"/>
    <w:rsid w:val="00120CE1"/>
    <w:rsid w:val="00120D09"/>
    <w:rsid w:val="001215AA"/>
    <w:rsid w:val="00121699"/>
    <w:rsid w:val="001221B1"/>
    <w:rsid w:val="00122268"/>
    <w:rsid w:val="0012228B"/>
    <w:rsid w:val="00122472"/>
    <w:rsid w:val="001226D1"/>
    <w:rsid w:val="0012289D"/>
    <w:rsid w:val="001231A9"/>
    <w:rsid w:val="00123327"/>
    <w:rsid w:val="0012338F"/>
    <w:rsid w:val="001239C8"/>
    <w:rsid w:val="00123B01"/>
    <w:rsid w:val="001245D9"/>
    <w:rsid w:val="001248DC"/>
    <w:rsid w:val="00124B1D"/>
    <w:rsid w:val="00124F28"/>
    <w:rsid w:val="00124FF4"/>
    <w:rsid w:val="001250FB"/>
    <w:rsid w:val="00125137"/>
    <w:rsid w:val="0012546D"/>
    <w:rsid w:val="001256F6"/>
    <w:rsid w:val="0012583E"/>
    <w:rsid w:val="00125863"/>
    <w:rsid w:val="001259D7"/>
    <w:rsid w:val="00125EA1"/>
    <w:rsid w:val="00125F41"/>
    <w:rsid w:val="00125FAE"/>
    <w:rsid w:val="001264D9"/>
    <w:rsid w:val="00126AF8"/>
    <w:rsid w:val="00126C93"/>
    <w:rsid w:val="0012728C"/>
    <w:rsid w:val="001274A8"/>
    <w:rsid w:val="00127504"/>
    <w:rsid w:val="0012759E"/>
    <w:rsid w:val="00127634"/>
    <w:rsid w:val="00127BBA"/>
    <w:rsid w:val="00127BBB"/>
    <w:rsid w:val="00127F1B"/>
    <w:rsid w:val="00127F71"/>
    <w:rsid w:val="001301A3"/>
    <w:rsid w:val="001302F5"/>
    <w:rsid w:val="001303FE"/>
    <w:rsid w:val="001305B2"/>
    <w:rsid w:val="00131153"/>
    <w:rsid w:val="0013134A"/>
    <w:rsid w:val="001315F2"/>
    <w:rsid w:val="001318F9"/>
    <w:rsid w:val="00131B6B"/>
    <w:rsid w:val="00131FE7"/>
    <w:rsid w:val="00132269"/>
    <w:rsid w:val="0013250F"/>
    <w:rsid w:val="00132530"/>
    <w:rsid w:val="00132719"/>
    <w:rsid w:val="00132A6E"/>
    <w:rsid w:val="00133205"/>
    <w:rsid w:val="00133447"/>
    <w:rsid w:val="001336CC"/>
    <w:rsid w:val="00133A01"/>
    <w:rsid w:val="00133C07"/>
    <w:rsid w:val="00133DC5"/>
    <w:rsid w:val="001341E0"/>
    <w:rsid w:val="00134709"/>
    <w:rsid w:val="0013472A"/>
    <w:rsid w:val="0013474C"/>
    <w:rsid w:val="0013492E"/>
    <w:rsid w:val="001350F6"/>
    <w:rsid w:val="001350FC"/>
    <w:rsid w:val="0013515F"/>
    <w:rsid w:val="00135351"/>
    <w:rsid w:val="00135581"/>
    <w:rsid w:val="0013584B"/>
    <w:rsid w:val="00135861"/>
    <w:rsid w:val="001358D9"/>
    <w:rsid w:val="00135B96"/>
    <w:rsid w:val="00135BAE"/>
    <w:rsid w:val="001360C4"/>
    <w:rsid w:val="00136278"/>
    <w:rsid w:val="001369DA"/>
    <w:rsid w:val="00136C66"/>
    <w:rsid w:val="00137BBD"/>
    <w:rsid w:val="00137BE5"/>
    <w:rsid w:val="00140395"/>
    <w:rsid w:val="001406FD"/>
    <w:rsid w:val="00140732"/>
    <w:rsid w:val="00140881"/>
    <w:rsid w:val="00140B3A"/>
    <w:rsid w:val="00140F77"/>
    <w:rsid w:val="00140FCA"/>
    <w:rsid w:val="00141000"/>
    <w:rsid w:val="00141081"/>
    <w:rsid w:val="0014142D"/>
    <w:rsid w:val="0014172A"/>
    <w:rsid w:val="001421B6"/>
    <w:rsid w:val="001425BA"/>
    <w:rsid w:val="0014276C"/>
    <w:rsid w:val="001428A1"/>
    <w:rsid w:val="001429D8"/>
    <w:rsid w:val="001429DE"/>
    <w:rsid w:val="001431C3"/>
    <w:rsid w:val="00143410"/>
    <w:rsid w:val="00143467"/>
    <w:rsid w:val="001434D4"/>
    <w:rsid w:val="00143589"/>
    <w:rsid w:val="0014383B"/>
    <w:rsid w:val="001439E5"/>
    <w:rsid w:val="0014498C"/>
    <w:rsid w:val="0014526F"/>
    <w:rsid w:val="00145639"/>
    <w:rsid w:val="0014588F"/>
    <w:rsid w:val="00145920"/>
    <w:rsid w:val="00145B12"/>
    <w:rsid w:val="00145D6A"/>
    <w:rsid w:val="001462DC"/>
    <w:rsid w:val="001463CD"/>
    <w:rsid w:val="00146473"/>
    <w:rsid w:val="0014689F"/>
    <w:rsid w:val="00146B02"/>
    <w:rsid w:val="00146FB9"/>
    <w:rsid w:val="0014728C"/>
    <w:rsid w:val="0014768F"/>
    <w:rsid w:val="00150C12"/>
    <w:rsid w:val="00150E82"/>
    <w:rsid w:val="00151591"/>
    <w:rsid w:val="0015208F"/>
    <w:rsid w:val="00152653"/>
    <w:rsid w:val="00152858"/>
    <w:rsid w:val="00152B72"/>
    <w:rsid w:val="00152BDD"/>
    <w:rsid w:val="00152CE2"/>
    <w:rsid w:val="00152D1B"/>
    <w:rsid w:val="0015306C"/>
    <w:rsid w:val="0015312E"/>
    <w:rsid w:val="00153767"/>
    <w:rsid w:val="00153A2A"/>
    <w:rsid w:val="00153ADD"/>
    <w:rsid w:val="00153B91"/>
    <w:rsid w:val="00153C7A"/>
    <w:rsid w:val="00153E41"/>
    <w:rsid w:val="001542E4"/>
    <w:rsid w:val="001542E8"/>
    <w:rsid w:val="001543B8"/>
    <w:rsid w:val="0015468F"/>
    <w:rsid w:val="00154A8F"/>
    <w:rsid w:val="00154B08"/>
    <w:rsid w:val="00154DD5"/>
    <w:rsid w:val="00154FBD"/>
    <w:rsid w:val="0015507B"/>
    <w:rsid w:val="001552CA"/>
    <w:rsid w:val="001559F9"/>
    <w:rsid w:val="00155D67"/>
    <w:rsid w:val="00155EC4"/>
    <w:rsid w:val="0015643B"/>
    <w:rsid w:val="00156732"/>
    <w:rsid w:val="00156CA7"/>
    <w:rsid w:val="00156D5B"/>
    <w:rsid w:val="001571B8"/>
    <w:rsid w:val="001571E0"/>
    <w:rsid w:val="0015723D"/>
    <w:rsid w:val="00157845"/>
    <w:rsid w:val="001578FE"/>
    <w:rsid w:val="00157BBE"/>
    <w:rsid w:val="00157C72"/>
    <w:rsid w:val="00157CFC"/>
    <w:rsid w:val="00160380"/>
    <w:rsid w:val="001604AC"/>
    <w:rsid w:val="001604CA"/>
    <w:rsid w:val="00160AA3"/>
    <w:rsid w:val="00160C09"/>
    <w:rsid w:val="00160F74"/>
    <w:rsid w:val="001611EF"/>
    <w:rsid w:val="00161983"/>
    <w:rsid w:val="00162001"/>
    <w:rsid w:val="0016202A"/>
    <w:rsid w:val="00162041"/>
    <w:rsid w:val="00162050"/>
    <w:rsid w:val="0016239B"/>
    <w:rsid w:val="0016242D"/>
    <w:rsid w:val="001625BC"/>
    <w:rsid w:val="00162815"/>
    <w:rsid w:val="00162995"/>
    <w:rsid w:val="00162BD1"/>
    <w:rsid w:val="00163091"/>
    <w:rsid w:val="00163697"/>
    <w:rsid w:val="00163B92"/>
    <w:rsid w:val="00164401"/>
    <w:rsid w:val="001645D6"/>
    <w:rsid w:val="001648BD"/>
    <w:rsid w:val="00164F0A"/>
    <w:rsid w:val="001651FA"/>
    <w:rsid w:val="00165C00"/>
    <w:rsid w:val="00165D16"/>
    <w:rsid w:val="00166043"/>
    <w:rsid w:val="00166A34"/>
    <w:rsid w:val="00166F32"/>
    <w:rsid w:val="00167568"/>
    <w:rsid w:val="00167DE0"/>
    <w:rsid w:val="00167E62"/>
    <w:rsid w:val="0017024A"/>
    <w:rsid w:val="00170518"/>
    <w:rsid w:val="0017067D"/>
    <w:rsid w:val="00170F94"/>
    <w:rsid w:val="001710BD"/>
    <w:rsid w:val="001711A3"/>
    <w:rsid w:val="0017166D"/>
    <w:rsid w:val="001718E6"/>
    <w:rsid w:val="0017199A"/>
    <w:rsid w:val="00171B1C"/>
    <w:rsid w:val="00171B6C"/>
    <w:rsid w:val="00171C18"/>
    <w:rsid w:val="00171E95"/>
    <w:rsid w:val="00171EB2"/>
    <w:rsid w:val="00172097"/>
    <w:rsid w:val="001724F5"/>
    <w:rsid w:val="00172820"/>
    <w:rsid w:val="00172C6B"/>
    <w:rsid w:val="00172E0E"/>
    <w:rsid w:val="00173019"/>
    <w:rsid w:val="0017367B"/>
    <w:rsid w:val="00173B7A"/>
    <w:rsid w:val="00173F69"/>
    <w:rsid w:val="00173FA1"/>
    <w:rsid w:val="0017408A"/>
    <w:rsid w:val="001742B5"/>
    <w:rsid w:val="001746A3"/>
    <w:rsid w:val="00174738"/>
    <w:rsid w:val="00174839"/>
    <w:rsid w:val="0017483B"/>
    <w:rsid w:val="00174C1B"/>
    <w:rsid w:val="00174E8B"/>
    <w:rsid w:val="00174F9A"/>
    <w:rsid w:val="0017548A"/>
    <w:rsid w:val="001755AA"/>
    <w:rsid w:val="001758CE"/>
    <w:rsid w:val="00175A98"/>
    <w:rsid w:val="00175B1A"/>
    <w:rsid w:val="00175EB2"/>
    <w:rsid w:val="00175FBA"/>
    <w:rsid w:val="00176B30"/>
    <w:rsid w:val="00176CC3"/>
    <w:rsid w:val="00176D1F"/>
    <w:rsid w:val="0017773E"/>
    <w:rsid w:val="00177AAF"/>
    <w:rsid w:val="00177AEA"/>
    <w:rsid w:val="00177FE1"/>
    <w:rsid w:val="001800E4"/>
    <w:rsid w:val="00180467"/>
    <w:rsid w:val="001806D4"/>
    <w:rsid w:val="0018078D"/>
    <w:rsid w:val="001807E2"/>
    <w:rsid w:val="00180CB8"/>
    <w:rsid w:val="00181041"/>
    <w:rsid w:val="001812CB"/>
    <w:rsid w:val="0018142A"/>
    <w:rsid w:val="0018147D"/>
    <w:rsid w:val="0018152A"/>
    <w:rsid w:val="00181BC6"/>
    <w:rsid w:val="00181BFD"/>
    <w:rsid w:val="00181D61"/>
    <w:rsid w:val="001824D9"/>
    <w:rsid w:val="00182919"/>
    <w:rsid w:val="00182BFF"/>
    <w:rsid w:val="00183071"/>
    <w:rsid w:val="0018307D"/>
    <w:rsid w:val="0018319F"/>
    <w:rsid w:val="00183480"/>
    <w:rsid w:val="00183A7C"/>
    <w:rsid w:val="00183B75"/>
    <w:rsid w:val="00183C3C"/>
    <w:rsid w:val="001840F8"/>
    <w:rsid w:val="0018416C"/>
    <w:rsid w:val="00184337"/>
    <w:rsid w:val="001844B0"/>
    <w:rsid w:val="001844B8"/>
    <w:rsid w:val="00184745"/>
    <w:rsid w:val="00184993"/>
    <w:rsid w:val="00184AE7"/>
    <w:rsid w:val="00184FBB"/>
    <w:rsid w:val="0018517E"/>
    <w:rsid w:val="0018527E"/>
    <w:rsid w:val="00185A62"/>
    <w:rsid w:val="00185DF4"/>
    <w:rsid w:val="00186F71"/>
    <w:rsid w:val="00187384"/>
    <w:rsid w:val="00187915"/>
    <w:rsid w:val="00187A08"/>
    <w:rsid w:val="00187AF9"/>
    <w:rsid w:val="00190234"/>
    <w:rsid w:val="001902C9"/>
    <w:rsid w:val="001902E0"/>
    <w:rsid w:val="001903A2"/>
    <w:rsid w:val="00190626"/>
    <w:rsid w:val="001907A4"/>
    <w:rsid w:val="00190B25"/>
    <w:rsid w:val="00190BE0"/>
    <w:rsid w:val="00190D40"/>
    <w:rsid w:val="001915FB"/>
    <w:rsid w:val="001917CC"/>
    <w:rsid w:val="00191A24"/>
    <w:rsid w:val="00191AB9"/>
    <w:rsid w:val="00191F3C"/>
    <w:rsid w:val="00191FB6"/>
    <w:rsid w:val="00191FFA"/>
    <w:rsid w:val="0019268A"/>
    <w:rsid w:val="00192D1C"/>
    <w:rsid w:val="00192E75"/>
    <w:rsid w:val="00192F95"/>
    <w:rsid w:val="001931F4"/>
    <w:rsid w:val="001936A9"/>
    <w:rsid w:val="001937A3"/>
    <w:rsid w:val="00193A7F"/>
    <w:rsid w:val="00193AEB"/>
    <w:rsid w:val="00193C4F"/>
    <w:rsid w:val="0019401E"/>
    <w:rsid w:val="001940FC"/>
    <w:rsid w:val="00194221"/>
    <w:rsid w:val="00194329"/>
    <w:rsid w:val="0019456D"/>
    <w:rsid w:val="00194894"/>
    <w:rsid w:val="001948A3"/>
    <w:rsid w:val="00194E13"/>
    <w:rsid w:val="0019537D"/>
    <w:rsid w:val="00195759"/>
    <w:rsid w:val="00195A15"/>
    <w:rsid w:val="00195EAD"/>
    <w:rsid w:val="001967B3"/>
    <w:rsid w:val="00196B39"/>
    <w:rsid w:val="00196B4D"/>
    <w:rsid w:val="00196D77"/>
    <w:rsid w:val="00196F08"/>
    <w:rsid w:val="0019710E"/>
    <w:rsid w:val="0019786D"/>
    <w:rsid w:val="00197B41"/>
    <w:rsid w:val="001A0015"/>
    <w:rsid w:val="001A01EF"/>
    <w:rsid w:val="001A0285"/>
    <w:rsid w:val="001A05B7"/>
    <w:rsid w:val="001A0693"/>
    <w:rsid w:val="001A0743"/>
    <w:rsid w:val="001A0AFE"/>
    <w:rsid w:val="001A0D2C"/>
    <w:rsid w:val="001A145A"/>
    <w:rsid w:val="001A1DBD"/>
    <w:rsid w:val="001A2087"/>
    <w:rsid w:val="001A20E9"/>
    <w:rsid w:val="001A273E"/>
    <w:rsid w:val="001A3367"/>
    <w:rsid w:val="001A33DB"/>
    <w:rsid w:val="001A358B"/>
    <w:rsid w:val="001A35A8"/>
    <w:rsid w:val="001A3AD4"/>
    <w:rsid w:val="001A3BFC"/>
    <w:rsid w:val="001A3F29"/>
    <w:rsid w:val="001A4129"/>
    <w:rsid w:val="001A4142"/>
    <w:rsid w:val="001A42DD"/>
    <w:rsid w:val="001A43B8"/>
    <w:rsid w:val="001A46C4"/>
    <w:rsid w:val="001A489D"/>
    <w:rsid w:val="001A48FE"/>
    <w:rsid w:val="001A4C2C"/>
    <w:rsid w:val="001A4EDE"/>
    <w:rsid w:val="001A567E"/>
    <w:rsid w:val="001A5E02"/>
    <w:rsid w:val="001A6044"/>
    <w:rsid w:val="001A6245"/>
    <w:rsid w:val="001A645E"/>
    <w:rsid w:val="001A6896"/>
    <w:rsid w:val="001A6D0B"/>
    <w:rsid w:val="001A6D9E"/>
    <w:rsid w:val="001A6E23"/>
    <w:rsid w:val="001A6E88"/>
    <w:rsid w:val="001A6F3D"/>
    <w:rsid w:val="001A7070"/>
    <w:rsid w:val="001A7208"/>
    <w:rsid w:val="001A7387"/>
    <w:rsid w:val="001A74A6"/>
    <w:rsid w:val="001A786A"/>
    <w:rsid w:val="001A7930"/>
    <w:rsid w:val="001A7986"/>
    <w:rsid w:val="001A7DF7"/>
    <w:rsid w:val="001B0342"/>
    <w:rsid w:val="001B0670"/>
    <w:rsid w:val="001B085E"/>
    <w:rsid w:val="001B0B80"/>
    <w:rsid w:val="001B1222"/>
    <w:rsid w:val="001B15D2"/>
    <w:rsid w:val="001B16C4"/>
    <w:rsid w:val="001B178B"/>
    <w:rsid w:val="001B1BA9"/>
    <w:rsid w:val="001B2377"/>
    <w:rsid w:val="001B2726"/>
    <w:rsid w:val="001B2AF5"/>
    <w:rsid w:val="001B2D06"/>
    <w:rsid w:val="001B3449"/>
    <w:rsid w:val="001B372E"/>
    <w:rsid w:val="001B431B"/>
    <w:rsid w:val="001B4C0A"/>
    <w:rsid w:val="001B4C5F"/>
    <w:rsid w:val="001B530B"/>
    <w:rsid w:val="001B5497"/>
    <w:rsid w:val="001B54A0"/>
    <w:rsid w:val="001B5867"/>
    <w:rsid w:val="001B5A27"/>
    <w:rsid w:val="001B5DEA"/>
    <w:rsid w:val="001B5E39"/>
    <w:rsid w:val="001B604F"/>
    <w:rsid w:val="001B6092"/>
    <w:rsid w:val="001B62DE"/>
    <w:rsid w:val="001B651B"/>
    <w:rsid w:val="001B69A9"/>
    <w:rsid w:val="001B6A2D"/>
    <w:rsid w:val="001B6BE7"/>
    <w:rsid w:val="001B6CF4"/>
    <w:rsid w:val="001B72DF"/>
    <w:rsid w:val="001B7397"/>
    <w:rsid w:val="001B7AF5"/>
    <w:rsid w:val="001B7B4F"/>
    <w:rsid w:val="001B7CA0"/>
    <w:rsid w:val="001C0001"/>
    <w:rsid w:val="001C00BF"/>
    <w:rsid w:val="001C00D2"/>
    <w:rsid w:val="001C037F"/>
    <w:rsid w:val="001C03D5"/>
    <w:rsid w:val="001C0417"/>
    <w:rsid w:val="001C04F3"/>
    <w:rsid w:val="001C095B"/>
    <w:rsid w:val="001C0FE4"/>
    <w:rsid w:val="001C113F"/>
    <w:rsid w:val="001C163E"/>
    <w:rsid w:val="001C1846"/>
    <w:rsid w:val="001C191E"/>
    <w:rsid w:val="001C1966"/>
    <w:rsid w:val="001C1C15"/>
    <w:rsid w:val="001C1FC5"/>
    <w:rsid w:val="001C2358"/>
    <w:rsid w:val="001C2721"/>
    <w:rsid w:val="001C2B3D"/>
    <w:rsid w:val="001C2E1C"/>
    <w:rsid w:val="001C3257"/>
    <w:rsid w:val="001C32A5"/>
    <w:rsid w:val="001C34C5"/>
    <w:rsid w:val="001C3A52"/>
    <w:rsid w:val="001C3A62"/>
    <w:rsid w:val="001C40CB"/>
    <w:rsid w:val="001C4318"/>
    <w:rsid w:val="001C441D"/>
    <w:rsid w:val="001C47E1"/>
    <w:rsid w:val="001C4857"/>
    <w:rsid w:val="001C497B"/>
    <w:rsid w:val="001C51AC"/>
    <w:rsid w:val="001C52D8"/>
    <w:rsid w:val="001C54C4"/>
    <w:rsid w:val="001C592E"/>
    <w:rsid w:val="001C599A"/>
    <w:rsid w:val="001C59E5"/>
    <w:rsid w:val="001C5A71"/>
    <w:rsid w:val="001C5FE2"/>
    <w:rsid w:val="001C62E5"/>
    <w:rsid w:val="001C66BE"/>
    <w:rsid w:val="001C6862"/>
    <w:rsid w:val="001C6B7D"/>
    <w:rsid w:val="001C6C32"/>
    <w:rsid w:val="001C6C50"/>
    <w:rsid w:val="001C6E1F"/>
    <w:rsid w:val="001C7041"/>
    <w:rsid w:val="001C73D7"/>
    <w:rsid w:val="001C79E6"/>
    <w:rsid w:val="001C7AB4"/>
    <w:rsid w:val="001C7B7D"/>
    <w:rsid w:val="001C7FA7"/>
    <w:rsid w:val="001D012A"/>
    <w:rsid w:val="001D0456"/>
    <w:rsid w:val="001D057F"/>
    <w:rsid w:val="001D07AD"/>
    <w:rsid w:val="001D0CD9"/>
    <w:rsid w:val="001D0CF9"/>
    <w:rsid w:val="001D0D3B"/>
    <w:rsid w:val="001D0E9C"/>
    <w:rsid w:val="001D0EFE"/>
    <w:rsid w:val="001D11E0"/>
    <w:rsid w:val="001D1440"/>
    <w:rsid w:val="001D157B"/>
    <w:rsid w:val="001D1A1E"/>
    <w:rsid w:val="001D1CE7"/>
    <w:rsid w:val="001D209A"/>
    <w:rsid w:val="001D28DB"/>
    <w:rsid w:val="001D2C05"/>
    <w:rsid w:val="001D2D4D"/>
    <w:rsid w:val="001D3244"/>
    <w:rsid w:val="001D3299"/>
    <w:rsid w:val="001D329F"/>
    <w:rsid w:val="001D32F7"/>
    <w:rsid w:val="001D3375"/>
    <w:rsid w:val="001D3602"/>
    <w:rsid w:val="001D3AB7"/>
    <w:rsid w:val="001D3ACE"/>
    <w:rsid w:val="001D3B27"/>
    <w:rsid w:val="001D3FF0"/>
    <w:rsid w:val="001D3FFC"/>
    <w:rsid w:val="001D4281"/>
    <w:rsid w:val="001D49D0"/>
    <w:rsid w:val="001D4A45"/>
    <w:rsid w:val="001D4A4B"/>
    <w:rsid w:val="001D4CF7"/>
    <w:rsid w:val="001D4FDA"/>
    <w:rsid w:val="001D5079"/>
    <w:rsid w:val="001D50A4"/>
    <w:rsid w:val="001D517E"/>
    <w:rsid w:val="001D51DA"/>
    <w:rsid w:val="001D5C26"/>
    <w:rsid w:val="001D5D89"/>
    <w:rsid w:val="001D6143"/>
    <w:rsid w:val="001D694F"/>
    <w:rsid w:val="001D6953"/>
    <w:rsid w:val="001D6E6F"/>
    <w:rsid w:val="001D70EB"/>
    <w:rsid w:val="001D75AE"/>
    <w:rsid w:val="001D76EE"/>
    <w:rsid w:val="001D7A7E"/>
    <w:rsid w:val="001D7BD7"/>
    <w:rsid w:val="001D7FB6"/>
    <w:rsid w:val="001E048F"/>
    <w:rsid w:val="001E0575"/>
    <w:rsid w:val="001E0613"/>
    <w:rsid w:val="001E07CA"/>
    <w:rsid w:val="001E097F"/>
    <w:rsid w:val="001E0C57"/>
    <w:rsid w:val="001E0E57"/>
    <w:rsid w:val="001E1135"/>
    <w:rsid w:val="001E1265"/>
    <w:rsid w:val="001E1397"/>
    <w:rsid w:val="001E13C0"/>
    <w:rsid w:val="001E13E3"/>
    <w:rsid w:val="001E1543"/>
    <w:rsid w:val="001E15DF"/>
    <w:rsid w:val="001E1B4F"/>
    <w:rsid w:val="001E1BC9"/>
    <w:rsid w:val="001E2165"/>
    <w:rsid w:val="001E23E3"/>
    <w:rsid w:val="001E2F5E"/>
    <w:rsid w:val="001E2FC0"/>
    <w:rsid w:val="001E3865"/>
    <w:rsid w:val="001E3C5F"/>
    <w:rsid w:val="001E3F5B"/>
    <w:rsid w:val="001E3FAE"/>
    <w:rsid w:val="001E4146"/>
    <w:rsid w:val="001E4160"/>
    <w:rsid w:val="001E46A7"/>
    <w:rsid w:val="001E491F"/>
    <w:rsid w:val="001E5013"/>
    <w:rsid w:val="001E55E9"/>
    <w:rsid w:val="001E5B04"/>
    <w:rsid w:val="001E5EB7"/>
    <w:rsid w:val="001E612D"/>
    <w:rsid w:val="001E6352"/>
    <w:rsid w:val="001E6380"/>
    <w:rsid w:val="001E6757"/>
    <w:rsid w:val="001E6773"/>
    <w:rsid w:val="001E6AB8"/>
    <w:rsid w:val="001E6BDF"/>
    <w:rsid w:val="001E71D1"/>
    <w:rsid w:val="001E71F1"/>
    <w:rsid w:val="001E7913"/>
    <w:rsid w:val="001E7C18"/>
    <w:rsid w:val="001E7D46"/>
    <w:rsid w:val="001F0478"/>
    <w:rsid w:val="001F062B"/>
    <w:rsid w:val="001F0703"/>
    <w:rsid w:val="001F0FBB"/>
    <w:rsid w:val="001F0FDF"/>
    <w:rsid w:val="001F1103"/>
    <w:rsid w:val="001F1128"/>
    <w:rsid w:val="001F1133"/>
    <w:rsid w:val="001F1461"/>
    <w:rsid w:val="001F1736"/>
    <w:rsid w:val="001F182A"/>
    <w:rsid w:val="001F1848"/>
    <w:rsid w:val="001F18A3"/>
    <w:rsid w:val="001F1BC2"/>
    <w:rsid w:val="001F20A1"/>
    <w:rsid w:val="001F23E6"/>
    <w:rsid w:val="001F2887"/>
    <w:rsid w:val="001F2A01"/>
    <w:rsid w:val="001F4561"/>
    <w:rsid w:val="001F4587"/>
    <w:rsid w:val="001F4E9F"/>
    <w:rsid w:val="001F5518"/>
    <w:rsid w:val="001F6468"/>
    <w:rsid w:val="001F6C4B"/>
    <w:rsid w:val="001F6CF3"/>
    <w:rsid w:val="001F7BC2"/>
    <w:rsid w:val="001F7D66"/>
    <w:rsid w:val="001F7DFB"/>
    <w:rsid w:val="002000FC"/>
    <w:rsid w:val="00200289"/>
    <w:rsid w:val="00200413"/>
    <w:rsid w:val="00200439"/>
    <w:rsid w:val="002004D2"/>
    <w:rsid w:val="00200582"/>
    <w:rsid w:val="0020076D"/>
    <w:rsid w:val="002008B2"/>
    <w:rsid w:val="00200BB7"/>
    <w:rsid w:val="00200BD4"/>
    <w:rsid w:val="00201285"/>
    <w:rsid w:val="00201AB1"/>
    <w:rsid w:val="00201F63"/>
    <w:rsid w:val="002023E9"/>
    <w:rsid w:val="002024B4"/>
    <w:rsid w:val="00202CB0"/>
    <w:rsid w:val="002031D1"/>
    <w:rsid w:val="0020324D"/>
    <w:rsid w:val="002035C7"/>
    <w:rsid w:val="002039A9"/>
    <w:rsid w:val="002039BE"/>
    <w:rsid w:val="002039F7"/>
    <w:rsid w:val="00204037"/>
    <w:rsid w:val="002042E9"/>
    <w:rsid w:val="00204B47"/>
    <w:rsid w:val="002052CA"/>
    <w:rsid w:val="0020536E"/>
    <w:rsid w:val="002059B9"/>
    <w:rsid w:val="00205B0A"/>
    <w:rsid w:val="00205BA3"/>
    <w:rsid w:val="0020610B"/>
    <w:rsid w:val="0020623F"/>
    <w:rsid w:val="002063C4"/>
    <w:rsid w:val="002065A4"/>
    <w:rsid w:val="0020683D"/>
    <w:rsid w:val="00206BCB"/>
    <w:rsid w:val="00206FED"/>
    <w:rsid w:val="0020708E"/>
    <w:rsid w:val="00207217"/>
    <w:rsid w:val="00207535"/>
    <w:rsid w:val="00207731"/>
    <w:rsid w:val="0020774D"/>
    <w:rsid w:val="00207B9A"/>
    <w:rsid w:val="00207C95"/>
    <w:rsid w:val="00207CEA"/>
    <w:rsid w:val="00207D5A"/>
    <w:rsid w:val="00207DDB"/>
    <w:rsid w:val="00207EA9"/>
    <w:rsid w:val="002102D2"/>
    <w:rsid w:val="00210760"/>
    <w:rsid w:val="00210D68"/>
    <w:rsid w:val="00210D69"/>
    <w:rsid w:val="00210E84"/>
    <w:rsid w:val="00210F99"/>
    <w:rsid w:val="00211115"/>
    <w:rsid w:val="00211448"/>
    <w:rsid w:val="00211690"/>
    <w:rsid w:val="002118B4"/>
    <w:rsid w:val="00211CA5"/>
    <w:rsid w:val="00211E54"/>
    <w:rsid w:val="00211ECA"/>
    <w:rsid w:val="00212185"/>
    <w:rsid w:val="00212C25"/>
    <w:rsid w:val="00212DBF"/>
    <w:rsid w:val="0021319A"/>
    <w:rsid w:val="002139C8"/>
    <w:rsid w:val="00213AD4"/>
    <w:rsid w:val="00213BF1"/>
    <w:rsid w:val="00213C2F"/>
    <w:rsid w:val="00214017"/>
    <w:rsid w:val="002140EC"/>
    <w:rsid w:val="0021420F"/>
    <w:rsid w:val="00214971"/>
    <w:rsid w:val="00214ABA"/>
    <w:rsid w:val="00214B85"/>
    <w:rsid w:val="00215153"/>
    <w:rsid w:val="002159E4"/>
    <w:rsid w:val="00215ECE"/>
    <w:rsid w:val="00215F10"/>
    <w:rsid w:val="0021613C"/>
    <w:rsid w:val="002162C9"/>
    <w:rsid w:val="002164A8"/>
    <w:rsid w:val="002165FA"/>
    <w:rsid w:val="00216FB7"/>
    <w:rsid w:val="00217242"/>
    <w:rsid w:val="00220458"/>
    <w:rsid w:val="00220ABD"/>
    <w:rsid w:val="002213F9"/>
    <w:rsid w:val="00221464"/>
    <w:rsid w:val="002219DF"/>
    <w:rsid w:val="002224DC"/>
    <w:rsid w:val="002228ED"/>
    <w:rsid w:val="00222FC2"/>
    <w:rsid w:val="00223054"/>
    <w:rsid w:val="0022314C"/>
    <w:rsid w:val="002231FB"/>
    <w:rsid w:val="002235B3"/>
    <w:rsid w:val="0022389C"/>
    <w:rsid w:val="002238C1"/>
    <w:rsid w:val="00223A12"/>
    <w:rsid w:val="002249BD"/>
    <w:rsid w:val="00224D51"/>
    <w:rsid w:val="0022533C"/>
    <w:rsid w:val="002255D1"/>
    <w:rsid w:val="002255DD"/>
    <w:rsid w:val="0022564D"/>
    <w:rsid w:val="002257E7"/>
    <w:rsid w:val="00225936"/>
    <w:rsid w:val="00225D18"/>
    <w:rsid w:val="00225E6D"/>
    <w:rsid w:val="00226145"/>
    <w:rsid w:val="002261AB"/>
    <w:rsid w:val="00226295"/>
    <w:rsid w:val="002263D0"/>
    <w:rsid w:val="00227088"/>
    <w:rsid w:val="002271F8"/>
    <w:rsid w:val="0022725C"/>
    <w:rsid w:val="00227670"/>
    <w:rsid w:val="00227942"/>
    <w:rsid w:val="00227A82"/>
    <w:rsid w:val="00227DEB"/>
    <w:rsid w:val="0022CB23"/>
    <w:rsid w:val="00230301"/>
    <w:rsid w:val="00230462"/>
    <w:rsid w:val="0023055B"/>
    <w:rsid w:val="00230857"/>
    <w:rsid w:val="002309DD"/>
    <w:rsid w:val="00231D19"/>
    <w:rsid w:val="00231DD6"/>
    <w:rsid w:val="00231E64"/>
    <w:rsid w:val="00231F47"/>
    <w:rsid w:val="002329AE"/>
    <w:rsid w:val="00232AAE"/>
    <w:rsid w:val="00232E6E"/>
    <w:rsid w:val="00232F9D"/>
    <w:rsid w:val="0023362D"/>
    <w:rsid w:val="00233A66"/>
    <w:rsid w:val="00233BF0"/>
    <w:rsid w:val="00233E55"/>
    <w:rsid w:val="00234491"/>
    <w:rsid w:val="00234514"/>
    <w:rsid w:val="002347AA"/>
    <w:rsid w:val="002347F3"/>
    <w:rsid w:val="002349A1"/>
    <w:rsid w:val="00234F5C"/>
    <w:rsid w:val="00234FEF"/>
    <w:rsid w:val="00235282"/>
    <w:rsid w:val="002353AD"/>
    <w:rsid w:val="002356CB"/>
    <w:rsid w:val="00235AC8"/>
    <w:rsid w:val="00235BE8"/>
    <w:rsid w:val="002363E7"/>
    <w:rsid w:val="00237049"/>
    <w:rsid w:val="00237164"/>
    <w:rsid w:val="002372C7"/>
    <w:rsid w:val="00237316"/>
    <w:rsid w:val="00237576"/>
    <w:rsid w:val="00237CA0"/>
    <w:rsid w:val="00240079"/>
    <w:rsid w:val="0024008B"/>
    <w:rsid w:val="00240119"/>
    <w:rsid w:val="00240203"/>
    <w:rsid w:val="002406A2"/>
    <w:rsid w:val="002410AE"/>
    <w:rsid w:val="002412F9"/>
    <w:rsid w:val="00241C73"/>
    <w:rsid w:val="00241D1E"/>
    <w:rsid w:val="0024225A"/>
    <w:rsid w:val="0024243E"/>
    <w:rsid w:val="002428C5"/>
    <w:rsid w:val="00242997"/>
    <w:rsid w:val="00242EC6"/>
    <w:rsid w:val="00242F8C"/>
    <w:rsid w:val="0024304C"/>
    <w:rsid w:val="00243EA6"/>
    <w:rsid w:val="00243F59"/>
    <w:rsid w:val="0024427C"/>
    <w:rsid w:val="00244350"/>
    <w:rsid w:val="0024438F"/>
    <w:rsid w:val="00244750"/>
    <w:rsid w:val="002448DC"/>
    <w:rsid w:val="002449B7"/>
    <w:rsid w:val="00244A12"/>
    <w:rsid w:val="00244C62"/>
    <w:rsid w:val="00244F46"/>
    <w:rsid w:val="00245362"/>
    <w:rsid w:val="00245686"/>
    <w:rsid w:val="002459CE"/>
    <w:rsid w:val="00245A86"/>
    <w:rsid w:val="00245B0F"/>
    <w:rsid w:val="00245B2C"/>
    <w:rsid w:val="00245E65"/>
    <w:rsid w:val="002464CF"/>
    <w:rsid w:val="00246684"/>
    <w:rsid w:val="00246822"/>
    <w:rsid w:val="00246B48"/>
    <w:rsid w:val="00246CC6"/>
    <w:rsid w:val="002479E4"/>
    <w:rsid w:val="00247A83"/>
    <w:rsid w:val="00247AD3"/>
    <w:rsid w:val="00247AF7"/>
    <w:rsid w:val="00247D69"/>
    <w:rsid w:val="00247DC9"/>
    <w:rsid w:val="00250092"/>
    <w:rsid w:val="0025015F"/>
    <w:rsid w:val="00250186"/>
    <w:rsid w:val="00250205"/>
    <w:rsid w:val="00250243"/>
    <w:rsid w:val="0025028F"/>
    <w:rsid w:val="0025038D"/>
    <w:rsid w:val="00250435"/>
    <w:rsid w:val="002504E1"/>
    <w:rsid w:val="00250701"/>
    <w:rsid w:val="002510F7"/>
    <w:rsid w:val="00251157"/>
    <w:rsid w:val="0025169B"/>
    <w:rsid w:val="002518FA"/>
    <w:rsid w:val="00251BB2"/>
    <w:rsid w:val="00251D26"/>
    <w:rsid w:val="002522A9"/>
    <w:rsid w:val="0025233E"/>
    <w:rsid w:val="002523AD"/>
    <w:rsid w:val="00252CA4"/>
    <w:rsid w:val="002531E9"/>
    <w:rsid w:val="0025325C"/>
    <w:rsid w:val="002532AC"/>
    <w:rsid w:val="00253359"/>
    <w:rsid w:val="00253460"/>
    <w:rsid w:val="00253B30"/>
    <w:rsid w:val="00253CF3"/>
    <w:rsid w:val="00253EDC"/>
    <w:rsid w:val="00253F6A"/>
    <w:rsid w:val="00254157"/>
    <w:rsid w:val="00254B30"/>
    <w:rsid w:val="00254F15"/>
    <w:rsid w:val="00255965"/>
    <w:rsid w:val="00255B84"/>
    <w:rsid w:val="00255C4C"/>
    <w:rsid w:val="00256059"/>
    <w:rsid w:val="00256600"/>
    <w:rsid w:val="002566DA"/>
    <w:rsid w:val="00256AA2"/>
    <w:rsid w:val="0025788F"/>
    <w:rsid w:val="00257947"/>
    <w:rsid w:val="00260E0F"/>
    <w:rsid w:val="00260E1D"/>
    <w:rsid w:val="00261027"/>
    <w:rsid w:val="002618EE"/>
    <w:rsid w:val="00261A8E"/>
    <w:rsid w:val="002624B8"/>
    <w:rsid w:val="00262755"/>
    <w:rsid w:val="002629D1"/>
    <w:rsid w:val="00262AEF"/>
    <w:rsid w:val="00262AFC"/>
    <w:rsid w:val="00263179"/>
    <w:rsid w:val="0026325D"/>
    <w:rsid w:val="00263403"/>
    <w:rsid w:val="00263650"/>
    <w:rsid w:val="0026378B"/>
    <w:rsid w:val="002637B5"/>
    <w:rsid w:val="00263999"/>
    <w:rsid w:val="0026417B"/>
    <w:rsid w:val="00264314"/>
    <w:rsid w:val="00264476"/>
    <w:rsid w:val="00264551"/>
    <w:rsid w:val="0026468D"/>
    <w:rsid w:val="00264763"/>
    <w:rsid w:val="00264800"/>
    <w:rsid w:val="00264D0B"/>
    <w:rsid w:val="00264E55"/>
    <w:rsid w:val="002657C6"/>
    <w:rsid w:val="0026603E"/>
    <w:rsid w:val="00266128"/>
    <w:rsid w:val="00266344"/>
    <w:rsid w:val="00266AF0"/>
    <w:rsid w:val="00266CD5"/>
    <w:rsid w:val="00266EE8"/>
    <w:rsid w:val="00267295"/>
    <w:rsid w:val="0026736D"/>
    <w:rsid w:val="0026784A"/>
    <w:rsid w:val="002679B5"/>
    <w:rsid w:val="00267DEE"/>
    <w:rsid w:val="00267FC0"/>
    <w:rsid w:val="00270112"/>
    <w:rsid w:val="002709D3"/>
    <w:rsid w:val="00270CB1"/>
    <w:rsid w:val="00270D85"/>
    <w:rsid w:val="002712D1"/>
    <w:rsid w:val="0027183F"/>
    <w:rsid w:val="00272393"/>
    <w:rsid w:val="002725FF"/>
    <w:rsid w:val="002726FF"/>
    <w:rsid w:val="00273276"/>
    <w:rsid w:val="002733BD"/>
    <w:rsid w:val="00273AF9"/>
    <w:rsid w:val="00273CA0"/>
    <w:rsid w:val="002741A8"/>
    <w:rsid w:val="002741B4"/>
    <w:rsid w:val="0027474F"/>
    <w:rsid w:val="00274977"/>
    <w:rsid w:val="00274B95"/>
    <w:rsid w:val="002753A7"/>
    <w:rsid w:val="0027550D"/>
    <w:rsid w:val="00275562"/>
    <w:rsid w:val="00275717"/>
    <w:rsid w:val="0027594C"/>
    <w:rsid w:val="002759DE"/>
    <w:rsid w:val="00275AB6"/>
    <w:rsid w:val="00275B1E"/>
    <w:rsid w:val="002765D0"/>
    <w:rsid w:val="00276650"/>
    <w:rsid w:val="00276C05"/>
    <w:rsid w:val="00276F42"/>
    <w:rsid w:val="00277079"/>
    <w:rsid w:val="002775B0"/>
    <w:rsid w:val="002777DD"/>
    <w:rsid w:val="00277960"/>
    <w:rsid w:val="00277A8C"/>
    <w:rsid w:val="00277CE7"/>
    <w:rsid w:val="00280297"/>
    <w:rsid w:val="0028029B"/>
    <w:rsid w:val="0028044D"/>
    <w:rsid w:val="002806A2"/>
    <w:rsid w:val="002808BA"/>
    <w:rsid w:val="00280EFE"/>
    <w:rsid w:val="0028104A"/>
    <w:rsid w:val="002811B7"/>
    <w:rsid w:val="002812CF"/>
    <w:rsid w:val="00281907"/>
    <w:rsid w:val="002819D7"/>
    <w:rsid w:val="00281F43"/>
    <w:rsid w:val="00282281"/>
    <w:rsid w:val="002823FC"/>
    <w:rsid w:val="00282586"/>
    <w:rsid w:val="002825B7"/>
    <w:rsid w:val="00282914"/>
    <w:rsid w:val="00282920"/>
    <w:rsid w:val="00282940"/>
    <w:rsid w:val="00282AF2"/>
    <w:rsid w:val="00282C7B"/>
    <w:rsid w:val="0028425C"/>
    <w:rsid w:val="00284315"/>
    <w:rsid w:val="00284DA7"/>
    <w:rsid w:val="00284F27"/>
    <w:rsid w:val="00284F88"/>
    <w:rsid w:val="00284FFF"/>
    <w:rsid w:val="0028602C"/>
    <w:rsid w:val="00286645"/>
    <w:rsid w:val="0028692A"/>
    <w:rsid w:val="002869FA"/>
    <w:rsid w:val="00286A54"/>
    <w:rsid w:val="00286E5C"/>
    <w:rsid w:val="00287281"/>
    <w:rsid w:val="002874E8"/>
    <w:rsid w:val="0028758D"/>
    <w:rsid w:val="002876E9"/>
    <w:rsid w:val="00287824"/>
    <w:rsid w:val="00287B72"/>
    <w:rsid w:val="00287F2A"/>
    <w:rsid w:val="002900D1"/>
    <w:rsid w:val="00290AEC"/>
    <w:rsid w:val="00291214"/>
    <w:rsid w:val="00291569"/>
    <w:rsid w:val="00291920"/>
    <w:rsid w:val="0029202D"/>
    <w:rsid w:val="002922E0"/>
    <w:rsid w:val="0029314E"/>
    <w:rsid w:val="00293A84"/>
    <w:rsid w:val="00293C36"/>
    <w:rsid w:val="00293FAC"/>
    <w:rsid w:val="002940AE"/>
    <w:rsid w:val="002942EF"/>
    <w:rsid w:val="00294629"/>
    <w:rsid w:val="0029478A"/>
    <w:rsid w:val="002947D6"/>
    <w:rsid w:val="00294859"/>
    <w:rsid w:val="002949A3"/>
    <w:rsid w:val="00294B00"/>
    <w:rsid w:val="00294E37"/>
    <w:rsid w:val="00294F81"/>
    <w:rsid w:val="00295307"/>
    <w:rsid w:val="0029548B"/>
    <w:rsid w:val="00295609"/>
    <w:rsid w:val="00295687"/>
    <w:rsid w:val="002957B6"/>
    <w:rsid w:val="00295832"/>
    <w:rsid w:val="00295A24"/>
    <w:rsid w:val="00295B29"/>
    <w:rsid w:val="00295B58"/>
    <w:rsid w:val="00295D33"/>
    <w:rsid w:val="00295EB2"/>
    <w:rsid w:val="0029602A"/>
    <w:rsid w:val="00296673"/>
    <w:rsid w:val="00296A09"/>
    <w:rsid w:val="00296C78"/>
    <w:rsid w:val="00296CC5"/>
    <w:rsid w:val="002972BE"/>
    <w:rsid w:val="0029736E"/>
    <w:rsid w:val="00297754"/>
    <w:rsid w:val="002A0042"/>
    <w:rsid w:val="002A01D5"/>
    <w:rsid w:val="002A0228"/>
    <w:rsid w:val="002A042C"/>
    <w:rsid w:val="002A04B9"/>
    <w:rsid w:val="002A0C05"/>
    <w:rsid w:val="002A1304"/>
    <w:rsid w:val="002A172B"/>
    <w:rsid w:val="002A180E"/>
    <w:rsid w:val="002A1962"/>
    <w:rsid w:val="002A2482"/>
    <w:rsid w:val="002A2DA5"/>
    <w:rsid w:val="002A2E70"/>
    <w:rsid w:val="002A3016"/>
    <w:rsid w:val="002A31ED"/>
    <w:rsid w:val="002A3297"/>
    <w:rsid w:val="002A33C8"/>
    <w:rsid w:val="002A33DC"/>
    <w:rsid w:val="002A383F"/>
    <w:rsid w:val="002A4463"/>
    <w:rsid w:val="002A46B8"/>
    <w:rsid w:val="002A47C4"/>
    <w:rsid w:val="002A48DC"/>
    <w:rsid w:val="002A4D26"/>
    <w:rsid w:val="002A4E1E"/>
    <w:rsid w:val="002A4F7F"/>
    <w:rsid w:val="002A50FA"/>
    <w:rsid w:val="002A57D5"/>
    <w:rsid w:val="002A5A6B"/>
    <w:rsid w:val="002A5DE1"/>
    <w:rsid w:val="002A607E"/>
    <w:rsid w:val="002A699E"/>
    <w:rsid w:val="002A6C30"/>
    <w:rsid w:val="002A790B"/>
    <w:rsid w:val="002A7A6B"/>
    <w:rsid w:val="002A7DCC"/>
    <w:rsid w:val="002A7E45"/>
    <w:rsid w:val="002B0188"/>
    <w:rsid w:val="002B034C"/>
    <w:rsid w:val="002B03B5"/>
    <w:rsid w:val="002B03DC"/>
    <w:rsid w:val="002B085B"/>
    <w:rsid w:val="002B09C5"/>
    <w:rsid w:val="002B1214"/>
    <w:rsid w:val="002B17E4"/>
    <w:rsid w:val="002B21B7"/>
    <w:rsid w:val="002B2236"/>
    <w:rsid w:val="002B22AF"/>
    <w:rsid w:val="002B23E8"/>
    <w:rsid w:val="002B2719"/>
    <w:rsid w:val="002B2AE5"/>
    <w:rsid w:val="002B3343"/>
    <w:rsid w:val="002B35EB"/>
    <w:rsid w:val="002B372F"/>
    <w:rsid w:val="002B3A1E"/>
    <w:rsid w:val="002B3C86"/>
    <w:rsid w:val="002B4690"/>
    <w:rsid w:val="002B4857"/>
    <w:rsid w:val="002B496B"/>
    <w:rsid w:val="002B4ACD"/>
    <w:rsid w:val="002B4C54"/>
    <w:rsid w:val="002B520D"/>
    <w:rsid w:val="002B55E1"/>
    <w:rsid w:val="002B5862"/>
    <w:rsid w:val="002B5926"/>
    <w:rsid w:val="002B5DA4"/>
    <w:rsid w:val="002B6814"/>
    <w:rsid w:val="002B6BA2"/>
    <w:rsid w:val="002B6F80"/>
    <w:rsid w:val="002B7458"/>
    <w:rsid w:val="002B7DD9"/>
    <w:rsid w:val="002C0011"/>
    <w:rsid w:val="002C0148"/>
    <w:rsid w:val="002C075C"/>
    <w:rsid w:val="002C07CF"/>
    <w:rsid w:val="002C08E2"/>
    <w:rsid w:val="002C0DE5"/>
    <w:rsid w:val="002C0E1C"/>
    <w:rsid w:val="002C0F4F"/>
    <w:rsid w:val="002C1141"/>
    <w:rsid w:val="002C1475"/>
    <w:rsid w:val="002C1477"/>
    <w:rsid w:val="002C17FD"/>
    <w:rsid w:val="002C1A8E"/>
    <w:rsid w:val="002C1DD9"/>
    <w:rsid w:val="002C204D"/>
    <w:rsid w:val="002C2554"/>
    <w:rsid w:val="002C26FA"/>
    <w:rsid w:val="002C2793"/>
    <w:rsid w:val="002C2B57"/>
    <w:rsid w:val="002C2F1F"/>
    <w:rsid w:val="002C31A8"/>
    <w:rsid w:val="002C390E"/>
    <w:rsid w:val="002C3B00"/>
    <w:rsid w:val="002C3D8C"/>
    <w:rsid w:val="002C4091"/>
    <w:rsid w:val="002C440B"/>
    <w:rsid w:val="002C45ED"/>
    <w:rsid w:val="002C4799"/>
    <w:rsid w:val="002C484E"/>
    <w:rsid w:val="002C4C66"/>
    <w:rsid w:val="002C515E"/>
    <w:rsid w:val="002C5217"/>
    <w:rsid w:val="002C570E"/>
    <w:rsid w:val="002C58AF"/>
    <w:rsid w:val="002C5D98"/>
    <w:rsid w:val="002C5DD1"/>
    <w:rsid w:val="002C659C"/>
    <w:rsid w:val="002C6767"/>
    <w:rsid w:val="002C67EF"/>
    <w:rsid w:val="002C687F"/>
    <w:rsid w:val="002C68AA"/>
    <w:rsid w:val="002C6D26"/>
    <w:rsid w:val="002C7002"/>
    <w:rsid w:val="002C7B24"/>
    <w:rsid w:val="002C7F73"/>
    <w:rsid w:val="002C7F94"/>
    <w:rsid w:val="002D0239"/>
    <w:rsid w:val="002D0A04"/>
    <w:rsid w:val="002D0B98"/>
    <w:rsid w:val="002D0C98"/>
    <w:rsid w:val="002D0E13"/>
    <w:rsid w:val="002D101B"/>
    <w:rsid w:val="002D1050"/>
    <w:rsid w:val="002D1492"/>
    <w:rsid w:val="002D2741"/>
    <w:rsid w:val="002D2A10"/>
    <w:rsid w:val="002D2A35"/>
    <w:rsid w:val="002D3055"/>
    <w:rsid w:val="002D3D5F"/>
    <w:rsid w:val="002D407E"/>
    <w:rsid w:val="002D40E4"/>
    <w:rsid w:val="002D458A"/>
    <w:rsid w:val="002D4A1B"/>
    <w:rsid w:val="002D4AF3"/>
    <w:rsid w:val="002D4C8D"/>
    <w:rsid w:val="002D4DBB"/>
    <w:rsid w:val="002D4FC9"/>
    <w:rsid w:val="002D52C2"/>
    <w:rsid w:val="002D55FB"/>
    <w:rsid w:val="002D568D"/>
    <w:rsid w:val="002D5711"/>
    <w:rsid w:val="002D5AF2"/>
    <w:rsid w:val="002D5CC5"/>
    <w:rsid w:val="002D5D55"/>
    <w:rsid w:val="002D5F55"/>
    <w:rsid w:val="002D6349"/>
    <w:rsid w:val="002D6620"/>
    <w:rsid w:val="002D6690"/>
    <w:rsid w:val="002D677B"/>
    <w:rsid w:val="002D6890"/>
    <w:rsid w:val="002D6DBD"/>
    <w:rsid w:val="002D6DC6"/>
    <w:rsid w:val="002D6F9B"/>
    <w:rsid w:val="002D74C1"/>
    <w:rsid w:val="002D76D9"/>
    <w:rsid w:val="002D7AC3"/>
    <w:rsid w:val="002D7C87"/>
    <w:rsid w:val="002E01A1"/>
    <w:rsid w:val="002E046A"/>
    <w:rsid w:val="002E07FA"/>
    <w:rsid w:val="002E1498"/>
    <w:rsid w:val="002E155C"/>
    <w:rsid w:val="002E15F7"/>
    <w:rsid w:val="002E1618"/>
    <w:rsid w:val="002E1B2D"/>
    <w:rsid w:val="002E1CD1"/>
    <w:rsid w:val="002E1D58"/>
    <w:rsid w:val="002E2320"/>
    <w:rsid w:val="002E2594"/>
    <w:rsid w:val="002E25BF"/>
    <w:rsid w:val="002E27B7"/>
    <w:rsid w:val="002E2839"/>
    <w:rsid w:val="002E287F"/>
    <w:rsid w:val="002E294A"/>
    <w:rsid w:val="002E2A28"/>
    <w:rsid w:val="002E3092"/>
    <w:rsid w:val="002E31D0"/>
    <w:rsid w:val="002E31D3"/>
    <w:rsid w:val="002E32AE"/>
    <w:rsid w:val="002E3325"/>
    <w:rsid w:val="002E3733"/>
    <w:rsid w:val="002E38D4"/>
    <w:rsid w:val="002E3A99"/>
    <w:rsid w:val="002E3BAA"/>
    <w:rsid w:val="002E3E10"/>
    <w:rsid w:val="002E3F7A"/>
    <w:rsid w:val="002E460C"/>
    <w:rsid w:val="002E480C"/>
    <w:rsid w:val="002E4875"/>
    <w:rsid w:val="002E4CBA"/>
    <w:rsid w:val="002E4DA3"/>
    <w:rsid w:val="002E4EE6"/>
    <w:rsid w:val="002E5022"/>
    <w:rsid w:val="002E51BC"/>
    <w:rsid w:val="002E5F50"/>
    <w:rsid w:val="002E679B"/>
    <w:rsid w:val="002E6867"/>
    <w:rsid w:val="002E6907"/>
    <w:rsid w:val="002E74A4"/>
    <w:rsid w:val="002E7A26"/>
    <w:rsid w:val="002E7A54"/>
    <w:rsid w:val="002F0038"/>
    <w:rsid w:val="002F0329"/>
    <w:rsid w:val="002F0370"/>
    <w:rsid w:val="002F0BBA"/>
    <w:rsid w:val="002F0C82"/>
    <w:rsid w:val="002F0E18"/>
    <w:rsid w:val="002F140A"/>
    <w:rsid w:val="002F14DB"/>
    <w:rsid w:val="002F1625"/>
    <w:rsid w:val="002F19F9"/>
    <w:rsid w:val="002F1FE5"/>
    <w:rsid w:val="002F206F"/>
    <w:rsid w:val="002F22A5"/>
    <w:rsid w:val="002F318F"/>
    <w:rsid w:val="002F33EE"/>
    <w:rsid w:val="002F404A"/>
    <w:rsid w:val="002F4320"/>
    <w:rsid w:val="002F4323"/>
    <w:rsid w:val="002F49CF"/>
    <w:rsid w:val="002F49DE"/>
    <w:rsid w:val="002F4E55"/>
    <w:rsid w:val="002F59C5"/>
    <w:rsid w:val="002F6873"/>
    <w:rsid w:val="002F6A68"/>
    <w:rsid w:val="002F7706"/>
    <w:rsid w:val="002F77F9"/>
    <w:rsid w:val="002F7901"/>
    <w:rsid w:val="002F79DA"/>
    <w:rsid w:val="003001DB"/>
    <w:rsid w:val="003002C7"/>
    <w:rsid w:val="00300384"/>
    <w:rsid w:val="003004D7"/>
    <w:rsid w:val="00300B8F"/>
    <w:rsid w:val="00300FCE"/>
    <w:rsid w:val="00301221"/>
    <w:rsid w:val="003014DF"/>
    <w:rsid w:val="003017E3"/>
    <w:rsid w:val="0030183C"/>
    <w:rsid w:val="00301876"/>
    <w:rsid w:val="00301EC2"/>
    <w:rsid w:val="00302C30"/>
    <w:rsid w:val="00302DAE"/>
    <w:rsid w:val="00302EC0"/>
    <w:rsid w:val="00302FA7"/>
    <w:rsid w:val="003037A8"/>
    <w:rsid w:val="0030392A"/>
    <w:rsid w:val="00303F2F"/>
    <w:rsid w:val="00304022"/>
    <w:rsid w:val="00304052"/>
    <w:rsid w:val="0030408D"/>
    <w:rsid w:val="003040FB"/>
    <w:rsid w:val="003044B9"/>
    <w:rsid w:val="0030496D"/>
    <w:rsid w:val="00304ABA"/>
    <w:rsid w:val="00304FC3"/>
    <w:rsid w:val="003051C3"/>
    <w:rsid w:val="00305357"/>
    <w:rsid w:val="003057CF"/>
    <w:rsid w:val="003057DE"/>
    <w:rsid w:val="00305904"/>
    <w:rsid w:val="00306446"/>
    <w:rsid w:val="00306A2C"/>
    <w:rsid w:val="00306B91"/>
    <w:rsid w:val="00306E36"/>
    <w:rsid w:val="00306ECC"/>
    <w:rsid w:val="00307182"/>
    <w:rsid w:val="003073CE"/>
    <w:rsid w:val="003073DA"/>
    <w:rsid w:val="0030744E"/>
    <w:rsid w:val="003074B5"/>
    <w:rsid w:val="00307520"/>
    <w:rsid w:val="00307578"/>
    <w:rsid w:val="003076C2"/>
    <w:rsid w:val="00307925"/>
    <w:rsid w:val="003079EA"/>
    <w:rsid w:val="003079EF"/>
    <w:rsid w:val="00307F05"/>
    <w:rsid w:val="0031017B"/>
    <w:rsid w:val="0031020C"/>
    <w:rsid w:val="003105BA"/>
    <w:rsid w:val="00310789"/>
    <w:rsid w:val="00310BDB"/>
    <w:rsid w:val="00310EF8"/>
    <w:rsid w:val="00311166"/>
    <w:rsid w:val="003111F9"/>
    <w:rsid w:val="00311230"/>
    <w:rsid w:val="003115A0"/>
    <w:rsid w:val="003116D8"/>
    <w:rsid w:val="00311937"/>
    <w:rsid w:val="00311A06"/>
    <w:rsid w:val="00311C5C"/>
    <w:rsid w:val="00311F09"/>
    <w:rsid w:val="003127E7"/>
    <w:rsid w:val="00312AE9"/>
    <w:rsid w:val="00312C8A"/>
    <w:rsid w:val="0031313F"/>
    <w:rsid w:val="00313203"/>
    <w:rsid w:val="00313246"/>
    <w:rsid w:val="00313651"/>
    <w:rsid w:val="00313737"/>
    <w:rsid w:val="003137A8"/>
    <w:rsid w:val="00313CD7"/>
    <w:rsid w:val="0031411F"/>
    <w:rsid w:val="00314142"/>
    <w:rsid w:val="0031472F"/>
    <w:rsid w:val="00314DA6"/>
    <w:rsid w:val="00314E18"/>
    <w:rsid w:val="00314F1F"/>
    <w:rsid w:val="00315226"/>
    <w:rsid w:val="003152B1"/>
    <w:rsid w:val="00315393"/>
    <w:rsid w:val="00315414"/>
    <w:rsid w:val="0031565D"/>
    <w:rsid w:val="003156DD"/>
    <w:rsid w:val="003157D7"/>
    <w:rsid w:val="00315853"/>
    <w:rsid w:val="00315A0D"/>
    <w:rsid w:val="00316039"/>
    <w:rsid w:val="00316941"/>
    <w:rsid w:val="003169AB"/>
    <w:rsid w:val="00316BF1"/>
    <w:rsid w:val="003176B1"/>
    <w:rsid w:val="0031775B"/>
    <w:rsid w:val="003178F3"/>
    <w:rsid w:val="0031790D"/>
    <w:rsid w:val="003179E6"/>
    <w:rsid w:val="00317C6D"/>
    <w:rsid w:val="00317E2F"/>
    <w:rsid w:val="00320290"/>
    <w:rsid w:val="00320422"/>
    <w:rsid w:val="00320959"/>
    <w:rsid w:val="00320FF8"/>
    <w:rsid w:val="00321267"/>
    <w:rsid w:val="00321404"/>
    <w:rsid w:val="00321813"/>
    <w:rsid w:val="00321821"/>
    <w:rsid w:val="00321AEF"/>
    <w:rsid w:val="00321E2A"/>
    <w:rsid w:val="00322224"/>
    <w:rsid w:val="00322258"/>
    <w:rsid w:val="00322769"/>
    <w:rsid w:val="00322B9F"/>
    <w:rsid w:val="00322BDC"/>
    <w:rsid w:val="00322C20"/>
    <w:rsid w:val="003230B4"/>
    <w:rsid w:val="003230DB"/>
    <w:rsid w:val="00323206"/>
    <w:rsid w:val="003232A4"/>
    <w:rsid w:val="003233F8"/>
    <w:rsid w:val="003235A1"/>
    <w:rsid w:val="0032383E"/>
    <w:rsid w:val="00323E8C"/>
    <w:rsid w:val="00324899"/>
    <w:rsid w:val="003248B0"/>
    <w:rsid w:val="00324F3D"/>
    <w:rsid w:val="0032529F"/>
    <w:rsid w:val="00325630"/>
    <w:rsid w:val="00325B0D"/>
    <w:rsid w:val="00325FFC"/>
    <w:rsid w:val="003262C1"/>
    <w:rsid w:val="00326430"/>
    <w:rsid w:val="00326640"/>
    <w:rsid w:val="00326762"/>
    <w:rsid w:val="00327168"/>
    <w:rsid w:val="003278CF"/>
    <w:rsid w:val="00327953"/>
    <w:rsid w:val="00327E8F"/>
    <w:rsid w:val="0033031E"/>
    <w:rsid w:val="003303EC"/>
    <w:rsid w:val="00330509"/>
    <w:rsid w:val="0033095C"/>
    <w:rsid w:val="003310D0"/>
    <w:rsid w:val="00331443"/>
    <w:rsid w:val="003314CA"/>
    <w:rsid w:val="003317A8"/>
    <w:rsid w:val="00331A46"/>
    <w:rsid w:val="00331B01"/>
    <w:rsid w:val="00331C86"/>
    <w:rsid w:val="00331FBA"/>
    <w:rsid w:val="0033267D"/>
    <w:rsid w:val="003327DC"/>
    <w:rsid w:val="003329CC"/>
    <w:rsid w:val="00332AC8"/>
    <w:rsid w:val="0033380B"/>
    <w:rsid w:val="00333B10"/>
    <w:rsid w:val="00333C52"/>
    <w:rsid w:val="00333E8B"/>
    <w:rsid w:val="00333FB2"/>
    <w:rsid w:val="00334559"/>
    <w:rsid w:val="00334819"/>
    <w:rsid w:val="003349F4"/>
    <w:rsid w:val="00334A05"/>
    <w:rsid w:val="00334CCE"/>
    <w:rsid w:val="00334D7C"/>
    <w:rsid w:val="00334E83"/>
    <w:rsid w:val="00334EB5"/>
    <w:rsid w:val="003352B2"/>
    <w:rsid w:val="00335365"/>
    <w:rsid w:val="003356CB"/>
    <w:rsid w:val="003358C0"/>
    <w:rsid w:val="0033599F"/>
    <w:rsid w:val="003359CF"/>
    <w:rsid w:val="0033612E"/>
    <w:rsid w:val="00336200"/>
    <w:rsid w:val="0033629E"/>
    <w:rsid w:val="00336CEB"/>
    <w:rsid w:val="00336ECB"/>
    <w:rsid w:val="003373DA"/>
    <w:rsid w:val="00337473"/>
    <w:rsid w:val="0033767E"/>
    <w:rsid w:val="003377AE"/>
    <w:rsid w:val="0033786C"/>
    <w:rsid w:val="003378A4"/>
    <w:rsid w:val="0033792B"/>
    <w:rsid w:val="0033797B"/>
    <w:rsid w:val="00337AD7"/>
    <w:rsid w:val="00337D24"/>
    <w:rsid w:val="00337F16"/>
    <w:rsid w:val="0034005F"/>
    <w:rsid w:val="00340F22"/>
    <w:rsid w:val="00341416"/>
    <w:rsid w:val="00341726"/>
    <w:rsid w:val="00341759"/>
    <w:rsid w:val="00341907"/>
    <w:rsid w:val="003419BC"/>
    <w:rsid w:val="003419F2"/>
    <w:rsid w:val="003427CD"/>
    <w:rsid w:val="00342904"/>
    <w:rsid w:val="00342B65"/>
    <w:rsid w:val="00342B8A"/>
    <w:rsid w:val="00342B93"/>
    <w:rsid w:val="00342CF5"/>
    <w:rsid w:val="00342D60"/>
    <w:rsid w:val="00342E87"/>
    <w:rsid w:val="003431F7"/>
    <w:rsid w:val="00343336"/>
    <w:rsid w:val="0034334A"/>
    <w:rsid w:val="003435CB"/>
    <w:rsid w:val="00343898"/>
    <w:rsid w:val="00343BF5"/>
    <w:rsid w:val="00343EF2"/>
    <w:rsid w:val="003443A7"/>
    <w:rsid w:val="00344B3A"/>
    <w:rsid w:val="00345608"/>
    <w:rsid w:val="003459BB"/>
    <w:rsid w:val="00345E14"/>
    <w:rsid w:val="00345E3C"/>
    <w:rsid w:val="003461B7"/>
    <w:rsid w:val="0034679E"/>
    <w:rsid w:val="00346BB1"/>
    <w:rsid w:val="003472BC"/>
    <w:rsid w:val="0034772F"/>
    <w:rsid w:val="00347B4C"/>
    <w:rsid w:val="00347C88"/>
    <w:rsid w:val="00347DE6"/>
    <w:rsid w:val="00347F44"/>
    <w:rsid w:val="00350024"/>
    <w:rsid w:val="00350247"/>
    <w:rsid w:val="003503A3"/>
    <w:rsid w:val="0035096C"/>
    <w:rsid w:val="00350A89"/>
    <w:rsid w:val="00350CEA"/>
    <w:rsid w:val="003510B5"/>
    <w:rsid w:val="00351264"/>
    <w:rsid w:val="00351331"/>
    <w:rsid w:val="00351729"/>
    <w:rsid w:val="00351821"/>
    <w:rsid w:val="00351BC7"/>
    <w:rsid w:val="00351DE7"/>
    <w:rsid w:val="00351E26"/>
    <w:rsid w:val="0035215D"/>
    <w:rsid w:val="00352265"/>
    <w:rsid w:val="0035232B"/>
    <w:rsid w:val="0035247F"/>
    <w:rsid w:val="00352AAF"/>
    <w:rsid w:val="00352AC6"/>
    <w:rsid w:val="00352D8F"/>
    <w:rsid w:val="00352DE2"/>
    <w:rsid w:val="003530A4"/>
    <w:rsid w:val="003538E0"/>
    <w:rsid w:val="00353C66"/>
    <w:rsid w:val="00354166"/>
    <w:rsid w:val="003545E4"/>
    <w:rsid w:val="00354A31"/>
    <w:rsid w:val="00354FA1"/>
    <w:rsid w:val="003553A6"/>
    <w:rsid w:val="00355430"/>
    <w:rsid w:val="0035593C"/>
    <w:rsid w:val="003559DA"/>
    <w:rsid w:val="00355D76"/>
    <w:rsid w:val="00355E51"/>
    <w:rsid w:val="00356160"/>
    <w:rsid w:val="00356168"/>
    <w:rsid w:val="003565DB"/>
    <w:rsid w:val="0035664D"/>
    <w:rsid w:val="003566E9"/>
    <w:rsid w:val="003567B6"/>
    <w:rsid w:val="00356B83"/>
    <w:rsid w:val="00356BEA"/>
    <w:rsid w:val="00356F23"/>
    <w:rsid w:val="003571DC"/>
    <w:rsid w:val="003572E5"/>
    <w:rsid w:val="003576F8"/>
    <w:rsid w:val="0035771D"/>
    <w:rsid w:val="00357987"/>
    <w:rsid w:val="00357FBD"/>
    <w:rsid w:val="003601A3"/>
    <w:rsid w:val="003601D2"/>
    <w:rsid w:val="00360402"/>
    <w:rsid w:val="0036041B"/>
    <w:rsid w:val="00360485"/>
    <w:rsid w:val="00360781"/>
    <w:rsid w:val="003609D2"/>
    <w:rsid w:val="00360D75"/>
    <w:rsid w:val="00360E4B"/>
    <w:rsid w:val="00360F3A"/>
    <w:rsid w:val="00360F56"/>
    <w:rsid w:val="00360FB2"/>
    <w:rsid w:val="00361097"/>
    <w:rsid w:val="00361125"/>
    <w:rsid w:val="003613A5"/>
    <w:rsid w:val="003615AF"/>
    <w:rsid w:val="00361757"/>
    <w:rsid w:val="00361D35"/>
    <w:rsid w:val="00362100"/>
    <w:rsid w:val="00362109"/>
    <w:rsid w:val="00362279"/>
    <w:rsid w:val="0036294A"/>
    <w:rsid w:val="0036295E"/>
    <w:rsid w:val="00362CF7"/>
    <w:rsid w:val="003636E0"/>
    <w:rsid w:val="00363C2F"/>
    <w:rsid w:val="003642F8"/>
    <w:rsid w:val="003643C3"/>
    <w:rsid w:val="00364A3B"/>
    <w:rsid w:val="00364AB9"/>
    <w:rsid w:val="00364D65"/>
    <w:rsid w:val="00364D6A"/>
    <w:rsid w:val="00364F42"/>
    <w:rsid w:val="003651E5"/>
    <w:rsid w:val="00365626"/>
    <w:rsid w:val="00365AB0"/>
    <w:rsid w:val="00365C92"/>
    <w:rsid w:val="00365CAA"/>
    <w:rsid w:val="003666BB"/>
    <w:rsid w:val="003668C6"/>
    <w:rsid w:val="00366A84"/>
    <w:rsid w:val="00366A9A"/>
    <w:rsid w:val="00367169"/>
    <w:rsid w:val="0036716B"/>
    <w:rsid w:val="00367305"/>
    <w:rsid w:val="00367793"/>
    <w:rsid w:val="003701AA"/>
    <w:rsid w:val="00370349"/>
    <w:rsid w:val="00370CEB"/>
    <w:rsid w:val="00371150"/>
    <w:rsid w:val="00371A20"/>
    <w:rsid w:val="00371B91"/>
    <w:rsid w:val="00372057"/>
    <w:rsid w:val="0037219D"/>
    <w:rsid w:val="00372872"/>
    <w:rsid w:val="0037293D"/>
    <w:rsid w:val="00372943"/>
    <w:rsid w:val="00372D9D"/>
    <w:rsid w:val="003738FD"/>
    <w:rsid w:val="00373B1F"/>
    <w:rsid w:val="00373F50"/>
    <w:rsid w:val="003740F7"/>
    <w:rsid w:val="003744B2"/>
    <w:rsid w:val="00374966"/>
    <w:rsid w:val="00374B00"/>
    <w:rsid w:val="00374B7F"/>
    <w:rsid w:val="00374FF1"/>
    <w:rsid w:val="003750D1"/>
    <w:rsid w:val="00375561"/>
    <w:rsid w:val="00375AFA"/>
    <w:rsid w:val="00375C74"/>
    <w:rsid w:val="00375D1C"/>
    <w:rsid w:val="00375E66"/>
    <w:rsid w:val="003763F5"/>
    <w:rsid w:val="00376FE7"/>
    <w:rsid w:val="003774BD"/>
    <w:rsid w:val="00377532"/>
    <w:rsid w:val="00377663"/>
    <w:rsid w:val="00377C9B"/>
    <w:rsid w:val="00377D45"/>
    <w:rsid w:val="003800AB"/>
    <w:rsid w:val="00380C3D"/>
    <w:rsid w:val="00380E38"/>
    <w:rsid w:val="00381168"/>
    <w:rsid w:val="003811C2"/>
    <w:rsid w:val="00381C1B"/>
    <w:rsid w:val="00381C8E"/>
    <w:rsid w:val="00381D03"/>
    <w:rsid w:val="00381EDD"/>
    <w:rsid w:val="00382278"/>
    <w:rsid w:val="003826EB"/>
    <w:rsid w:val="00382B26"/>
    <w:rsid w:val="00382F52"/>
    <w:rsid w:val="003830D6"/>
    <w:rsid w:val="00383258"/>
    <w:rsid w:val="003837FF"/>
    <w:rsid w:val="00383862"/>
    <w:rsid w:val="00383C87"/>
    <w:rsid w:val="0038401B"/>
    <w:rsid w:val="0038434E"/>
    <w:rsid w:val="00384F38"/>
    <w:rsid w:val="0038526D"/>
    <w:rsid w:val="00385971"/>
    <w:rsid w:val="00385A2B"/>
    <w:rsid w:val="00385AED"/>
    <w:rsid w:val="00386030"/>
    <w:rsid w:val="003860A3"/>
    <w:rsid w:val="003861D4"/>
    <w:rsid w:val="0038630C"/>
    <w:rsid w:val="00386AF5"/>
    <w:rsid w:val="0038730A"/>
    <w:rsid w:val="003876F9"/>
    <w:rsid w:val="003878DB"/>
    <w:rsid w:val="00390553"/>
    <w:rsid w:val="00390802"/>
    <w:rsid w:val="00390925"/>
    <w:rsid w:val="00390A39"/>
    <w:rsid w:val="00390B17"/>
    <w:rsid w:val="00390BE1"/>
    <w:rsid w:val="00390EED"/>
    <w:rsid w:val="00391753"/>
    <w:rsid w:val="003919D9"/>
    <w:rsid w:val="00391BDC"/>
    <w:rsid w:val="00391D2B"/>
    <w:rsid w:val="00391E26"/>
    <w:rsid w:val="00391EDA"/>
    <w:rsid w:val="003920B3"/>
    <w:rsid w:val="0039227C"/>
    <w:rsid w:val="00392535"/>
    <w:rsid w:val="003929AF"/>
    <w:rsid w:val="00392A1C"/>
    <w:rsid w:val="00393151"/>
    <w:rsid w:val="00393273"/>
    <w:rsid w:val="00393294"/>
    <w:rsid w:val="00393722"/>
    <w:rsid w:val="00393CDF"/>
    <w:rsid w:val="00394075"/>
    <w:rsid w:val="00394268"/>
    <w:rsid w:val="00394302"/>
    <w:rsid w:val="00394595"/>
    <w:rsid w:val="0039467C"/>
    <w:rsid w:val="00394DDA"/>
    <w:rsid w:val="00394ECF"/>
    <w:rsid w:val="00394F8E"/>
    <w:rsid w:val="00395180"/>
    <w:rsid w:val="003959D4"/>
    <w:rsid w:val="0039602E"/>
    <w:rsid w:val="003963B0"/>
    <w:rsid w:val="00396547"/>
    <w:rsid w:val="0039670E"/>
    <w:rsid w:val="00396864"/>
    <w:rsid w:val="00396B71"/>
    <w:rsid w:val="00396BB6"/>
    <w:rsid w:val="00396BC0"/>
    <w:rsid w:val="00396EBC"/>
    <w:rsid w:val="00397070"/>
    <w:rsid w:val="0039710D"/>
    <w:rsid w:val="003A006C"/>
    <w:rsid w:val="003A04FE"/>
    <w:rsid w:val="003A063D"/>
    <w:rsid w:val="003A0C1F"/>
    <w:rsid w:val="003A0E9E"/>
    <w:rsid w:val="003A0F63"/>
    <w:rsid w:val="003A1693"/>
    <w:rsid w:val="003A16B9"/>
    <w:rsid w:val="003A1DC0"/>
    <w:rsid w:val="003A2707"/>
    <w:rsid w:val="003A28DE"/>
    <w:rsid w:val="003A2A84"/>
    <w:rsid w:val="003A3266"/>
    <w:rsid w:val="003A3574"/>
    <w:rsid w:val="003A3891"/>
    <w:rsid w:val="003A39A4"/>
    <w:rsid w:val="003A3F30"/>
    <w:rsid w:val="003A40B1"/>
    <w:rsid w:val="003A41FC"/>
    <w:rsid w:val="003A422F"/>
    <w:rsid w:val="003A42BD"/>
    <w:rsid w:val="003A4765"/>
    <w:rsid w:val="003A48A2"/>
    <w:rsid w:val="003A496E"/>
    <w:rsid w:val="003A4C14"/>
    <w:rsid w:val="003A4C33"/>
    <w:rsid w:val="003A508E"/>
    <w:rsid w:val="003A5616"/>
    <w:rsid w:val="003A56E3"/>
    <w:rsid w:val="003A5915"/>
    <w:rsid w:val="003A5E22"/>
    <w:rsid w:val="003A5F15"/>
    <w:rsid w:val="003A5FEE"/>
    <w:rsid w:val="003A6513"/>
    <w:rsid w:val="003A6598"/>
    <w:rsid w:val="003A674B"/>
    <w:rsid w:val="003A682E"/>
    <w:rsid w:val="003A70AF"/>
    <w:rsid w:val="003A75BF"/>
    <w:rsid w:val="003A7ED4"/>
    <w:rsid w:val="003A7FA9"/>
    <w:rsid w:val="003B08DD"/>
    <w:rsid w:val="003B0AD2"/>
    <w:rsid w:val="003B0B65"/>
    <w:rsid w:val="003B0BEB"/>
    <w:rsid w:val="003B11C5"/>
    <w:rsid w:val="003B132D"/>
    <w:rsid w:val="003B15BD"/>
    <w:rsid w:val="003B1737"/>
    <w:rsid w:val="003B19EC"/>
    <w:rsid w:val="003B1F9A"/>
    <w:rsid w:val="003B23FE"/>
    <w:rsid w:val="003B2589"/>
    <w:rsid w:val="003B2697"/>
    <w:rsid w:val="003B275E"/>
    <w:rsid w:val="003B3218"/>
    <w:rsid w:val="003B346E"/>
    <w:rsid w:val="003B3947"/>
    <w:rsid w:val="003B3D37"/>
    <w:rsid w:val="003B41EF"/>
    <w:rsid w:val="003B44C2"/>
    <w:rsid w:val="003B4509"/>
    <w:rsid w:val="003B476F"/>
    <w:rsid w:val="003B4C05"/>
    <w:rsid w:val="003B4F38"/>
    <w:rsid w:val="003B52E5"/>
    <w:rsid w:val="003B53BB"/>
    <w:rsid w:val="003B5E37"/>
    <w:rsid w:val="003B6488"/>
    <w:rsid w:val="003B6C07"/>
    <w:rsid w:val="003B7BCA"/>
    <w:rsid w:val="003C00E1"/>
    <w:rsid w:val="003C0469"/>
    <w:rsid w:val="003C0676"/>
    <w:rsid w:val="003C0CFE"/>
    <w:rsid w:val="003C104A"/>
    <w:rsid w:val="003C1504"/>
    <w:rsid w:val="003C162D"/>
    <w:rsid w:val="003C16D8"/>
    <w:rsid w:val="003C1C2B"/>
    <w:rsid w:val="003C22DE"/>
    <w:rsid w:val="003C2560"/>
    <w:rsid w:val="003C2E1A"/>
    <w:rsid w:val="003C2FA2"/>
    <w:rsid w:val="003C39E1"/>
    <w:rsid w:val="003C3FC1"/>
    <w:rsid w:val="003C4348"/>
    <w:rsid w:val="003C44FA"/>
    <w:rsid w:val="003C4544"/>
    <w:rsid w:val="003C4BF5"/>
    <w:rsid w:val="003C4F48"/>
    <w:rsid w:val="003C4FC8"/>
    <w:rsid w:val="003C52D9"/>
    <w:rsid w:val="003C572B"/>
    <w:rsid w:val="003C5CCB"/>
    <w:rsid w:val="003C5E02"/>
    <w:rsid w:val="003C60C9"/>
    <w:rsid w:val="003C60F9"/>
    <w:rsid w:val="003C6142"/>
    <w:rsid w:val="003C6AA4"/>
    <w:rsid w:val="003C6C26"/>
    <w:rsid w:val="003C6D1B"/>
    <w:rsid w:val="003C6F2B"/>
    <w:rsid w:val="003C7A1B"/>
    <w:rsid w:val="003C7B1B"/>
    <w:rsid w:val="003C7B60"/>
    <w:rsid w:val="003C7C40"/>
    <w:rsid w:val="003D008B"/>
    <w:rsid w:val="003D0845"/>
    <w:rsid w:val="003D0C51"/>
    <w:rsid w:val="003D0D47"/>
    <w:rsid w:val="003D1A65"/>
    <w:rsid w:val="003D1AA6"/>
    <w:rsid w:val="003D1BCD"/>
    <w:rsid w:val="003D1C1C"/>
    <w:rsid w:val="003D1FB9"/>
    <w:rsid w:val="003D2416"/>
    <w:rsid w:val="003D2C98"/>
    <w:rsid w:val="003D2CCC"/>
    <w:rsid w:val="003D3013"/>
    <w:rsid w:val="003D32BA"/>
    <w:rsid w:val="003D3BE6"/>
    <w:rsid w:val="003D3F9B"/>
    <w:rsid w:val="003D483B"/>
    <w:rsid w:val="003D4A30"/>
    <w:rsid w:val="003D4B58"/>
    <w:rsid w:val="003D4C01"/>
    <w:rsid w:val="003D4D44"/>
    <w:rsid w:val="003D52FF"/>
    <w:rsid w:val="003D54E6"/>
    <w:rsid w:val="003D5B22"/>
    <w:rsid w:val="003D62DA"/>
    <w:rsid w:val="003D64D5"/>
    <w:rsid w:val="003D69D0"/>
    <w:rsid w:val="003D6A01"/>
    <w:rsid w:val="003D6AF5"/>
    <w:rsid w:val="003D6E51"/>
    <w:rsid w:val="003D73A2"/>
    <w:rsid w:val="003D7559"/>
    <w:rsid w:val="003D76C3"/>
    <w:rsid w:val="003D78EF"/>
    <w:rsid w:val="003D7A1F"/>
    <w:rsid w:val="003D7E10"/>
    <w:rsid w:val="003E011B"/>
    <w:rsid w:val="003E03FA"/>
    <w:rsid w:val="003E0565"/>
    <w:rsid w:val="003E09D2"/>
    <w:rsid w:val="003E0C9E"/>
    <w:rsid w:val="003E0CCE"/>
    <w:rsid w:val="003E0F23"/>
    <w:rsid w:val="003E0F70"/>
    <w:rsid w:val="003E0FBC"/>
    <w:rsid w:val="003E1272"/>
    <w:rsid w:val="003E1299"/>
    <w:rsid w:val="003E15F2"/>
    <w:rsid w:val="003E1761"/>
    <w:rsid w:val="003E1908"/>
    <w:rsid w:val="003E1E79"/>
    <w:rsid w:val="003E200C"/>
    <w:rsid w:val="003E23B1"/>
    <w:rsid w:val="003E285A"/>
    <w:rsid w:val="003E300A"/>
    <w:rsid w:val="003E37AD"/>
    <w:rsid w:val="003E3E1B"/>
    <w:rsid w:val="003E405E"/>
    <w:rsid w:val="003E4065"/>
    <w:rsid w:val="003E43A9"/>
    <w:rsid w:val="003E43E5"/>
    <w:rsid w:val="003E4605"/>
    <w:rsid w:val="003E4F31"/>
    <w:rsid w:val="003E54BB"/>
    <w:rsid w:val="003E554E"/>
    <w:rsid w:val="003E5739"/>
    <w:rsid w:val="003E5A12"/>
    <w:rsid w:val="003E5D81"/>
    <w:rsid w:val="003E6191"/>
    <w:rsid w:val="003E62F1"/>
    <w:rsid w:val="003E66B5"/>
    <w:rsid w:val="003E675E"/>
    <w:rsid w:val="003E6D0D"/>
    <w:rsid w:val="003E6FEB"/>
    <w:rsid w:val="003E72EB"/>
    <w:rsid w:val="003E7C8B"/>
    <w:rsid w:val="003E7DD0"/>
    <w:rsid w:val="003E7DEE"/>
    <w:rsid w:val="003F0312"/>
    <w:rsid w:val="003F061A"/>
    <w:rsid w:val="003F086F"/>
    <w:rsid w:val="003F0882"/>
    <w:rsid w:val="003F08DD"/>
    <w:rsid w:val="003F09DA"/>
    <w:rsid w:val="003F0A20"/>
    <w:rsid w:val="003F1493"/>
    <w:rsid w:val="003F1B26"/>
    <w:rsid w:val="003F1BCC"/>
    <w:rsid w:val="003F1F39"/>
    <w:rsid w:val="003F2637"/>
    <w:rsid w:val="003F2BD9"/>
    <w:rsid w:val="003F2F92"/>
    <w:rsid w:val="003F30AD"/>
    <w:rsid w:val="003F3261"/>
    <w:rsid w:val="003F343A"/>
    <w:rsid w:val="003F35E4"/>
    <w:rsid w:val="003F45EA"/>
    <w:rsid w:val="003F472D"/>
    <w:rsid w:val="003F5191"/>
    <w:rsid w:val="003F54DF"/>
    <w:rsid w:val="003F5953"/>
    <w:rsid w:val="003F59DF"/>
    <w:rsid w:val="003F5A98"/>
    <w:rsid w:val="003F5DE8"/>
    <w:rsid w:val="003F60A0"/>
    <w:rsid w:val="003F62F0"/>
    <w:rsid w:val="003F6586"/>
    <w:rsid w:val="003F72E6"/>
    <w:rsid w:val="003F7689"/>
    <w:rsid w:val="003F77B0"/>
    <w:rsid w:val="003F791B"/>
    <w:rsid w:val="003F7B36"/>
    <w:rsid w:val="004001B5"/>
    <w:rsid w:val="0040050A"/>
    <w:rsid w:val="00400584"/>
    <w:rsid w:val="0040081B"/>
    <w:rsid w:val="00401218"/>
    <w:rsid w:val="004012E5"/>
    <w:rsid w:val="0040162E"/>
    <w:rsid w:val="004020B7"/>
    <w:rsid w:val="004021A0"/>
    <w:rsid w:val="004026B7"/>
    <w:rsid w:val="00402791"/>
    <w:rsid w:val="004027D5"/>
    <w:rsid w:val="0040280F"/>
    <w:rsid w:val="0040281F"/>
    <w:rsid w:val="00402C2B"/>
    <w:rsid w:val="00402D87"/>
    <w:rsid w:val="00402FB1"/>
    <w:rsid w:val="004032C6"/>
    <w:rsid w:val="00403315"/>
    <w:rsid w:val="0040364F"/>
    <w:rsid w:val="004037C2"/>
    <w:rsid w:val="00403830"/>
    <w:rsid w:val="00403921"/>
    <w:rsid w:val="0040423E"/>
    <w:rsid w:val="0040429C"/>
    <w:rsid w:val="00404457"/>
    <w:rsid w:val="00404587"/>
    <w:rsid w:val="0040460C"/>
    <w:rsid w:val="004047E0"/>
    <w:rsid w:val="004049F6"/>
    <w:rsid w:val="00404A35"/>
    <w:rsid w:val="00404BB5"/>
    <w:rsid w:val="00404F2D"/>
    <w:rsid w:val="004050FC"/>
    <w:rsid w:val="00405195"/>
    <w:rsid w:val="004052A5"/>
    <w:rsid w:val="00405586"/>
    <w:rsid w:val="00405650"/>
    <w:rsid w:val="00405662"/>
    <w:rsid w:val="004057DA"/>
    <w:rsid w:val="0040663B"/>
    <w:rsid w:val="004067ED"/>
    <w:rsid w:val="00406A40"/>
    <w:rsid w:val="00406AB0"/>
    <w:rsid w:val="00406CDC"/>
    <w:rsid w:val="00406DD6"/>
    <w:rsid w:val="00406FE5"/>
    <w:rsid w:val="0040755B"/>
    <w:rsid w:val="0040787E"/>
    <w:rsid w:val="004104DA"/>
    <w:rsid w:val="004106C1"/>
    <w:rsid w:val="004106D6"/>
    <w:rsid w:val="0041089C"/>
    <w:rsid w:val="00410A38"/>
    <w:rsid w:val="00410C84"/>
    <w:rsid w:val="00410F64"/>
    <w:rsid w:val="004112DE"/>
    <w:rsid w:val="0041130D"/>
    <w:rsid w:val="004116D4"/>
    <w:rsid w:val="00411AC8"/>
    <w:rsid w:val="00411B56"/>
    <w:rsid w:val="0041234B"/>
    <w:rsid w:val="00412C89"/>
    <w:rsid w:val="00413680"/>
    <w:rsid w:val="0041374B"/>
    <w:rsid w:val="00413797"/>
    <w:rsid w:val="004137B7"/>
    <w:rsid w:val="004138D7"/>
    <w:rsid w:val="00413CE9"/>
    <w:rsid w:val="00413E55"/>
    <w:rsid w:val="00413F79"/>
    <w:rsid w:val="004142C9"/>
    <w:rsid w:val="0041440B"/>
    <w:rsid w:val="00414459"/>
    <w:rsid w:val="004148A2"/>
    <w:rsid w:val="004148D0"/>
    <w:rsid w:val="00414911"/>
    <w:rsid w:val="00414914"/>
    <w:rsid w:val="00414D4D"/>
    <w:rsid w:val="00414EEA"/>
    <w:rsid w:val="00414F65"/>
    <w:rsid w:val="0041557E"/>
    <w:rsid w:val="00415B2D"/>
    <w:rsid w:val="00415FC6"/>
    <w:rsid w:val="00416094"/>
    <w:rsid w:val="004161F4"/>
    <w:rsid w:val="00416211"/>
    <w:rsid w:val="004165A3"/>
    <w:rsid w:val="00416E46"/>
    <w:rsid w:val="00417250"/>
    <w:rsid w:val="00417F61"/>
    <w:rsid w:val="00417FD0"/>
    <w:rsid w:val="00420124"/>
    <w:rsid w:val="004205B3"/>
    <w:rsid w:val="004206F6"/>
    <w:rsid w:val="0042084C"/>
    <w:rsid w:val="00420C75"/>
    <w:rsid w:val="0042104F"/>
    <w:rsid w:val="004215FD"/>
    <w:rsid w:val="00421B3D"/>
    <w:rsid w:val="00421BA2"/>
    <w:rsid w:val="00421E02"/>
    <w:rsid w:val="00421E8E"/>
    <w:rsid w:val="004228F5"/>
    <w:rsid w:val="00422E98"/>
    <w:rsid w:val="00423369"/>
    <w:rsid w:val="004235C3"/>
    <w:rsid w:val="00423935"/>
    <w:rsid w:val="00423A5C"/>
    <w:rsid w:val="00423B06"/>
    <w:rsid w:val="00423B9D"/>
    <w:rsid w:val="00423FF7"/>
    <w:rsid w:val="0042431F"/>
    <w:rsid w:val="0042437F"/>
    <w:rsid w:val="00424A39"/>
    <w:rsid w:val="00424D07"/>
    <w:rsid w:val="004251E0"/>
    <w:rsid w:val="00425B07"/>
    <w:rsid w:val="00425CBA"/>
    <w:rsid w:val="00425D78"/>
    <w:rsid w:val="00426412"/>
    <w:rsid w:val="004264B8"/>
    <w:rsid w:val="00426792"/>
    <w:rsid w:val="00426835"/>
    <w:rsid w:val="00426865"/>
    <w:rsid w:val="00426AB8"/>
    <w:rsid w:val="00426AF2"/>
    <w:rsid w:val="00426B04"/>
    <w:rsid w:val="00426B60"/>
    <w:rsid w:val="00426BCB"/>
    <w:rsid w:val="00426C02"/>
    <w:rsid w:val="00426CA3"/>
    <w:rsid w:val="00426D94"/>
    <w:rsid w:val="004276C7"/>
    <w:rsid w:val="004301C6"/>
    <w:rsid w:val="00430436"/>
    <w:rsid w:val="00430587"/>
    <w:rsid w:val="00430791"/>
    <w:rsid w:val="00430B62"/>
    <w:rsid w:val="00430CC5"/>
    <w:rsid w:val="00430DBB"/>
    <w:rsid w:val="004313AC"/>
    <w:rsid w:val="0043163A"/>
    <w:rsid w:val="00431AA6"/>
    <w:rsid w:val="00431CDB"/>
    <w:rsid w:val="00431D8E"/>
    <w:rsid w:val="00431DE3"/>
    <w:rsid w:val="00432033"/>
    <w:rsid w:val="004324AD"/>
    <w:rsid w:val="00432694"/>
    <w:rsid w:val="00432872"/>
    <w:rsid w:val="004333C7"/>
    <w:rsid w:val="00433ABB"/>
    <w:rsid w:val="00433C82"/>
    <w:rsid w:val="0043428E"/>
    <w:rsid w:val="004347D0"/>
    <w:rsid w:val="0043498B"/>
    <w:rsid w:val="00434A9B"/>
    <w:rsid w:val="00434B4A"/>
    <w:rsid w:val="00434D4F"/>
    <w:rsid w:val="00434E8D"/>
    <w:rsid w:val="00434F64"/>
    <w:rsid w:val="004350C8"/>
    <w:rsid w:val="004358BE"/>
    <w:rsid w:val="00435C38"/>
    <w:rsid w:val="00435E9E"/>
    <w:rsid w:val="00435F51"/>
    <w:rsid w:val="00435F69"/>
    <w:rsid w:val="00436048"/>
    <w:rsid w:val="00436049"/>
    <w:rsid w:val="0043635D"/>
    <w:rsid w:val="004363B9"/>
    <w:rsid w:val="004365D6"/>
    <w:rsid w:val="00436DA6"/>
    <w:rsid w:val="004371A9"/>
    <w:rsid w:val="0043793F"/>
    <w:rsid w:val="0043797F"/>
    <w:rsid w:val="004404DF"/>
    <w:rsid w:val="004404E4"/>
    <w:rsid w:val="004407E8"/>
    <w:rsid w:val="00440C58"/>
    <w:rsid w:val="0044104B"/>
    <w:rsid w:val="00441814"/>
    <w:rsid w:val="0044236C"/>
    <w:rsid w:val="004425EC"/>
    <w:rsid w:val="00442973"/>
    <w:rsid w:val="00442978"/>
    <w:rsid w:val="00442A3D"/>
    <w:rsid w:val="00442B5E"/>
    <w:rsid w:val="0044350B"/>
    <w:rsid w:val="00443DB4"/>
    <w:rsid w:val="00443EAE"/>
    <w:rsid w:val="0044424F"/>
    <w:rsid w:val="00444561"/>
    <w:rsid w:val="00444BD2"/>
    <w:rsid w:val="0044534C"/>
    <w:rsid w:val="004455FE"/>
    <w:rsid w:val="00445B27"/>
    <w:rsid w:val="00445D8B"/>
    <w:rsid w:val="004461BD"/>
    <w:rsid w:val="00446334"/>
    <w:rsid w:val="00446418"/>
    <w:rsid w:val="00446D82"/>
    <w:rsid w:val="00446FA1"/>
    <w:rsid w:val="00446FCB"/>
    <w:rsid w:val="004470F0"/>
    <w:rsid w:val="00447280"/>
    <w:rsid w:val="00447996"/>
    <w:rsid w:val="00447AE6"/>
    <w:rsid w:val="00447E83"/>
    <w:rsid w:val="0045029E"/>
    <w:rsid w:val="00450596"/>
    <w:rsid w:val="00450750"/>
    <w:rsid w:val="00450C46"/>
    <w:rsid w:val="00450CF2"/>
    <w:rsid w:val="00450D6E"/>
    <w:rsid w:val="00450F5C"/>
    <w:rsid w:val="0045131E"/>
    <w:rsid w:val="00451626"/>
    <w:rsid w:val="00451A19"/>
    <w:rsid w:val="00451C3A"/>
    <w:rsid w:val="0045265C"/>
    <w:rsid w:val="00452773"/>
    <w:rsid w:val="00452D5A"/>
    <w:rsid w:val="004532EC"/>
    <w:rsid w:val="004535FC"/>
    <w:rsid w:val="004537F7"/>
    <w:rsid w:val="00453A34"/>
    <w:rsid w:val="00453F99"/>
    <w:rsid w:val="004541C7"/>
    <w:rsid w:val="00454335"/>
    <w:rsid w:val="004544B6"/>
    <w:rsid w:val="004545C4"/>
    <w:rsid w:val="00454603"/>
    <w:rsid w:val="00454631"/>
    <w:rsid w:val="00455139"/>
    <w:rsid w:val="004551CA"/>
    <w:rsid w:val="004552D3"/>
    <w:rsid w:val="0045537A"/>
    <w:rsid w:val="004556BD"/>
    <w:rsid w:val="00455909"/>
    <w:rsid w:val="00455C0D"/>
    <w:rsid w:val="00455F02"/>
    <w:rsid w:val="00456290"/>
    <w:rsid w:val="00456352"/>
    <w:rsid w:val="00456588"/>
    <w:rsid w:val="004565C1"/>
    <w:rsid w:val="00456605"/>
    <w:rsid w:val="004566F7"/>
    <w:rsid w:val="00456B0B"/>
    <w:rsid w:val="00456BDD"/>
    <w:rsid w:val="00456C48"/>
    <w:rsid w:val="00457054"/>
    <w:rsid w:val="00457346"/>
    <w:rsid w:val="0045746A"/>
    <w:rsid w:val="00457507"/>
    <w:rsid w:val="0045762F"/>
    <w:rsid w:val="0045773C"/>
    <w:rsid w:val="0045781E"/>
    <w:rsid w:val="00457FD0"/>
    <w:rsid w:val="00460059"/>
    <w:rsid w:val="004604AC"/>
    <w:rsid w:val="00460593"/>
    <w:rsid w:val="004608DA"/>
    <w:rsid w:val="00460D60"/>
    <w:rsid w:val="0046159E"/>
    <w:rsid w:val="00461956"/>
    <w:rsid w:val="00461988"/>
    <w:rsid w:val="00461991"/>
    <w:rsid w:val="004620AA"/>
    <w:rsid w:val="00462427"/>
    <w:rsid w:val="00462493"/>
    <w:rsid w:val="0046260A"/>
    <w:rsid w:val="0046268E"/>
    <w:rsid w:val="00462804"/>
    <w:rsid w:val="00462970"/>
    <w:rsid w:val="00462C1C"/>
    <w:rsid w:val="00462F2D"/>
    <w:rsid w:val="00462F54"/>
    <w:rsid w:val="00463170"/>
    <w:rsid w:val="004632D9"/>
    <w:rsid w:val="004636D6"/>
    <w:rsid w:val="00463819"/>
    <w:rsid w:val="00463832"/>
    <w:rsid w:val="00463C0F"/>
    <w:rsid w:val="00463ECA"/>
    <w:rsid w:val="0046475C"/>
    <w:rsid w:val="00464FFC"/>
    <w:rsid w:val="004651D9"/>
    <w:rsid w:val="004651E0"/>
    <w:rsid w:val="00465B84"/>
    <w:rsid w:val="00465CE5"/>
    <w:rsid w:val="00466B6B"/>
    <w:rsid w:val="00466FA7"/>
    <w:rsid w:val="004673EC"/>
    <w:rsid w:val="00467AE9"/>
    <w:rsid w:val="00467C60"/>
    <w:rsid w:val="00467C9F"/>
    <w:rsid w:val="00467CED"/>
    <w:rsid w:val="00467E18"/>
    <w:rsid w:val="00470AB2"/>
    <w:rsid w:val="00470B9E"/>
    <w:rsid w:val="00470BF9"/>
    <w:rsid w:val="00470BFE"/>
    <w:rsid w:val="00470E03"/>
    <w:rsid w:val="00470E44"/>
    <w:rsid w:val="00470E5F"/>
    <w:rsid w:val="00470E86"/>
    <w:rsid w:val="00471218"/>
    <w:rsid w:val="00471282"/>
    <w:rsid w:val="004713FC"/>
    <w:rsid w:val="00471628"/>
    <w:rsid w:val="004719F9"/>
    <w:rsid w:val="00471E0C"/>
    <w:rsid w:val="00472322"/>
    <w:rsid w:val="0047254B"/>
    <w:rsid w:val="00472A1B"/>
    <w:rsid w:val="00472D01"/>
    <w:rsid w:val="00473012"/>
    <w:rsid w:val="0047306A"/>
    <w:rsid w:val="00473574"/>
    <w:rsid w:val="00473651"/>
    <w:rsid w:val="004738CA"/>
    <w:rsid w:val="00473AA4"/>
    <w:rsid w:val="00473B7A"/>
    <w:rsid w:val="00473C58"/>
    <w:rsid w:val="00473F3E"/>
    <w:rsid w:val="0047426A"/>
    <w:rsid w:val="00474291"/>
    <w:rsid w:val="0047440A"/>
    <w:rsid w:val="0047452C"/>
    <w:rsid w:val="004745C8"/>
    <w:rsid w:val="00474607"/>
    <w:rsid w:val="00474B01"/>
    <w:rsid w:val="00474C66"/>
    <w:rsid w:val="00474D19"/>
    <w:rsid w:val="00474F74"/>
    <w:rsid w:val="00474FF6"/>
    <w:rsid w:val="00475030"/>
    <w:rsid w:val="004757AC"/>
    <w:rsid w:val="00475AF1"/>
    <w:rsid w:val="00475B2F"/>
    <w:rsid w:val="00475D6C"/>
    <w:rsid w:val="004760E6"/>
    <w:rsid w:val="004778CE"/>
    <w:rsid w:val="00477B07"/>
    <w:rsid w:val="00477F99"/>
    <w:rsid w:val="004800B9"/>
    <w:rsid w:val="0048055F"/>
    <w:rsid w:val="004809A3"/>
    <w:rsid w:val="00480C3F"/>
    <w:rsid w:val="00480E4B"/>
    <w:rsid w:val="00481063"/>
    <w:rsid w:val="004814A5"/>
    <w:rsid w:val="004814F2"/>
    <w:rsid w:val="00481714"/>
    <w:rsid w:val="00481B71"/>
    <w:rsid w:val="00481F9F"/>
    <w:rsid w:val="0048209F"/>
    <w:rsid w:val="004821F9"/>
    <w:rsid w:val="004827EF"/>
    <w:rsid w:val="00482904"/>
    <w:rsid w:val="00482C93"/>
    <w:rsid w:val="004832EB"/>
    <w:rsid w:val="0048339D"/>
    <w:rsid w:val="00483FAC"/>
    <w:rsid w:val="00484277"/>
    <w:rsid w:val="00484A3E"/>
    <w:rsid w:val="00484A7D"/>
    <w:rsid w:val="00484BE4"/>
    <w:rsid w:val="00485C86"/>
    <w:rsid w:val="00485EB9"/>
    <w:rsid w:val="00486639"/>
    <w:rsid w:val="00486B1F"/>
    <w:rsid w:val="00486C9B"/>
    <w:rsid w:val="004876A4"/>
    <w:rsid w:val="00487765"/>
    <w:rsid w:val="004879C2"/>
    <w:rsid w:val="00487C9F"/>
    <w:rsid w:val="00487D1A"/>
    <w:rsid w:val="00487D56"/>
    <w:rsid w:val="00487DCE"/>
    <w:rsid w:val="00490218"/>
    <w:rsid w:val="00490225"/>
    <w:rsid w:val="004906C1"/>
    <w:rsid w:val="00490917"/>
    <w:rsid w:val="00490E30"/>
    <w:rsid w:val="00490EC1"/>
    <w:rsid w:val="00490F7A"/>
    <w:rsid w:val="004917B8"/>
    <w:rsid w:val="0049191B"/>
    <w:rsid w:val="004919F6"/>
    <w:rsid w:val="00491D98"/>
    <w:rsid w:val="00491E60"/>
    <w:rsid w:val="004922A5"/>
    <w:rsid w:val="0049250F"/>
    <w:rsid w:val="00492561"/>
    <w:rsid w:val="00492AD9"/>
    <w:rsid w:val="00492B19"/>
    <w:rsid w:val="00492D30"/>
    <w:rsid w:val="004933A6"/>
    <w:rsid w:val="0049343B"/>
    <w:rsid w:val="00493E97"/>
    <w:rsid w:val="00494081"/>
    <w:rsid w:val="004941E7"/>
    <w:rsid w:val="004941F8"/>
    <w:rsid w:val="004942B3"/>
    <w:rsid w:val="00494401"/>
    <w:rsid w:val="004944A1"/>
    <w:rsid w:val="004948CE"/>
    <w:rsid w:val="00494B49"/>
    <w:rsid w:val="0049523F"/>
    <w:rsid w:val="004954A6"/>
    <w:rsid w:val="004959EB"/>
    <w:rsid w:val="00495B6F"/>
    <w:rsid w:val="00496632"/>
    <w:rsid w:val="0049681F"/>
    <w:rsid w:val="00496C2A"/>
    <w:rsid w:val="00497368"/>
    <w:rsid w:val="0049787D"/>
    <w:rsid w:val="004A021F"/>
    <w:rsid w:val="004A0222"/>
    <w:rsid w:val="004A0508"/>
    <w:rsid w:val="004A0696"/>
    <w:rsid w:val="004A06B8"/>
    <w:rsid w:val="004A0CE3"/>
    <w:rsid w:val="004A0FD0"/>
    <w:rsid w:val="004A1184"/>
    <w:rsid w:val="004A11D3"/>
    <w:rsid w:val="004A1387"/>
    <w:rsid w:val="004A1901"/>
    <w:rsid w:val="004A2038"/>
    <w:rsid w:val="004A2084"/>
    <w:rsid w:val="004A2156"/>
    <w:rsid w:val="004A22B4"/>
    <w:rsid w:val="004A29E0"/>
    <w:rsid w:val="004A2AA5"/>
    <w:rsid w:val="004A2DD0"/>
    <w:rsid w:val="004A2E9F"/>
    <w:rsid w:val="004A2EDF"/>
    <w:rsid w:val="004A33FA"/>
    <w:rsid w:val="004A3B17"/>
    <w:rsid w:val="004A3F03"/>
    <w:rsid w:val="004A427A"/>
    <w:rsid w:val="004A4486"/>
    <w:rsid w:val="004A47BE"/>
    <w:rsid w:val="004A4856"/>
    <w:rsid w:val="004A4CC1"/>
    <w:rsid w:val="004A50B7"/>
    <w:rsid w:val="004A5304"/>
    <w:rsid w:val="004A579E"/>
    <w:rsid w:val="004A6108"/>
    <w:rsid w:val="004A624F"/>
    <w:rsid w:val="004A64FB"/>
    <w:rsid w:val="004A66DC"/>
    <w:rsid w:val="004A66FF"/>
    <w:rsid w:val="004A6FA2"/>
    <w:rsid w:val="004A7210"/>
    <w:rsid w:val="004A72B3"/>
    <w:rsid w:val="004A74F0"/>
    <w:rsid w:val="004A769C"/>
    <w:rsid w:val="004A7ADC"/>
    <w:rsid w:val="004B03BB"/>
    <w:rsid w:val="004B0FAC"/>
    <w:rsid w:val="004B11A6"/>
    <w:rsid w:val="004B11BE"/>
    <w:rsid w:val="004B158F"/>
    <w:rsid w:val="004B1DFA"/>
    <w:rsid w:val="004B2524"/>
    <w:rsid w:val="004B2DE8"/>
    <w:rsid w:val="004B33F5"/>
    <w:rsid w:val="004B3589"/>
    <w:rsid w:val="004B3760"/>
    <w:rsid w:val="004B468D"/>
    <w:rsid w:val="004B46CF"/>
    <w:rsid w:val="004B4982"/>
    <w:rsid w:val="004B4DCD"/>
    <w:rsid w:val="004B5030"/>
    <w:rsid w:val="004B5283"/>
    <w:rsid w:val="004B5537"/>
    <w:rsid w:val="004B56BD"/>
    <w:rsid w:val="004B58BE"/>
    <w:rsid w:val="004B5D1C"/>
    <w:rsid w:val="004B6749"/>
    <w:rsid w:val="004B6797"/>
    <w:rsid w:val="004B699A"/>
    <w:rsid w:val="004B6B76"/>
    <w:rsid w:val="004B71AC"/>
    <w:rsid w:val="004B7298"/>
    <w:rsid w:val="004B7558"/>
    <w:rsid w:val="004B75C6"/>
    <w:rsid w:val="004B765A"/>
    <w:rsid w:val="004B7721"/>
    <w:rsid w:val="004B7D45"/>
    <w:rsid w:val="004C0215"/>
    <w:rsid w:val="004C03A3"/>
    <w:rsid w:val="004C07A6"/>
    <w:rsid w:val="004C07BE"/>
    <w:rsid w:val="004C095D"/>
    <w:rsid w:val="004C09A1"/>
    <w:rsid w:val="004C0C44"/>
    <w:rsid w:val="004C0E43"/>
    <w:rsid w:val="004C0FCB"/>
    <w:rsid w:val="004C1A46"/>
    <w:rsid w:val="004C1B71"/>
    <w:rsid w:val="004C1C83"/>
    <w:rsid w:val="004C1F44"/>
    <w:rsid w:val="004C2391"/>
    <w:rsid w:val="004C26F5"/>
    <w:rsid w:val="004C2741"/>
    <w:rsid w:val="004C2958"/>
    <w:rsid w:val="004C29AE"/>
    <w:rsid w:val="004C29DA"/>
    <w:rsid w:val="004C2C13"/>
    <w:rsid w:val="004C2EC2"/>
    <w:rsid w:val="004C2F6B"/>
    <w:rsid w:val="004C2FE6"/>
    <w:rsid w:val="004C30C2"/>
    <w:rsid w:val="004C3140"/>
    <w:rsid w:val="004C33A2"/>
    <w:rsid w:val="004C3869"/>
    <w:rsid w:val="004C394A"/>
    <w:rsid w:val="004C395E"/>
    <w:rsid w:val="004C42B9"/>
    <w:rsid w:val="004C441E"/>
    <w:rsid w:val="004C4670"/>
    <w:rsid w:val="004C493D"/>
    <w:rsid w:val="004C505C"/>
    <w:rsid w:val="004C55E2"/>
    <w:rsid w:val="004C595C"/>
    <w:rsid w:val="004C5BEB"/>
    <w:rsid w:val="004C5C3E"/>
    <w:rsid w:val="004C5CC4"/>
    <w:rsid w:val="004C6057"/>
    <w:rsid w:val="004C63B6"/>
    <w:rsid w:val="004C6A56"/>
    <w:rsid w:val="004C6CEE"/>
    <w:rsid w:val="004C6F49"/>
    <w:rsid w:val="004C7360"/>
    <w:rsid w:val="004C74B2"/>
    <w:rsid w:val="004C793B"/>
    <w:rsid w:val="004C7D91"/>
    <w:rsid w:val="004C7FB6"/>
    <w:rsid w:val="004D01FC"/>
    <w:rsid w:val="004D0581"/>
    <w:rsid w:val="004D0638"/>
    <w:rsid w:val="004D08D4"/>
    <w:rsid w:val="004D091D"/>
    <w:rsid w:val="004D094E"/>
    <w:rsid w:val="004D0ECC"/>
    <w:rsid w:val="004D1156"/>
    <w:rsid w:val="004D148C"/>
    <w:rsid w:val="004D16B9"/>
    <w:rsid w:val="004D18E8"/>
    <w:rsid w:val="004D1B4A"/>
    <w:rsid w:val="004D24D1"/>
    <w:rsid w:val="004D25A3"/>
    <w:rsid w:val="004D277D"/>
    <w:rsid w:val="004D27AB"/>
    <w:rsid w:val="004D2A9F"/>
    <w:rsid w:val="004D2BDF"/>
    <w:rsid w:val="004D2CFD"/>
    <w:rsid w:val="004D2F80"/>
    <w:rsid w:val="004D3419"/>
    <w:rsid w:val="004D34DE"/>
    <w:rsid w:val="004D379F"/>
    <w:rsid w:val="004D3C0E"/>
    <w:rsid w:val="004D3FC1"/>
    <w:rsid w:val="004D417D"/>
    <w:rsid w:val="004D422D"/>
    <w:rsid w:val="004D44C6"/>
    <w:rsid w:val="004D453A"/>
    <w:rsid w:val="004D4AE0"/>
    <w:rsid w:val="004D4D60"/>
    <w:rsid w:val="004D5154"/>
    <w:rsid w:val="004D5217"/>
    <w:rsid w:val="004D541E"/>
    <w:rsid w:val="004D54E9"/>
    <w:rsid w:val="004D5586"/>
    <w:rsid w:val="004D5A05"/>
    <w:rsid w:val="004D5BD7"/>
    <w:rsid w:val="004D60F4"/>
    <w:rsid w:val="004D687D"/>
    <w:rsid w:val="004D68B7"/>
    <w:rsid w:val="004D69B8"/>
    <w:rsid w:val="004D6C26"/>
    <w:rsid w:val="004D6EE3"/>
    <w:rsid w:val="004D6F16"/>
    <w:rsid w:val="004D6FAD"/>
    <w:rsid w:val="004D7094"/>
    <w:rsid w:val="004D70D4"/>
    <w:rsid w:val="004D72CB"/>
    <w:rsid w:val="004D7BAE"/>
    <w:rsid w:val="004D7BF7"/>
    <w:rsid w:val="004E0330"/>
    <w:rsid w:val="004E078B"/>
    <w:rsid w:val="004E09C9"/>
    <w:rsid w:val="004E0F37"/>
    <w:rsid w:val="004E131C"/>
    <w:rsid w:val="004E1871"/>
    <w:rsid w:val="004E198D"/>
    <w:rsid w:val="004E1A42"/>
    <w:rsid w:val="004E2079"/>
    <w:rsid w:val="004E2387"/>
    <w:rsid w:val="004E2A2F"/>
    <w:rsid w:val="004E2E1C"/>
    <w:rsid w:val="004E2F64"/>
    <w:rsid w:val="004E3414"/>
    <w:rsid w:val="004E38ED"/>
    <w:rsid w:val="004E45E3"/>
    <w:rsid w:val="004E4880"/>
    <w:rsid w:val="004E48AD"/>
    <w:rsid w:val="004E4921"/>
    <w:rsid w:val="004E4CEC"/>
    <w:rsid w:val="004E4D7E"/>
    <w:rsid w:val="004E517B"/>
    <w:rsid w:val="004E5731"/>
    <w:rsid w:val="004E5D3B"/>
    <w:rsid w:val="004E5DF5"/>
    <w:rsid w:val="004E609F"/>
    <w:rsid w:val="004E61FD"/>
    <w:rsid w:val="004E6BCF"/>
    <w:rsid w:val="004E6C64"/>
    <w:rsid w:val="004E6E14"/>
    <w:rsid w:val="004E6F38"/>
    <w:rsid w:val="004E701B"/>
    <w:rsid w:val="004E7029"/>
    <w:rsid w:val="004E74A9"/>
    <w:rsid w:val="004E77AC"/>
    <w:rsid w:val="004E79DF"/>
    <w:rsid w:val="004E7F60"/>
    <w:rsid w:val="004F0205"/>
    <w:rsid w:val="004F0DAE"/>
    <w:rsid w:val="004F0E19"/>
    <w:rsid w:val="004F0F5A"/>
    <w:rsid w:val="004F149A"/>
    <w:rsid w:val="004F16CF"/>
    <w:rsid w:val="004F174C"/>
    <w:rsid w:val="004F1A81"/>
    <w:rsid w:val="004F1C61"/>
    <w:rsid w:val="004F220A"/>
    <w:rsid w:val="004F2645"/>
    <w:rsid w:val="004F2F53"/>
    <w:rsid w:val="004F2FEC"/>
    <w:rsid w:val="004F30B6"/>
    <w:rsid w:val="004F32EB"/>
    <w:rsid w:val="004F3A89"/>
    <w:rsid w:val="004F41D4"/>
    <w:rsid w:val="004F4293"/>
    <w:rsid w:val="004F4423"/>
    <w:rsid w:val="004F4709"/>
    <w:rsid w:val="004F4EB2"/>
    <w:rsid w:val="004F64DE"/>
    <w:rsid w:val="004F695D"/>
    <w:rsid w:val="004F6AD1"/>
    <w:rsid w:val="004F6BFF"/>
    <w:rsid w:val="004F6E00"/>
    <w:rsid w:val="004F705B"/>
    <w:rsid w:val="004F7B54"/>
    <w:rsid w:val="004F7CFC"/>
    <w:rsid w:val="004F7D23"/>
    <w:rsid w:val="004F7F62"/>
    <w:rsid w:val="0050037C"/>
    <w:rsid w:val="0050056E"/>
    <w:rsid w:val="00500BCF"/>
    <w:rsid w:val="0050100F"/>
    <w:rsid w:val="005010A7"/>
    <w:rsid w:val="005020C6"/>
    <w:rsid w:val="0050229D"/>
    <w:rsid w:val="00502396"/>
    <w:rsid w:val="005026DE"/>
    <w:rsid w:val="005027B5"/>
    <w:rsid w:val="00502803"/>
    <w:rsid w:val="00502CBE"/>
    <w:rsid w:val="00502E6A"/>
    <w:rsid w:val="00503289"/>
    <w:rsid w:val="0050359D"/>
    <w:rsid w:val="00503974"/>
    <w:rsid w:val="00503BFE"/>
    <w:rsid w:val="0050454E"/>
    <w:rsid w:val="00504697"/>
    <w:rsid w:val="005049B5"/>
    <w:rsid w:val="00505182"/>
    <w:rsid w:val="0050519B"/>
    <w:rsid w:val="00505374"/>
    <w:rsid w:val="0050567D"/>
    <w:rsid w:val="00505928"/>
    <w:rsid w:val="00505CC7"/>
    <w:rsid w:val="00505E01"/>
    <w:rsid w:val="00506679"/>
    <w:rsid w:val="0050667F"/>
    <w:rsid w:val="0050693C"/>
    <w:rsid w:val="0050693F"/>
    <w:rsid w:val="00506A86"/>
    <w:rsid w:val="005072B7"/>
    <w:rsid w:val="00507310"/>
    <w:rsid w:val="0050737D"/>
    <w:rsid w:val="0050758B"/>
    <w:rsid w:val="00507E81"/>
    <w:rsid w:val="00507F37"/>
    <w:rsid w:val="005103D0"/>
    <w:rsid w:val="0051050D"/>
    <w:rsid w:val="00510E97"/>
    <w:rsid w:val="00511D44"/>
    <w:rsid w:val="005126F5"/>
    <w:rsid w:val="0051281F"/>
    <w:rsid w:val="00512823"/>
    <w:rsid w:val="005129C3"/>
    <w:rsid w:val="00512E26"/>
    <w:rsid w:val="005131E9"/>
    <w:rsid w:val="005131FF"/>
    <w:rsid w:val="005138FC"/>
    <w:rsid w:val="00513B24"/>
    <w:rsid w:val="00513C49"/>
    <w:rsid w:val="00514072"/>
    <w:rsid w:val="00514080"/>
    <w:rsid w:val="0051439B"/>
    <w:rsid w:val="00514629"/>
    <w:rsid w:val="00514CB2"/>
    <w:rsid w:val="00514CE8"/>
    <w:rsid w:val="00514D35"/>
    <w:rsid w:val="00514F69"/>
    <w:rsid w:val="005156C7"/>
    <w:rsid w:val="00515A4B"/>
    <w:rsid w:val="00515C32"/>
    <w:rsid w:val="00516FD2"/>
    <w:rsid w:val="00517009"/>
    <w:rsid w:val="0051757A"/>
    <w:rsid w:val="00517A24"/>
    <w:rsid w:val="00517A56"/>
    <w:rsid w:val="00517AFF"/>
    <w:rsid w:val="00517C8C"/>
    <w:rsid w:val="00520455"/>
    <w:rsid w:val="0052047D"/>
    <w:rsid w:val="00520C7B"/>
    <w:rsid w:val="0052155B"/>
    <w:rsid w:val="00522128"/>
    <w:rsid w:val="0052234C"/>
    <w:rsid w:val="00522616"/>
    <w:rsid w:val="00523204"/>
    <w:rsid w:val="0052361F"/>
    <w:rsid w:val="00523689"/>
    <w:rsid w:val="005238F5"/>
    <w:rsid w:val="00523900"/>
    <w:rsid w:val="00523A86"/>
    <w:rsid w:val="00523FE2"/>
    <w:rsid w:val="0052402F"/>
    <w:rsid w:val="00524232"/>
    <w:rsid w:val="00524405"/>
    <w:rsid w:val="00524673"/>
    <w:rsid w:val="00524898"/>
    <w:rsid w:val="00524941"/>
    <w:rsid w:val="00524BD2"/>
    <w:rsid w:val="00524BF0"/>
    <w:rsid w:val="00524C5E"/>
    <w:rsid w:val="00524DAC"/>
    <w:rsid w:val="00524EF2"/>
    <w:rsid w:val="00525163"/>
    <w:rsid w:val="00525489"/>
    <w:rsid w:val="00525A27"/>
    <w:rsid w:val="00525E85"/>
    <w:rsid w:val="005263DA"/>
    <w:rsid w:val="0052640C"/>
    <w:rsid w:val="00526583"/>
    <w:rsid w:val="0052663A"/>
    <w:rsid w:val="005268E9"/>
    <w:rsid w:val="00526A3B"/>
    <w:rsid w:val="00526B81"/>
    <w:rsid w:val="00526D98"/>
    <w:rsid w:val="00526E9E"/>
    <w:rsid w:val="005272BE"/>
    <w:rsid w:val="005274B5"/>
    <w:rsid w:val="005301AB"/>
    <w:rsid w:val="00530212"/>
    <w:rsid w:val="00530710"/>
    <w:rsid w:val="005307EC"/>
    <w:rsid w:val="00530A2D"/>
    <w:rsid w:val="00530D16"/>
    <w:rsid w:val="005314FE"/>
    <w:rsid w:val="005315F7"/>
    <w:rsid w:val="00531720"/>
    <w:rsid w:val="005322D4"/>
    <w:rsid w:val="0053267A"/>
    <w:rsid w:val="005326D5"/>
    <w:rsid w:val="0053289A"/>
    <w:rsid w:val="0053295D"/>
    <w:rsid w:val="00532EF0"/>
    <w:rsid w:val="00532FB2"/>
    <w:rsid w:val="005331BF"/>
    <w:rsid w:val="005338F2"/>
    <w:rsid w:val="00533A37"/>
    <w:rsid w:val="00533A53"/>
    <w:rsid w:val="00534060"/>
    <w:rsid w:val="0053460E"/>
    <w:rsid w:val="00534795"/>
    <w:rsid w:val="00534953"/>
    <w:rsid w:val="00534FC6"/>
    <w:rsid w:val="005350DB"/>
    <w:rsid w:val="005350ED"/>
    <w:rsid w:val="0053554E"/>
    <w:rsid w:val="00535668"/>
    <w:rsid w:val="00535820"/>
    <w:rsid w:val="00535DAA"/>
    <w:rsid w:val="00535E0D"/>
    <w:rsid w:val="00535F5B"/>
    <w:rsid w:val="005360D4"/>
    <w:rsid w:val="0053617F"/>
    <w:rsid w:val="005361CB"/>
    <w:rsid w:val="0053632A"/>
    <w:rsid w:val="00536413"/>
    <w:rsid w:val="0053650A"/>
    <w:rsid w:val="005374BB"/>
    <w:rsid w:val="00537896"/>
    <w:rsid w:val="00537A1F"/>
    <w:rsid w:val="00537C7A"/>
    <w:rsid w:val="005400E8"/>
    <w:rsid w:val="00540348"/>
    <w:rsid w:val="005404DD"/>
    <w:rsid w:val="0054056A"/>
    <w:rsid w:val="00541A6C"/>
    <w:rsid w:val="00541ACF"/>
    <w:rsid w:val="00541C29"/>
    <w:rsid w:val="005420C0"/>
    <w:rsid w:val="00542B98"/>
    <w:rsid w:val="00542BF5"/>
    <w:rsid w:val="00542BF7"/>
    <w:rsid w:val="00542CCA"/>
    <w:rsid w:val="00542D87"/>
    <w:rsid w:val="005431D6"/>
    <w:rsid w:val="005436A9"/>
    <w:rsid w:val="00543730"/>
    <w:rsid w:val="00543829"/>
    <w:rsid w:val="00543860"/>
    <w:rsid w:val="00543885"/>
    <w:rsid w:val="00543A0C"/>
    <w:rsid w:val="00543B8C"/>
    <w:rsid w:val="00543C89"/>
    <w:rsid w:val="00544826"/>
    <w:rsid w:val="005449BD"/>
    <w:rsid w:val="00544CE7"/>
    <w:rsid w:val="00544E6F"/>
    <w:rsid w:val="005450BF"/>
    <w:rsid w:val="00545140"/>
    <w:rsid w:val="00545249"/>
    <w:rsid w:val="00545655"/>
    <w:rsid w:val="005456C5"/>
    <w:rsid w:val="00545846"/>
    <w:rsid w:val="005469CB"/>
    <w:rsid w:val="00546AA6"/>
    <w:rsid w:val="00546C34"/>
    <w:rsid w:val="00546E31"/>
    <w:rsid w:val="00546EC8"/>
    <w:rsid w:val="00546FBA"/>
    <w:rsid w:val="00547700"/>
    <w:rsid w:val="00547E15"/>
    <w:rsid w:val="00550085"/>
    <w:rsid w:val="0055011C"/>
    <w:rsid w:val="00550595"/>
    <w:rsid w:val="00550C6C"/>
    <w:rsid w:val="00550DAC"/>
    <w:rsid w:val="00550EFE"/>
    <w:rsid w:val="00551518"/>
    <w:rsid w:val="005519D2"/>
    <w:rsid w:val="00551B06"/>
    <w:rsid w:val="00552368"/>
    <w:rsid w:val="0055256F"/>
    <w:rsid w:val="00552634"/>
    <w:rsid w:val="005526FA"/>
    <w:rsid w:val="005528C7"/>
    <w:rsid w:val="005529ED"/>
    <w:rsid w:val="00552B83"/>
    <w:rsid w:val="00553CE4"/>
    <w:rsid w:val="00553DF6"/>
    <w:rsid w:val="00553EDA"/>
    <w:rsid w:val="00553F44"/>
    <w:rsid w:val="005543F5"/>
    <w:rsid w:val="00554B72"/>
    <w:rsid w:val="00554C12"/>
    <w:rsid w:val="00555315"/>
    <w:rsid w:val="0055538E"/>
    <w:rsid w:val="005555FB"/>
    <w:rsid w:val="00555960"/>
    <w:rsid w:val="005559D7"/>
    <w:rsid w:val="00555E00"/>
    <w:rsid w:val="0055611D"/>
    <w:rsid w:val="0055618F"/>
    <w:rsid w:val="0055664D"/>
    <w:rsid w:val="00556654"/>
    <w:rsid w:val="0055668B"/>
    <w:rsid w:val="00556DBD"/>
    <w:rsid w:val="00556F2A"/>
    <w:rsid w:val="005573A7"/>
    <w:rsid w:val="0055759E"/>
    <w:rsid w:val="00557B97"/>
    <w:rsid w:val="00557BF0"/>
    <w:rsid w:val="00557F4A"/>
    <w:rsid w:val="0056001C"/>
    <w:rsid w:val="005608D5"/>
    <w:rsid w:val="00560D42"/>
    <w:rsid w:val="005612EB"/>
    <w:rsid w:val="005615AC"/>
    <w:rsid w:val="0056171F"/>
    <w:rsid w:val="005617F1"/>
    <w:rsid w:val="00561A58"/>
    <w:rsid w:val="00561F76"/>
    <w:rsid w:val="005622B7"/>
    <w:rsid w:val="00562696"/>
    <w:rsid w:val="00563394"/>
    <w:rsid w:val="0056405D"/>
    <w:rsid w:val="00564A4F"/>
    <w:rsid w:val="00564ABC"/>
    <w:rsid w:val="00564B45"/>
    <w:rsid w:val="0056585C"/>
    <w:rsid w:val="00565A5A"/>
    <w:rsid w:val="00565BF0"/>
    <w:rsid w:val="00565FB6"/>
    <w:rsid w:val="0056637C"/>
    <w:rsid w:val="0056644B"/>
    <w:rsid w:val="005666C0"/>
    <w:rsid w:val="0056698C"/>
    <w:rsid w:val="00566AA4"/>
    <w:rsid w:val="00566C3B"/>
    <w:rsid w:val="00566DA8"/>
    <w:rsid w:val="00566E5C"/>
    <w:rsid w:val="0056750E"/>
    <w:rsid w:val="0056785D"/>
    <w:rsid w:val="00567953"/>
    <w:rsid w:val="00567A60"/>
    <w:rsid w:val="00567B6D"/>
    <w:rsid w:val="00567BD2"/>
    <w:rsid w:val="005700DB"/>
    <w:rsid w:val="00570370"/>
    <w:rsid w:val="00570409"/>
    <w:rsid w:val="0057095E"/>
    <w:rsid w:val="0057098B"/>
    <w:rsid w:val="00570FDF"/>
    <w:rsid w:val="00570FFE"/>
    <w:rsid w:val="005710B1"/>
    <w:rsid w:val="00571245"/>
    <w:rsid w:val="005715E1"/>
    <w:rsid w:val="00571731"/>
    <w:rsid w:val="005717DD"/>
    <w:rsid w:val="0057188E"/>
    <w:rsid w:val="00571E3F"/>
    <w:rsid w:val="00572249"/>
    <w:rsid w:val="005722FC"/>
    <w:rsid w:val="00572440"/>
    <w:rsid w:val="00572727"/>
    <w:rsid w:val="005727EA"/>
    <w:rsid w:val="00572894"/>
    <w:rsid w:val="00572BFF"/>
    <w:rsid w:val="00573274"/>
    <w:rsid w:val="0057351E"/>
    <w:rsid w:val="0057360C"/>
    <w:rsid w:val="00573652"/>
    <w:rsid w:val="00573832"/>
    <w:rsid w:val="0057391F"/>
    <w:rsid w:val="00573B23"/>
    <w:rsid w:val="00573B87"/>
    <w:rsid w:val="0057416B"/>
    <w:rsid w:val="00574197"/>
    <w:rsid w:val="005742EF"/>
    <w:rsid w:val="00574439"/>
    <w:rsid w:val="00574CAD"/>
    <w:rsid w:val="005751B8"/>
    <w:rsid w:val="005754F7"/>
    <w:rsid w:val="005756F1"/>
    <w:rsid w:val="005757C7"/>
    <w:rsid w:val="00576064"/>
    <w:rsid w:val="005768AB"/>
    <w:rsid w:val="00576D5F"/>
    <w:rsid w:val="005774B3"/>
    <w:rsid w:val="00577BFE"/>
    <w:rsid w:val="00577D2D"/>
    <w:rsid w:val="00577FC5"/>
    <w:rsid w:val="0058000E"/>
    <w:rsid w:val="00580079"/>
    <w:rsid w:val="005805E9"/>
    <w:rsid w:val="005809D0"/>
    <w:rsid w:val="00580DCA"/>
    <w:rsid w:val="00580F70"/>
    <w:rsid w:val="005812A6"/>
    <w:rsid w:val="0058156B"/>
    <w:rsid w:val="0058176B"/>
    <w:rsid w:val="00581811"/>
    <w:rsid w:val="00581846"/>
    <w:rsid w:val="00581C43"/>
    <w:rsid w:val="005820E8"/>
    <w:rsid w:val="005823F2"/>
    <w:rsid w:val="0058268D"/>
    <w:rsid w:val="005826ED"/>
    <w:rsid w:val="00582882"/>
    <w:rsid w:val="0058297D"/>
    <w:rsid w:val="00582B7C"/>
    <w:rsid w:val="005837C8"/>
    <w:rsid w:val="005839C2"/>
    <w:rsid w:val="00583B03"/>
    <w:rsid w:val="00584687"/>
    <w:rsid w:val="00584D78"/>
    <w:rsid w:val="0058511B"/>
    <w:rsid w:val="005851A8"/>
    <w:rsid w:val="005854EF"/>
    <w:rsid w:val="0058554A"/>
    <w:rsid w:val="005855D8"/>
    <w:rsid w:val="0058561C"/>
    <w:rsid w:val="00585A6F"/>
    <w:rsid w:val="00586023"/>
    <w:rsid w:val="005868AF"/>
    <w:rsid w:val="00586A00"/>
    <w:rsid w:val="00586A5D"/>
    <w:rsid w:val="00586C20"/>
    <w:rsid w:val="00586C9E"/>
    <w:rsid w:val="00586FEC"/>
    <w:rsid w:val="00587064"/>
    <w:rsid w:val="0058716C"/>
    <w:rsid w:val="005872C4"/>
    <w:rsid w:val="00587862"/>
    <w:rsid w:val="005878FC"/>
    <w:rsid w:val="0058790E"/>
    <w:rsid w:val="00587D18"/>
    <w:rsid w:val="00590194"/>
    <w:rsid w:val="005902EC"/>
    <w:rsid w:val="00590341"/>
    <w:rsid w:val="0059057E"/>
    <w:rsid w:val="00590580"/>
    <w:rsid w:val="005905D1"/>
    <w:rsid w:val="00590A93"/>
    <w:rsid w:val="00590F96"/>
    <w:rsid w:val="0059127C"/>
    <w:rsid w:val="00592044"/>
    <w:rsid w:val="0059226C"/>
    <w:rsid w:val="00592358"/>
    <w:rsid w:val="00592A2F"/>
    <w:rsid w:val="00592BD0"/>
    <w:rsid w:val="00592BD4"/>
    <w:rsid w:val="00592F20"/>
    <w:rsid w:val="00593512"/>
    <w:rsid w:val="00593861"/>
    <w:rsid w:val="00593DA2"/>
    <w:rsid w:val="00593DF6"/>
    <w:rsid w:val="005941C2"/>
    <w:rsid w:val="00595093"/>
    <w:rsid w:val="005950FD"/>
    <w:rsid w:val="005955E5"/>
    <w:rsid w:val="0059560E"/>
    <w:rsid w:val="0059572C"/>
    <w:rsid w:val="0059581D"/>
    <w:rsid w:val="00595C0D"/>
    <w:rsid w:val="00595EE2"/>
    <w:rsid w:val="00596141"/>
    <w:rsid w:val="005961B5"/>
    <w:rsid w:val="0059636A"/>
    <w:rsid w:val="00596562"/>
    <w:rsid w:val="00596662"/>
    <w:rsid w:val="005966EC"/>
    <w:rsid w:val="005967EE"/>
    <w:rsid w:val="005972D2"/>
    <w:rsid w:val="00597464"/>
    <w:rsid w:val="005974DB"/>
    <w:rsid w:val="0059772F"/>
    <w:rsid w:val="00597743"/>
    <w:rsid w:val="005977B5"/>
    <w:rsid w:val="005A0060"/>
    <w:rsid w:val="005A0490"/>
    <w:rsid w:val="005A0D3D"/>
    <w:rsid w:val="005A0F03"/>
    <w:rsid w:val="005A1816"/>
    <w:rsid w:val="005A19CA"/>
    <w:rsid w:val="005A1E90"/>
    <w:rsid w:val="005A20E6"/>
    <w:rsid w:val="005A249B"/>
    <w:rsid w:val="005A2906"/>
    <w:rsid w:val="005A2A15"/>
    <w:rsid w:val="005A376F"/>
    <w:rsid w:val="005A3979"/>
    <w:rsid w:val="005A3C76"/>
    <w:rsid w:val="005A4331"/>
    <w:rsid w:val="005A4561"/>
    <w:rsid w:val="005A49D2"/>
    <w:rsid w:val="005A4BA1"/>
    <w:rsid w:val="005A4CBD"/>
    <w:rsid w:val="005A4E16"/>
    <w:rsid w:val="005A5507"/>
    <w:rsid w:val="005A55B6"/>
    <w:rsid w:val="005A5AC0"/>
    <w:rsid w:val="005A5FC0"/>
    <w:rsid w:val="005A6234"/>
    <w:rsid w:val="005A667B"/>
    <w:rsid w:val="005A6A23"/>
    <w:rsid w:val="005A7A4E"/>
    <w:rsid w:val="005A7CF9"/>
    <w:rsid w:val="005B0218"/>
    <w:rsid w:val="005B0533"/>
    <w:rsid w:val="005B07C9"/>
    <w:rsid w:val="005B1672"/>
    <w:rsid w:val="005B1736"/>
    <w:rsid w:val="005B17E2"/>
    <w:rsid w:val="005B1CD2"/>
    <w:rsid w:val="005B2395"/>
    <w:rsid w:val="005B2EBF"/>
    <w:rsid w:val="005B31DA"/>
    <w:rsid w:val="005B3352"/>
    <w:rsid w:val="005B35AC"/>
    <w:rsid w:val="005B3A75"/>
    <w:rsid w:val="005B3B7E"/>
    <w:rsid w:val="005B4688"/>
    <w:rsid w:val="005B5067"/>
    <w:rsid w:val="005B5387"/>
    <w:rsid w:val="005B5472"/>
    <w:rsid w:val="005B5596"/>
    <w:rsid w:val="005B6923"/>
    <w:rsid w:val="005B6B37"/>
    <w:rsid w:val="005B6D16"/>
    <w:rsid w:val="005B6D2C"/>
    <w:rsid w:val="005B6F42"/>
    <w:rsid w:val="005B6F6B"/>
    <w:rsid w:val="005B7387"/>
    <w:rsid w:val="005B766C"/>
    <w:rsid w:val="005B7974"/>
    <w:rsid w:val="005B7C89"/>
    <w:rsid w:val="005B7CB2"/>
    <w:rsid w:val="005B7EB0"/>
    <w:rsid w:val="005C0055"/>
    <w:rsid w:val="005C03F8"/>
    <w:rsid w:val="005C05C1"/>
    <w:rsid w:val="005C067F"/>
    <w:rsid w:val="005C081B"/>
    <w:rsid w:val="005C086E"/>
    <w:rsid w:val="005C0AD7"/>
    <w:rsid w:val="005C0EDD"/>
    <w:rsid w:val="005C13EC"/>
    <w:rsid w:val="005C14FB"/>
    <w:rsid w:val="005C1944"/>
    <w:rsid w:val="005C1993"/>
    <w:rsid w:val="005C21DE"/>
    <w:rsid w:val="005C24BB"/>
    <w:rsid w:val="005C2B06"/>
    <w:rsid w:val="005C2C67"/>
    <w:rsid w:val="005C30CB"/>
    <w:rsid w:val="005C3168"/>
    <w:rsid w:val="005C3476"/>
    <w:rsid w:val="005C3842"/>
    <w:rsid w:val="005C3C30"/>
    <w:rsid w:val="005C3CB1"/>
    <w:rsid w:val="005C4093"/>
    <w:rsid w:val="005C428C"/>
    <w:rsid w:val="005C4357"/>
    <w:rsid w:val="005C469D"/>
    <w:rsid w:val="005C4804"/>
    <w:rsid w:val="005C4930"/>
    <w:rsid w:val="005C4A2F"/>
    <w:rsid w:val="005C5347"/>
    <w:rsid w:val="005C55F4"/>
    <w:rsid w:val="005C5684"/>
    <w:rsid w:val="005C5A6F"/>
    <w:rsid w:val="005C5AC4"/>
    <w:rsid w:val="005C5D36"/>
    <w:rsid w:val="005C5E07"/>
    <w:rsid w:val="005C5E39"/>
    <w:rsid w:val="005C6348"/>
    <w:rsid w:val="005C64FC"/>
    <w:rsid w:val="005C6E88"/>
    <w:rsid w:val="005C7364"/>
    <w:rsid w:val="005C745D"/>
    <w:rsid w:val="005C7595"/>
    <w:rsid w:val="005C762D"/>
    <w:rsid w:val="005C79EF"/>
    <w:rsid w:val="005C7F35"/>
    <w:rsid w:val="005D0127"/>
    <w:rsid w:val="005D0347"/>
    <w:rsid w:val="005D037C"/>
    <w:rsid w:val="005D04CB"/>
    <w:rsid w:val="005D070E"/>
    <w:rsid w:val="005D14FC"/>
    <w:rsid w:val="005D16D6"/>
    <w:rsid w:val="005D18E0"/>
    <w:rsid w:val="005D1A45"/>
    <w:rsid w:val="005D1C6D"/>
    <w:rsid w:val="005D204D"/>
    <w:rsid w:val="005D21E2"/>
    <w:rsid w:val="005D2270"/>
    <w:rsid w:val="005D2274"/>
    <w:rsid w:val="005D2374"/>
    <w:rsid w:val="005D2968"/>
    <w:rsid w:val="005D2974"/>
    <w:rsid w:val="005D2A53"/>
    <w:rsid w:val="005D2DA5"/>
    <w:rsid w:val="005D2FB0"/>
    <w:rsid w:val="005D31A7"/>
    <w:rsid w:val="005D378C"/>
    <w:rsid w:val="005D3B92"/>
    <w:rsid w:val="005D3C2B"/>
    <w:rsid w:val="005D421B"/>
    <w:rsid w:val="005D4445"/>
    <w:rsid w:val="005D48F9"/>
    <w:rsid w:val="005D499B"/>
    <w:rsid w:val="005D4B59"/>
    <w:rsid w:val="005D4B8E"/>
    <w:rsid w:val="005D5340"/>
    <w:rsid w:val="005D5505"/>
    <w:rsid w:val="005D55BC"/>
    <w:rsid w:val="005D55E1"/>
    <w:rsid w:val="005D5986"/>
    <w:rsid w:val="005D5AB3"/>
    <w:rsid w:val="005D5FDA"/>
    <w:rsid w:val="005D651A"/>
    <w:rsid w:val="005D6A60"/>
    <w:rsid w:val="005D6B7F"/>
    <w:rsid w:val="005D6E7C"/>
    <w:rsid w:val="005D734A"/>
    <w:rsid w:val="005D7956"/>
    <w:rsid w:val="005D7E6E"/>
    <w:rsid w:val="005D7EB7"/>
    <w:rsid w:val="005E011A"/>
    <w:rsid w:val="005E01C8"/>
    <w:rsid w:val="005E0356"/>
    <w:rsid w:val="005E0586"/>
    <w:rsid w:val="005E066C"/>
    <w:rsid w:val="005E070B"/>
    <w:rsid w:val="005E07B4"/>
    <w:rsid w:val="005E172D"/>
    <w:rsid w:val="005E1BC9"/>
    <w:rsid w:val="005E1C71"/>
    <w:rsid w:val="005E1CA2"/>
    <w:rsid w:val="005E1E00"/>
    <w:rsid w:val="005E1ED7"/>
    <w:rsid w:val="005E1F3C"/>
    <w:rsid w:val="005E2535"/>
    <w:rsid w:val="005E2624"/>
    <w:rsid w:val="005E269B"/>
    <w:rsid w:val="005E26CD"/>
    <w:rsid w:val="005E279D"/>
    <w:rsid w:val="005E2D14"/>
    <w:rsid w:val="005E405F"/>
    <w:rsid w:val="005E40DF"/>
    <w:rsid w:val="005E41C9"/>
    <w:rsid w:val="005E462C"/>
    <w:rsid w:val="005E4A85"/>
    <w:rsid w:val="005E4ADB"/>
    <w:rsid w:val="005E4E9B"/>
    <w:rsid w:val="005E4F8D"/>
    <w:rsid w:val="005E5263"/>
    <w:rsid w:val="005E54E4"/>
    <w:rsid w:val="005E5694"/>
    <w:rsid w:val="005E5798"/>
    <w:rsid w:val="005E581D"/>
    <w:rsid w:val="005E62AF"/>
    <w:rsid w:val="005E6308"/>
    <w:rsid w:val="005E647D"/>
    <w:rsid w:val="005E658A"/>
    <w:rsid w:val="005E69F1"/>
    <w:rsid w:val="005E6D87"/>
    <w:rsid w:val="005E6D98"/>
    <w:rsid w:val="005E6F5F"/>
    <w:rsid w:val="005E71E3"/>
    <w:rsid w:val="005E7326"/>
    <w:rsid w:val="005E74E6"/>
    <w:rsid w:val="005E7562"/>
    <w:rsid w:val="005E765B"/>
    <w:rsid w:val="005E7CF9"/>
    <w:rsid w:val="005F03F9"/>
    <w:rsid w:val="005F0455"/>
    <w:rsid w:val="005F0525"/>
    <w:rsid w:val="005F0653"/>
    <w:rsid w:val="005F10C5"/>
    <w:rsid w:val="005F1300"/>
    <w:rsid w:val="005F1337"/>
    <w:rsid w:val="005F1586"/>
    <w:rsid w:val="005F1B8B"/>
    <w:rsid w:val="005F1C82"/>
    <w:rsid w:val="005F1CC1"/>
    <w:rsid w:val="005F1D80"/>
    <w:rsid w:val="005F20D1"/>
    <w:rsid w:val="005F2628"/>
    <w:rsid w:val="005F2EB3"/>
    <w:rsid w:val="005F312B"/>
    <w:rsid w:val="005F35C8"/>
    <w:rsid w:val="005F362A"/>
    <w:rsid w:val="005F36DB"/>
    <w:rsid w:val="005F371F"/>
    <w:rsid w:val="005F3863"/>
    <w:rsid w:val="005F394E"/>
    <w:rsid w:val="005F3D10"/>
    <w:rsid w:val="005F3F2D"/>
    <w:rsid w:val="005F3F4E"/>
    <w:rsid w:val="005F3FF2"/>
    <w:rsid w:val="005F40E0"/>
    <w:rsid w:val="005F4CB6"/>
    <w:rsid w:val="005F4D9B"/>
    <w:rsid w:val="005F4E77"/>
    <w:rsid w:val="005F4EAE"/>
    <w:rsid w:val="005F52C5"/>
    <w:rsid w:val="005F572C"/>
    <w:rsid w:val="005F5776"/>
    <w:rsid w:val="005F58E6"/>
    <w:rsid w:val="005F5958"/>
    <w:rsid w:val="005F5A5B"/>
    <w:rsid w:val="005F5C59"/>
    <w:rsid w:val="005F5C8C"/>
    <w:rsid w:val="005F5C95"/>
    <w:rsid w:val="005F5E3B"/>
    <w:rsid w:val="005F6178"/>
    <w:rsid w:val="005F647E"/>
    <w:rsid w:val="005F6773"/>
    <w:rsid w:val="005F6BD7"/>
    <w:rsid w:val="005F71A0"/>
    <w:rsid w:val="005F7743"/>
    <w:rsid w:val="005F77C3"/>
    <w:rsid w:val="005F7897"/>
    <w:rsid w:val="005F7D2D"/>
    <w:rsid w:val="006002F8"/>
    <w:rsid w:val="006004D5"/>
    <w:rsid w:val="00600BDC"/>
    <w:rsid w:val="00600E41"/>
    <w:rsid w:val="006010AE"/>
    <w:rsid w:val="0060113C"/>
    <w:rsid w:val="006014CB"/>
    <w:rsid w:val="00601511"/>
    <w:rsid w:val="00601678"/>
    <w:rsid w:val="006016E4"/>
    <w:rsid w:val="006019E0"/>
    <w:rsid w:val="00601CC7"/>
    <w:rsid w:val="006023F6"/>
    <w:rsid w:val="006024B5"/>
    <w:rsid w:val="006024FD"/>
    <w:rsid w:val="00602E09"/>
    <w:rsid w:val="006032C0"/>
    <w:rsid w:val="00603401"/>
    <w:rsid w:val="00603D62"/>
    <w:rsid w:val="00603E61"/>
    <w:rsid w:val="00604264"/>
    <w:rsid w:val="006048B9"/>
    <w:rsid w:val="00604CBB"/>
    <w:rsid w:val="006053B9"/>
    <w:rsid w:val="00605858"/>
    <w:rsid w:val="0060586C"/>
    <w:rsid w:val="006058EF"/>
    <w:rsid w:val="00605E4F"/>
    <w:rsid w:val="006066FD"/>
    <w:rsid w:val="006068AE"/>
    <w:rsid w:val="00606DE3"/>
    <w:rsid w:val="006070A1"/>
    <w:rsid w:val="00607136"/>
    <w:rsid w:val="006071D2"/>
    <w:rsid w:val="00610527"/>
    <w:rsid w:val="006105F5"/>
    <w:rsid w:val="00610981"/>
    <w:rsid w:val="00610C87"/>
    <w:rsid w:val="00610D52"/>
    <w:rsid w:val="00611673"/>
    <w:rsid w:val="006117FD"/>
    <w:rsid w:val="00612431"/>
    <w:rsid w:val="0061267C"/>
    <w:rsid w:val="006126ED"/>
    <w:rsid w:val="0061289A"/>
    <w:rsid w:val="0061295E"/>
    <w:rsid w:val="00612D22"/>
    <w:rsid w:val="00613663"/>
    <w:rsid w:val="00613676"/>
    <w:rsid w:val="0061383D"/>
    <w:rsid w:val="006138F7"/>
    <w:rsid w:val="0061395D"/>
    <w:rsid w:val="00613B91"/>
    <w:rsid w:val="00613DDD"/>
    <w:rsid w:val="00614292"/>
    <w:rsid w:val="00614512"/>
    <w:rsid w:val="006146A9"/>
    <w:rsid w:val="006147FF"/>
    <w:rsid w:val="00614932"/>
    <w:rsid w:val="00614B29"/>
    <w:rsid w:val="00615323"/>
    <w:rsid w:val="00615817"/>
    <w:rsid w:val="00615852"/>
    <w:rsid w:val="0061589C"/>
    <w:rsid w:val="00615A6A"/>
    <w:rsid w:val="00615AF8"/>
    <w:rsid w:val="00616023"/>
    <w:rsid w:val="006161DD"/>
    <w:rsid w:val="0061657D"/>
    <w:rsid w:val="0061662F"/>
    <w:rsid w:val="006169BA"/>
    <w:rsid w:val="00616A15"/>
    <w:rsid w:val="0061700B"/>
    <w:rsid w:val="006172D9"/>
    <w:rsid w:val="00617696"/>
    <w:rsid w:val="00617856"/>
    <w:rsid w:val="0061798C"/>
    <w:rsid w:val="00617D8F"/>
    <w:rsid w:val="0062069A"/>
    <w:rsid w:val="006208CA"/>
    <w:rsid w:val="0062098B"/>
    <w:rsid w:val="00620AC9"/>
    <w:rsid w:val="00620B04"/>
    <w:rsid w:val="00620BA5"/>
    <w:rsid w:val="00620F97"/>
    <w:rsid w:val="0062102F"/>
    <w:rsid w:val="00621055"/>
    <w:rsid w:val="0062109C"/>
    <w:rsid w:val="00621302"/>
    <w:rsid w:val="0062158E"/>
    <w:rsid w:val="00621622"/>
    <w:rsid w:val="006217D4"/>
    <w:rsid w:val="006217E2"/>
    <w:rsid w:val="00621E73"/>
    <w:rsid w:val="00622057"/>
    <w:rsid w:val="006223A2"/>
    <w:rsid w:val="006225E5"/>
    <w:rsid w:val="00622899"/>
    <w:rsid w:val="00622AF6"/>
    <w:rsid w:val="00623200"/>
    <w:rsid w:val="006232FC"/>
    <w:rsid w:val="006233FE"/>
    <w:rsid w:val="006238F7"/>
    <w:rsid w:val="00623A5F"/>
    <w:rsid w:val="00623B01"/>
    <w:rsid w:val="00623FC1"/>
    <w:rsid w:val="00624062"/>
    <w:rsid w:val="00624131"/>
    <w:rsid w:val="006245D3"/>
    <w:rsid w:val="0062464F"/>
    <w:rsid w:val="006247E8"/>
    <w:rsid w:val="00624C52"/>
    <w:rsid w:val="00625141"/>
    <w:rsid w:val="006259D7"/>
    <w:rsid w:val="00625C45"/>
    <w:rsid w:val="00625F91"/>
    <w:rsid w:val="006263FE"/>
    <w:rsid w:val="006265AA"/>
    <w:rsid w:val="00626C60"/>
    <w:rsid w:val="00626F05"/>
    <w:rsid w:val="006270CA"/>
    <w:rsid w:val="0062713E"/>
    <w:rsid w:val="00627BD5"/>
    <w:rsid w:val="006305A4"/>
    <w:rsid w:val="00630956"/>
    <w:rsid w:val="00630CE1"/>
    <w:rsid w:val="00630EE2"/>
    <w:rsid w:val="00632382"/>
    <w:rsid w:val="00632558"/>
    <w:rsid w:val="006326FE"/>
    <w:rsid w:val="00632A43"/>
    <w:rsid w:val="00632B3C"/>
    <w:rsid w:val="00632B7A"/>
    <w:rsid w:val="00632C82"/>
    <w:rsid w:val="00632FB9"/>
    <w:rsid w:val="00633424"/>
    <w:rsid w:val="00633461"/>
    <w:rsid w:val="00633531"/>
    <w:rsid w:val="00633701"/>
    <w:rsid w:val="0063385B"/>
    <w:rsid w:val="00633C29"/>
    <w:rsid w:val="00633F84"/>
    <w:rsid w:val="006341FF"/>
    <w:rsid w:val="00634260"/>
    <w:rsid w:val="00634394"/>
    <w:rsid w:val="00634591"/>
    <w:rsid w:val="00634B2A"/>
    <w:rsid w:val="00634F02"/>
    <w:rsid w:val="00634FF1"/>
    <w:rsid w:val="00635395"/>
    <w:rsid w:val="00635443"/>
    <w:rsid w:val="006356EF"/>
    <w:rsid w:val="00635890"/>
    <w:rsid w:val="006358A3"/>
    <w:rsid w:val="00635939"/>
    <w:rsid w:val="00635AD5"/>
    <w:rsid w:val="00635D19"/>
    <w:rsid w:val="006362EF"/>
    <w:rsid w:val="00636371"/>
    <w:rsid w:val="006363AA"/>
    <w:rsid w:val="006367AE"/>
    <w:rsid w:val="006369D9"/>
    <w:rsid w:val="00636BDF"/>
    <w:rsid w:val="00636CD8"/>
    <w:rsid w:val="00636CDF"/>
    <w:rsid w:val="00637C6D"/>
    <w:rsid w:val="00640300"/>
    <w:rsid w:val="00640B46"/>
    <w:rsid w:val="00640D2A"/>
    <w:rsid w:val="00640DB1"/>
    <w:rsid w:val="00640FF5"/>
    <w:rsid w:val="006411F8"/>
    <w:rsid w:val="0064137C"/>
    <w:rsid w:val="006417B8"/>
    <w:rsid w:val="0064196C"/>
    <w:rsid w:val="00641AD9"/>
    <w:rsid w:val="00641B90"/>
    <w:rsid w:val="00641C50"/>
    <w:rsid w:val="00641DD9"/>
    <w:rsid w:val="00641EF8"/>
    <w:rsid w:val="00642220"/>
    <w:rsid w:val="0064243E"/>
    <w:rsid w:val="00642448"/>
    <w:rsid w:val="00642B80"/>
    <w:rsid w:val="00642BA8"/>
    <w:rsid w:val="0064314C"/>
    <w:rsid w:val="00643CD7"/>
    <w:rsid w:val="00643D60"/>
    <w:rsid w:val="006445F8"/>
    <w:rsid w:val="00644758"/>
    <w:rsid w:val="006449B8"/>
    <w:rsid w:val="00644C97"/>
    <w:rsid w:val="0064533E"/>
    <w:rsid w:val="006454EE"/>
    <w:rsid w:val="00645B58"/>
    <w:rsid w:val="0064634C"/>
    <w:rsid w:val="006463C7"/>
    <w:rsid w:val="006469A2"/>
    <w:rsid w:val="006474B9"/>
    <w:rsid w:val="0064777E"/>
    <w:rsid w:val="00647B8F"/>
    <w:rsid w:val="00647DA7"/>
    <w:rsid w:val="00647FD3"/>
    <w:rsid w:val="006508D9"/>
    <w:rsid w:val="00650B5A"/>
    <w:rsid w:val="00650CF7"/>
    <w:rsid w:val="00650F00"/>
    <w:rsid w:val="00650F3B"/>
    <w:rsid w:val="006510C2"/>
    <w:rsid w:val="006511F8"/>
    <w:rsid w:val="0065180D"/>
    <w:rsid w:val="006518CB"/>
    <w:rsid w:val="006529F9"/>
    <w:rsid w:val="006534F1"/>
    <w:rsid w:val="006538AD"/>
    <w:rsid w:val="00654056"/>
    <w:rsid w:val="00654057"/>
    <w:rsid w:val="0065405F"/>
    <w:rsid w:val="0065439C"/>
    <w:rsid w:val="006546C3"/>
    <w:rsid w:val="00654C0D"/>
    <w:rsid w:val="00654C67"/>
    <w:rsid w:val="00654CAE"/>
    <w:rsid w:val="00654E9B"/>
    <w:rsid w:val="00655196"/>
    <w:rsid w:val="006554B7"/>
    <w:rsid w:val="00655677"/>
    <w:rsid w:val="006557DB"/>
    <w:rsid w:val="006559CA"/>
    <w:rsid w:val="00655DF0"/>
    <w:rsid w:val="006563F1"/>
    <w:rsid w:val="006565DD"/>
    <w:rsid w:val="0065695E"/>
    <w:rsid w:val="00656A6F"/>
    <w:rsid w:val="00656A7B"/>
    <w:rsid w:val="00656B4F"/>
    <w:rsid w:val="00656E20"/>
    <w:rsid w:val="006572C9"/>
    <w:rsid w:val="00657444"/>
    <w:rsid w:val="00657B2A"/>
    <w:rsid w:val="00660164"/>
    <w:rsid w:val="006605BB"/>
    <w:rsid w:val="006607BD"/>
    <w:rsid w:val="00660F13"/>
    <w:rsid w:val="006610EE"/>
    <w:rsid w:val="0066124B"/>
    <w:rsid w:val="00661283"/>
    <w:rsid w:val="00661532"/>
    <w:rsid w:val="00661BE9"/>
    <w:rsid w:val="00661E92"/>
    <w:rsid w:val="00662680"/>
    <w:rsid w:val="0066269D"/>
    <w:rsid w:val="006626A8"/>
    <w:rsid w:val="00662729"/>
    <w:rsid w:val="006627D4"/>
    <w:rsid w:val="006629B9"/>
    <w:rsid w:val="00662DD2"/>
    <w:rsid w:val="006632D8"/>
    <w:rsid w:val="0066334A"/>
    <w:rsid w:val="006634F8"/>
    <w:rsid w:val="006636C3"/>
    <w:rsid w:val="006637EE"/>
    <w:rsid w:val="00663DA5"/>
    <w:rsid w:val="006645D7"/>
    <w:rsid w:val="006646B6"/>
    <w:rsid w:val="006649D8"/>
    <w:rsid w:val="00664AA1"/>
    <w:rsid w:val="0066528F"/>
    <w:rsid w:val="00665327"/>
    <w:rsid w:val="00665819"/>
    <w:rsid w:val="00665B11"/>
    <w:rsid w:val="00665B65"/>
    <w:rsid w:val="00665D9F"/>
    <w:rsid w:val="00666417"/>
    <w:rsid w:val="00666520"/>
    <w:rsid w:val="00666687"/>
    <w:rsid w:val="006669E2"/>
    <w:rsid w:val="00666BFD"/>
    <w:rsid w:val="00666EC3"/>
    <w:rsid w:val="00667031"/>
    <w:rsid w:val="00667196"/>
    <w:rsid w:val="006675D0"/>
    <w:rsid w:val="0066777B"/>
    <w:rsid w:val="00667CC0"/>
    <w:rsid w:val="00667EE4"/>
    <w:rsid w:val="00667FE5"/>
    <w:rsid w:val="00670364"/>
    <w:rsid w:val="0067041C"/>
    <w:rsid w:val="00670646"/>
    <w:rsid w:val="00670BA0"/>
    <w:rsid w:val="00670CDF"/>
    <w:rsid w:val="00670DBF"/>
    <w:rsid w:val="006712E4"/>
    <w:rsid w:val="00671575"/>
    <w:rsid w:val="00672064"/>
    <w:rsid w:val="006726BD"/>
    <w:rsid w:val="0067281A"/>
    <w:rsid w:val="00672B3C"/>
    <w:rsid w:val="0067368D"/>
    <w:rsid w:val="0067382D"/>
    <w:rsid w:val="00673BA7"/>
    <w:rsid w:val="00673C05"/>
    <w:rsid w:val="00674356"/>
    <w:rsid w:val="00674523"/>
    <w:rsid w:val="00674936"/>
    <w:rsid w:val="00674D13"/>
    <w:rsid w:val="00675076"/>
    <w:rsid w:val="00675267"/>
    <w:rsid w:val="006752A2"/>
    <w:rsid w:val="00675472"/>
    <w:rsid w:val="006754BE"/>
    <w:rsid w:val="00675DB8"/>
    <w:rsid w:val="00676414"/>
    <w:rsid w:val="00676AE5"/>
    <w:rsid w:val="00676DE7"/>
    <w:rsid w:val="006772B7"/>
    <w:rsid w:val="006775C2"/>
    <w:rsid w:val="006775E9"/>
    <w:rsid w:val="00677844"/>
    <w:rsid w:val="00677FDE"/>
    <w:rsid w:val="00680265"/>
    <w:rsid w:val="006802EC"/>
    <w:rsid w:val="006803F5"/>
    <w:rsid w:val="006804AC"/>
    <w:rsid w:val="00680902"/>
    <w:rsid w:val="00680A94"/>
    <w:rsid w:val="00680DBF"/>
    <w:rsid w:val="00681178"/>
    <w:rsid w:val="00681299"/>
    <w:rsid w:val="00681748"/>
    <w:rsid w:val="006817EB"/>
    <w:rsid w:val="00682231"/>
    <w:rsid w:val="006822CA"/>
    <w:rsid w:val="00682302"/>
    <w:rsid w:val="00682656"/>
    <w:rsid w:val="006826FB"/>
    <w:rsid w:val="00682D0D"/>
    <w:rsid w:val="00683045"/>
    <w:rsid w:val="006835B7"/>
    <w:rsid w:val="006836F7"/>
    <w:rsid w:val="006839FA"/>
    <w:rsid w:val="00683DFC"/>
    <w:rsid w:val="00684C58"/>
    <w:rsid w:val="00684CB3"/>
    <w:rsid w:val="00685152"/>
    <w:rsid w:val="00685291"/>
    <w:rsid w:val="006855BE"/>
    <w:rsid w:val="00685C28"/>
    <w:rsid w:val="00685CAC"/>
    <w:rsid w:val="0068602A"/>
    <w:rsid w:val="006860B8"/>
    <w:rsid w:val="006860D8"/>
    <w:rsid w:val="006864D6"/>
    <w:rsid w:val="0068683F"/>
    <w:rsid w:val="00686908"/>
    <w:rsid w:val="00686E6A"/>
    <w:rsid w:val="00687019"/>
    <w:rsid w:val="006876E8"/>
    <w:rsid w:val="00687B40"/>
    <w:rsid w:val="00687B79"/>
    <w:rsid w:val="0069012A"/>
    <w:rsid w:val="00690733"/>
    <w:rsid w:val="0069079D"/>
    <w:rsid w:val="00690F9D"/>
    <w:rsid w:val="00691755"/>
    <w:rsid w:val="00691805"/>
    <w:rsid w:val="00691C21"/>
    <w:rsid w:val="00691EB9"/>
    <w:rsid w:val="00691FA0"/>
    <w:rsid w:val="00692EDD"/>
    <w:rsid w:val="00692F2B"/>
    <w:rsid w:val="006930A4"/>
    <w:rsid w:val="00693C59"/>
    <w:rsid w:val="00693DBB"/>
    <w:rsid w:val="00693E27"/>
    <w:rsid w:val="006941BB"/>
    <w:rsid w:val="00694269"/>
    <w:rsid w:val="0069428C"/>
    <w:rsid w:val="006943DC"/>
    <w:rsid w:val="00694C8D"/>
    <w:rsid w:val="00694E61"/>
    <w:rsid w:val="0069530A"/>
    <w:rsid w:val="00695855"/>
    <w:rsid w:val="00695B25"/>
    <w:rsid w:val="00695BC9"/>
    <w:rsid w:val="00695C8B"/>
    <w:rsid w:val="006965C8"/>
    <w:rsid w:val="006967EB"/>
    <w:rsid w:val="00696ABE"/>
    <w:rsid w:val="00696D23"/>
    <w:rsid w:val="00696FE9"/>
    <w:rsid w:val="006971EB"/>
    <w:rsid w:val="006971F2"/>
    <w:rsid w:val="006976AF"/>
    <w:rsid w:val="00697A28"/>
    <w:rsid w:val="00697C89"/>
    <w:rsid w:val="00697DD7"/>
    <w:rsid w:val="006A0C96"/>
    <w:rsid w:val="006A0DD9"/>
    <w:rsid w:val="006A0EE8"/>
    <w:rsid w:val="006A14A2"/>
    <w:rsid w:val="006A1528"/>
    <w:rsid w:val="006A18B1"/>
    <w:rsid w:val="006A1A33"/>
    <w:rsid w:val="006A205F"/>
    <w:rsid w:val="006A22F5"/>
    <w:rsid w:val="006A3251"/>
    <w:rsid w:val="006A3252"/>
    <w:rsid w:val="006A34AB"/>
    <w:rsid w:val="006A35C1"/>
    <w:rsid w:val="006A38BA"/>
    <w:rsid w:val="006A3A77"/>
    <w:rsid w:val="006A3C19"/>
    <w:rsid w:val="006A42EA"/>
    <w:rsid w:val="006A43CD"/>
    <w:rsid w:val="006A4449"/>
    <w:rsid w:val="006A4670"/>
    <w:rsid w:val="006A46AB"/>
    <w:rsid w:val="006A4750"/>
    <w:rsid w:val="006A47C6"/>
    <w:rsid w:val="006A502C"/>
    <w:rsid w:val="006A552D"/>
    <w:rsid w:val="006A622E"/>
    <w:rsid w:val="006A665D"/>
    <w:rsid w:val="006A68E7"/>
    <w:rsid w:val="006A6FE0"/>
    <w:rsid w:val="006A71FF"/>
    <w:rsid w:val="006B0A70"/>
    <w:rsid w:val="006B0B81"/>
    <w:rsid w:val="006B118E"/>
    <w:rsid w:val="006B1211"/>
    <w:rsid w:val="006B123C"/>
    <w:rsid w:val="006B12E0"/>
    <w:rsid w:val="006B1890"/>
    <w:rsid w:val="006B1D0D"/>
    <w:rsid w:val="006B1D57"/>
    <w:rsid w:val="006B1F54"/>
    <w:rsid w:val="006B2155"/>
    <w:rsid w:val="006B2A67"/>
    <w:rsid w:val="006B2EBF"/>
    <w:rsid w:val="006B355C"/>
    <w:rsid w:val="006B3715"/>
    <w:rsid w:val="006B37CE"/>
    <w:rsid w:val="006B3CDE"/>
    <w:rsid w:val="006B3DB2"/>
    <w:rsid w:val="006B4284"/>
    <w:rsid w:val="006B4466"/>
    <w:rsid w:val="006B460B"/>
    <w:rsid w:val="006B494E"/>
    <w:rsid w:val="006B4BAB"/>
    <w:rsid w:val="006B4BE1"/>
    <w:rsid w:val="006B4F24"/>
    <w:rsid w:val="006B54BC"/>
    <w:rsid w:val="006B5775"/>
    <w:rsid w:val="006B60DB"/>
    <w:rsid w:val="006B6193"/>
    <w:rsid w:val="006B632C"/>
    <w:rsid w:val="006B66D3"/>
    <w:rsid w:val="006B67AB"/>
    <w:rsid w:val="006B6BB9"/>
    <w:rsid w:val="006B6DA8"/>
    <w:rsid w:val="006B76B3"/>
    <w:rsid w:val="006B7922"/>
    <w:rsid w:val="006B7A34"/>
    <w:rsid w:val="006B7B73"/>
    <w:rsid w:val="006C0482"/>
    <w:rsid w:val="006C0A30"/>
    <w:rsid w:val="006C0D3B"/>
    <w:rsid w:val="006C1103"/>
    <w:rsid w:val="006C121E"/>
    <w:rsid w:val="006C15F0"/>
    <w:rsid w:val="006C17DC"/>
    <w:rsid w:val="006C1BD1"/>
    <w:rsid w:val="006C232D"/>
    <w:rsid w:val="006C2569"/>
    <w:rsid w:val="006C28D2"/>
    <w:rsid w:val="006C29A0"/>
    <w:rsid w:val="006C2D45"/>
    <w:rsid w:val="006C30C7"/>
    <w:rsid w:val="006C3528"/>
    <w:rsid w:val="006C3687"/>
    <w:rsid w:val="006C43BD"/>
    <w:rsid w:val="006C471F"/>
    <w:rsid w:val="006C48F5"/>
    <w:rsid w:val="006C4CA7"/>
    <w:rsid w:val="006C4E35"/>
    <w:rsid w:val="006C4FA5"/>
    <w:rsid w:val="006C50AE"/>
    <w:rsid w:val="006C54B5"/>
    <w:rsid w:val="006C63D8"/>
    <w:rsid w:val="006C6E4A"/>
    <w:rsid w:val="006C6FC9"/>
    <w:rsid w:val="006C6FF8"/>
    <w:rsid w:val="006C76CA"/>
    <w:rsid w:val="006C7825"/>
    <w:rsid w:val="006C7F72"/>
    <w:rsid w:val="006D0657"/>
    <w:rsid w:val="006D09B2"/>
    <w:rsid w:val="006D0C91"/>
    <w:rsid w:val="006D0F76"/>
    <w:rsid w:val="006D0F87"/>
    <w:rsid w:val="006D123A"/>
    <w:rsid w:val="006D1877"/>
    <w:rsid w:val="006D1AD6"/>
    <w:rsid w:val="006D1B7A"/>
    <w:rsid w:val="006D1DBB"/>
    <w:rsid w:val="006D21C6"/>
    <w:rsid w:val="006D22F3"/>
    <w:rsid w:val="006D23B8"/>
    <w:rsid w:val="006D29C3"/>
    <w:rsid w:val="006D2B94"/>
    <w:rsid w:val="006D2D66"/>
    <w:rsid w:val="006D2FC4"/>
    <w:rsid w:val="006D3427"/>
    <w:rsid w:val="006D3B0D"/>
    <w:rsid w:val="006D3B27"/>
    <w:rsid w:val="006D3B3D"/>
    <w:rsid w:val="006D3B7F"/>
    <w:rsid w:val="006D3CE3"/>
    <w:rsid w:val="006D4216"/>
    <w:rsid w:val="006D456F"/>
    <w:rsid w:val="006D48AD"/>
    <w:rsid w:val="006D4A6E"/>
    <w:rsid w:val="006D4A8F"/>
    <w:rsid w:val="006D4B4E"/>
    <w:rsid w:val="006D4CED"/>
    <w:rsid w:val="006D4E64"/>
    <w:rsid w:val="006D59AB"/>
    <w:rsid w:val="006D5A0D"/>
    <w:rsid w:val="006D6718"/>
    <w:rsid w:val="006D6A54"/>
    <w:rsid w:val="006D6BF5"/>
    <w:rsid w:val="006D70D3"/>
    <w:rsid w:val="006D727A"/>
    <w:rsid w:val="006D7616"/>
    <w:rsid w:val="006D7641"/>
    <w:rsid w:val="006D79C1"/>
    <w:rsid w:val="006D7F47"/>
    <w:rsid w:val="006D7F7B"/>
    <w:rsid w:val="006D7FA6"/>
    <w:rsid w:val="006E002C"/>
    <w:rsid w:val="006E0BA1"/>
    <w:rsid w:val="006E0FA7"/>
    <w:rsid w:val="006E188F"/>
    <w:rsid w:val="006E1935"/>
    <w:rsid w:val="006E21F4"/>
    <w:rsid w:val="006E270D"/>
    <w:rsid w:val="006E27EA"/>
    <w:rsid w:val="006E2A72"/>
    <w:rsid w:val="006E32B9"/>
    <w:rsid w:val="006E337D"/>
    <w:rsid w:val="006E370A"/>
    <w:rsid w:val="006E3812"/>
    <w:rsid w:val="006E3863"/>
    <w:rsid w:val="006E3925"/>
    <w:rsid w:val="006E3AF0"/>
    <w:rsid w:val="006E3DEA"/>
    <w:rsid w:val="006E3EBB"/>
    <w:rsid w:val="006E3F45"/>
    <w:rsid w:val="006E4178"/>
    <w:rsid w:val="006E49D2"/>
    <w:rsid w:val="006E5637"/>
    <w:rsid w:val="006E5841"/>
    <w:rsid w:val="006E634D"/>
    <w:rsid w:val="006E63AC"/>
    <w:rsid w:val="006E67B1"/>
    <w:rsid w:val="006E6B84"/>
    <w:rsid w:val="006E6CFF"/>
    <w:rsid w:val="006E6FE9"/>
    <w:rsid w:val="006E7059"/>
    <w:rsid w:val="006E71A8"/>
    <w:rsid w:val="006E7841"/>
    <w:rsid w:val="006E7AC4"/>
    <w:rsid w:val="006E7B16"/>
    <w:rsid w:val="006E7BAF"/>
    <w:rsid w:val="006E7D06"/>
    <w:rsid w:val="006E7D50"/>
    <w:rsid w:val="006F0047"/>
    <w:rsid w:val="006F02D9"/>
    <w:rsid w:val="006F0844"/>
    <w:rsid w:val="006F0BBE"/>
    <w:rsid w:val="006F0E62"/>
    <w:rsid w:val="006F1A92"/>
    <w:rsid w:val="006F1DA8"/>
    <w:rsid w:val="006F29B2"/>
    <w:rsid w:val="006F2F2E"/>
    <w:rsid w:val="006F354C"/>
    <w:rsid w:val="006F3892"/>
    <w:rsid w:val="006F3E7D"/>
    <w:rsid w:val="006F41F2"/>
    <w:rsid w:val="006F4356"/>
    <w:rsid w:val="006F4361"/>
    <w:rsid w:val="006F453E"/>
    <w:rsid w:val="006F4827"/>
    <w:rsid w:val="006F514C"/>
    <w:rsid w:val="006F596A"/>
    <w:rsid w:val="006F5C8E"/>
    <w:rsid w:val="006F5D07"/>
    <w:rsid w:val="006F63AC"/>
    <w:rsid w:val="006F665D"/>
    <w:rsid w:val="006F6C1D"/>
    <w:rsid w:val="006F6C37"/>
    <w:rsid w:val="006F6FAC"/>
    <w:rsid w:val="006F71C6"/>
    <w:rsid w:val="006F71FE"/>
    <w:rsid w:val="006F735C"/>
    <w:rsid w:val="006F7BDE"/>
    <w:rsid w:val="006F7C75"/>
    <w:rsid w:val="006F7DE0"/>
    <w:rsid w:val="00700176"/>
    <w:rsid w:val="0070050C"/>
    <w:rsid w:val="00700668"/>
    <w:rsid w:val="007007CB"/>
    <w:rsid w:val="00700846"/>
    <w:rsid w:val="0070098C"/>
    <w:rsid w:val="007009AD"/>
    <w:rsid w:val="00700AED"/>
    <w:rsid w:val="00701602"/>
    <w:rsid w:val="007019C8"/>
    <w:rsid w:val="007022F7"/>
    <w:rsid w:val="0070231C"/>
    <w:rsid w:val="0070261E"/>
    <w:rsid w:val="0070264A"/>
    <w:rsid w:val="00702789"/>
    <w:rsid w:val="007027E8"/>
    <w:rsid w:val="00702A6C"/>
    <w:rsid w:val="00702D41"/>
    <w:rsid w:val="00703384"/>
    <w:rsid w:val="00703395"/>
    <w:rsid w:val="00703503"/>
    <w:rsid w:val="007038DB"/>
    <w:rsid w:val="007038E8"/>
    <w:rsid w:val="00703BC7"/>
    <w:rsid w:val="00703D67"/>
    <w:rsid w:val="00704085"/>
    <w:rsid w:val="0070415C"/>
    <w:rsid w:val="00704424"/>
    <w:rsid w:val="00704824"/>
    <w:rsid w:val="00704891"/>
    <w:rsid w:val="00704B3D"/>
    <w:rsid w:val="00704E87"/>
    <w:rsid w:val="00705173"/>
    <w:rsid w:val="0070581D"/>
    <w:rsid w:val="00705A52"/>
    <w:rsid w:val="00705FF6"/>
    <w:rsid w:val="007061E6"/>
    <w:rsid w:val="00706387"/>
    <w:rsid w:val="007068C6"/>
    <w:rsid w:val="00706CA9"/>
    <w:rsid w:val="007073ED"/>
    <w:rsid w:val="0070773E"/>
    <w:rsid w:val="007077EF"/>
    <w:rsid w:val="00707827"/>
    <w:rsid w:val="00707E5D"/>
    <w:rsid w:val="007101DD"/>
    <w:rsid w:val="007101FB"/>
    <w:rsid w:val="00710201"/>
    <w:rsid w:val="00710640"/>
    <w:rsid w:val="007107D9"/>
    <w:rsid w:val="007108CD"/>
    <w:rsid w:val="00710AFE"/>
    <w:rsid w:val="00710F1B"/>
    <w:rsid w:val="00711F55"/>
    <w:rsid w:val="00712403"/>
    <w:rsid w:val="00712972"/>
    <w:rsid w:val="0071328E"/>
    <w:rsid w:val="00713810"/>
    <w:rsid w:val="00713D66"/>
    <w:rsid w:val="00713E1B"/>
    <w:rsid w:val="007140F1"/>
    <w:rsid w:val="007140F7"/>
    <w:rsid w:val="0071413A"/>
    <w:rsid w:val="00714476"/>
    <w:rsid w:val="00714514"/>
    <w:rsid w:val="00714A3E"/>
    <w:rsid w:val="007155BE"/>
    <w:rsid w:val="00715B08"/>
    <w:rsid w:val="00715BAA"/>
    <w:rsid w:val="00716274"/>
    <w:rsid w:val="00716389"/>
    <w:rsid w:val="00716AFA"/>
    <w:rsid w:val="00716B52"/>
    <w:rsid w:val="00716F80"/>
    <w:rsid w:val="00716FB8"/>
    <w:rsid w:val="00717022"/>
    <w:rsid w:val="007170A1"/>
    <w:rsid w:val="00717501"/>
    <w:rsid w:val="007176B8"/>
    <w:rsid w:val="00717BB2"/>
    <w:rsid w:val="00720105"/>
    <w:rsid w:val="00720544"/>
    <w:rsid w:val="007205C6"/>
    <w:rsid w:val="0072094D"/>
    <w:rsid w:val="00720A2A"/>
    <w:rsid w:val="00720ACC"/>
    <w:rsid w:val="00720E1D"/>
    <w:rsid w:val="00720EAF"/>
    <w:rsid w:val="0072100A"/>
    <w:rsid w:val="0072125C"/>
    <w:rsid w:val="00721432"/>
    <w:rsid w:val="007214CA"/>
    <w:rsid w:val="007219B4"/>
    <w:rsid w:val="00721AB0"/>
    <w:rsid w:val="00721F24"/>
    <w:rsid w:val="00721F29"/>
    <w:rsid w:val="00721F37"/>
    <w:rsid w:val="00721F4E"/>
    <w:rsid w:val="00722387"/>
    <w:rsid w:val="00722B95"/>
    <w:rsid w:val="00722F2D"/>
    <w:rsid w:val="007234BB"/>
    <w:rsid w:val="00723A58"/>
    <w:rsid w:val="007244C2"/>
    <w:rsid w:val="007245FA"/>
    <w:rsid w:val="00724A5A"/>
    <w:rsid w:val="00724BCE"/>
    <w:rsid w:val="00724E33"/>
    <w:rsid w:val="00724FA5"/>
    <w:rsid w:val="007250DA"/>
    <w:rsid w:val="007255CA"/>
    <w:rsid w:val="007259EC"/>
    <w:rsid w:val="00725DA0"/>
    <w:rsid w:val="00725FB8"/>
    <w:rsid w:val="007267BD"/>
    <w:rsid w:val="0072696D"/>
    <w:rsid w:val="00726A7F"/>
    <w:rsid w:val="00726A87"/>
    <w:rsid w:val="00726CCF"/>
    <w:rsid w:val="007270CD"/>
    <w:rsid w:val="00727273"/>
    <w:rsid w:val="007272FA"/>
    <w:rsid w:val="007276FE"/>
    <w:rsid w:val="00727881"/>
    <w:rsid w:val="007279E9"/>
    <w:rsid w:val="00727BB2"/>
    <w:rsid w:val="0073091A"/>
    <w:rsid w:val="007309CF"/>
    <w:rsid w:val="00730A2E"/>
    <w:rsid w:val="00730FE1"/>
    <w:rsid w:val="007312D4"/>
    <w:rsid w:val="00731574"/>
    <w:rsid w:val="00731D61"/>
    <w:rsid w:val="00731E25"/>
    <w:rsid w:val="0073223D"/>
    <w:rsid w:val="00732847"/>
    <w:rsid w:val="00732AC0"/>
    <w:rsid w:val="00732ACE"/>
    <w:rsid w:val="00732ED8"/>
    <w:rsid w:val="0073331E"/>
    <w:rsid w:val="00733C91"/>
    <w:rsid w:val="00733F29"/>
    <w:rsid w:val="00733F34"/>
    <w:rsid w:val="0073410D"/>
    <w:rsid w:val="00734774"/>
    <w:rsid w:val="00734A80"/>
    <w:rsid w:val="00734F0D"/>
    <w:rsid w:val="00735598"/>
    <w:rsid w:val="0073567B"/>
    <w:rsid w:val="00736318"/>
    <w:rsid w:val="0073651F"/>
    <w:rsid w:val="007368F0"/>
    <w:rsid w:val="00736ADC"/>
    <w:rsid w:val="00736BB1"/>
    <w:rsid w:val="00737089"/>
    <w:rsid w:val="007371FA"/>
    <w:rsid w:val="0073732B"/>
    <w:rsid w:val="00737785"/>
    <w:rsid w:val="00737BAD"/>
    <w:rsid w:val="00737CDF"/>
    <w:rsid w:val="007400B7"/>
    <w:rsid w:val="007404CC"/>
    <w:rsid w:val="00740604"/>
    <w:rsid w:val="007407CC"/>
    <w:rsid w:val="00740970"/>
    <w:rsid w:val="00740D13"/>
    <w:rsid w:val="00740D5D"/>
    <w:rsid w:val="00740EB0"/>
    <w:rsid w:val="00740F0E"/>
    <w:rsid w:val="00741229"/>
    <w:rsid w:val="007414AB"/>
    <w:rsid w:val="007417E6"/>
    <w:rsid w:val="00741B79"/>
    <w:rsid w:val="00741D9F"/>
    <w:rsid w:val="0074290C"/>
    <w:rsid w:val="00742A37"/>
    <w:rsid w:val="00742DDB"/>
    <w:rsid w:val="00743566"/>
    <w:rsid w:val="007437E6"/>
    <w:rsid w:val="00743874"/>
    <w:rsid w:val="00743E44"/>
    <w:rsid w:val="00743E66"/>
    <w:rsid w:val="0074424A"/>
    <w:rsid w:val="00744285"/>
    <w:rsid w:val="007446B1"/>
    <w:rsid w:val="00745665"/>
    <w:rsid w:val="00745848"/>
    <w:rsid w:val="00745D85"/>
    <w:rsid w:val="00745D98"/>
    <w:rsid w:val="007461FD"/>
    <w:rsid w:val="0074628F"/>
    <w:rsid w:val="00746DFF"/>
    <w:rsid w:val="00746F3D"/>
    <w:rsid w:val="0074704F"/>
    <w:rsid w:val="007470B3"/>
    <w:rsid w:val="00747584"/>
    <w:rsid w:val="007476A6"/>
    <w:rsid w:val="00747A0B"/>
    <w:rsid w:val="00747BB1"/>
    <w:rsid w:val="00747C6A"/>
    <w:rsid w:val="00747DAA"/>
    <w:rsid w:val="00747DB2"/>
    <w:rsid w:val="00747E80"/>
    <w:rsid w:val="00747FF3"/>
    <w:rsid w:val="0075055E"/>
    <w:rsid w:val="0075063B"/>
    <w:rsid w:val="00750768"/>
    <w:rsid w:val="00750A97"/>
    <w:rsid w:val="00750D39"/>
    <w:rsid w:val="00751771"/>
    <w:rsid w:val="00751B21"/>
    <w:rsid w:val="00751D01"/>
    <w:rsid w:val="007520BA"/>
    <w:rsid w:val="0075212F"/>
    <w:rsid w:val="0075226D"/>
    <w:rsid w:val="00752431"/>
    <w:rsid w:val="00752443"/>
    <w:rsid w:val="00752498"/>
    <w:rsid w:val="007528AB"/>
    <w:rsid w:val="00752F77"/>
    <w:rsid w:val="00753160"/>
    <w:rsid w:val="007531BB"/>
    <w:rsid w:val="00753706"/>
    <w:rsid w:val="00753FD3"/>
    <w:rsid w:val="0075412F"/>
    <w:rsid w:val="00754A9E"/>
    <w:rsid w:val="00754D07"/>
    <w:rsid w:val="00754D4C"/>
    <w:rsid w:val="00754E30"/>
    <w:rsid w:val="00754E6D"/>
    <w:rsid w:val="00755745"/>
    <w:rsid w:val="00755DC6"/>
    <w:rsid w:val="0075605D"/>
    <w:rsid w:val="00756165"/>
    <w:rsid w:val="00756BF0"/>
    <w:rsid w:val="0075759B"/>
    <w:rsid w:val="0075774F"/>
    <w:rsid w:val="007578DD"/>
    <w:rsid w:val="00757CA6"/>
    <w:rsid w:val="007603E1"/>
    <w:rsid w:val="00760463"/>
    <w:rsid w:val="00760673"/>
    <w:rsid w:val="00760CC9"/>
    <w:rsid w:val="00761040"/>
    <w:rsid w:val="007617C8"/>
    <w:rsid w:val="007629F2"/>
    <w:rsid w:val="00762A90"/>
    <w:rsid w:val="00762BB6"/>
    <w:rsid w:val="007630D8"/>
    <w:rsid w:val="0076315B"/>
    <w:rsid w:val="00763232"/>
    <w:rsid w:val="00763318"/>
    <w:rsid w:val="00764059"/>
    <w:rsid w:val="007640EC"/>
    <w:rsid w:val="007641BA"/>
    <w:rsid w:val="007643F7"/>
    <w:rsid w:val="00764426"/>
    <w:rsid w:val="007644A3"/>
    <w:rsid w:val="00764DB8"/>
    <w:rsid w:val="007650A1"/>
    <w:rsid w:val="0076514F"/>
    <w:rsid w:val="007656CC"/>
    <w:rsid w:val="0076575B"/>
    <w:rsid w:val="00765C09"/>
    <w:rsid w:val="00765DED"/>
    <w:rsid w:val="00765E29"/>
    <w:rsid w:val="00765E3F"/>
    <w:rsid w:val="00766126"/>
    <w:rsid w:val="00766134"/>
    <w:rsid w:val="00766A7A"/>
    <w:rsid w:val="00766C55"/>
    <w:rsid w:val="0076760B"/>
    <w:rsid w:val="007676AE"/>
    <w:rsid w:val="00767D18"/>
    <w:rsid w:val="00767EB0"/>
    <w:rsid w:val="007701B2"/>
    <w:rsid w:val="007702EC"/>
    <w:rsid w:val="0077083A"/>
    <w:rsid w:val="00770962"/>
    <w:rsid w:val="007713FF"/>
    <w:rsid w:val="00771930"/>
    <w:rsid w:val="00771BA5"/>
    <w:rsid w:val="00771C60"/>
    <w:rsid w:val="00772124"/>
    <w:rsid w:val="007727B3"/>
    <w:rsid w:val="00772954"/>
    <w:rsid w:val="00772C6F"/>
    <w:rsid w:val="00772C9F"/>
    <w:rsid w:val="00772D1B"/>
    <w:rsid w:val="00772FF1"/>
    <w:rsid w:val="0077327A"/>
    <w:rsid w:val="00773567"/>
    <w:rsid w:val="007742EF"/>
    <w:rsid w:val="0077444B"/>
    <w:rsid w:val="007745B9"/>
    <w:rsid w:val="00774847"/>
    <w:rsid w:val="007748B2"/>
    <w:rsid w:val="00774D96"/>
    <w:rsid w:val="00774FB5"/>
    <w:rsid w:val="00775056"/>
    <w:rsid w:val="0077530B"/>
    <w:rsid w:val="0077539E"/>
    <w:rsid w:val="007754E2"/>
    <w:rsid w:val="00775658"/>
    <w:rsid w:val="00775668"/>
    <w:rsid w:val="00775A4A"/>
    <w:rsid w:val="00775C4D"/>
    <w:rsid w:val="007764DD"/>
    <w:rsid w:val="00776C35"/>
    <w:rsid w:val="00776E30"/>
    <w:rsid w:val="0077721F"/>
    <w:rsid w:val="007774E5"/>
    <w:rsid w:val="007774FA"/>
    <w:rsid w:val="00777838"/>
    <w:rsid w:val="0077788B"/>
    <w:rsid w:val="00777F11"/>
    <w:rsid w:val="007802BC"/>
    <w:rsid w:val="0078056C"/>
    <w:rsid w:val="007811DA"/>
    <w:rsid w:val="0078187A"/>
    <w:rsid w:val="00781970"/>
    <w:rsid w:val="00781A00"/>
    <w:rsid w:val="00781F2B"/>
    <w:rsid w:val="00782121"/>
    <w:rsid w:val="00782677"/>
    <w:rsid w:val="0078314D"/>
    <w:rsid w:val="00783672"/>
    <w:rsid w:val="00783B5D"/>
    <w:rsid w:val="00783DC1"/>
    <w:rsid w:val="00783E5E"/>
    <w:rsid w:val="00783F82"/>
    <w:rsid w:val="00784152"/>
    <w:rsid w:val="007843FB"/>
    <w:rsid w:val="00784418"/>
    <w:rsid w:val="00784956"/>
    <w:rsid w:val="00784EC9"/>
    <w:rsid w:val="007851E4"/>
    <w:rsid w:val="00785E2B"/>
    <w:rsid w:val="0078602B"/>
    <w:rsid w:val="00786044"/>
    <w:rsid w:val="007860C7"/>
    <w:rsid w:val="007860F7"/>
    <w:rsid w:val="00786193"/>
    <w:rsid w:val="00786311"/>
    <w:rsid w:val="00786367"/>
    <w:rsid w:val="007864F3"/>
    <w:rsid w:val="0078657E"/>
    <w:rsid w:val="007869C1"/>
    <w:rsid w:val="00787204"/>
    <w:rsid w:val="00787228"/>
    <w:rsid w:val="007877FA"/>
    <w:rsid w:val="00787812"/>
    <w:rsid w:val="00787D59"/>
    <w:rsid w:val="007903AE"/>
    <w:rsid w:val="00790CCD"/>
    <w:rsid w:val="00790DFA"/>
    <w:rsid w:val="00791193"/>
    <w:rsid w:val="00791829"/>
    <w:rsid w:val="00791864"/>
    <w:rsid w:val="00791915"/>
    <w:rsid w:val="00791959"/>
    <w:rsid w:val="00791A15"/>
    <w:rsid w:val="00791A7A"/>
    <w:rsid w:val="00791B76"/>
    <w:rsid w:val="00791EDE"/>
    <w:rsid w:val="00792375"/>
    <w:rsid w:val="00792963"/>
    <w:rsid w:val="00792B9C"/>
    <w:rsid w:val="00792FB4"/>
    <w:rsid w:val="0079313D"/>
    <w:rsid w:val="0079314F"/>
    <w:rsid w:val="007932CE"/>
    <w:rsid w:val="007936C2"/>
    <w:rsid w:val="00793A3A"/>
    <w:rsid w:val="00793A64"/>
    <w:rsid w:val="00793AC8"/>
    <w:rsid w:val="00793B97"/>
    <w:rsid w:val="00793C34"/>
    <w:rsid w:val="00793D6A"/>
    <w:rsid w:val="00793F5E"/>
    <w:rsid w:val="00794548"/>
    <w:rsid w:val="007946B9"/>
    <w:rsid w:val="00794787"/>
    <w:rsid w:val="0079480B"/>
    <w:rsid w:val="00794E08"/>
    <w:rsid w:val="007957F6"/>
    <w:rsid w:val="00795800"/>
    <w:rsid w:val="007958A9"/>
    <w:rsid w:val="00795AE0"/>
    <w:rsid w:val="00795E00"/>
    <w:rsid w:val="00795FD2"/>
    <w:rsid w:val="00796161"/>
    <w:rsid w:val="00796281"/>
    <w:rsid w:val="007963B2"/>
    <w:rsid w:val="00796723"/>
    <w:rsid w:val="00797087"/>
    <w:rsid w:val="00797117"/>
    <w:rsid w:val="00797380"/>
    <w:rsid w:val="007A04FC"/>
    <w:rsid w:val="007A0FE5"/>
    <w:rsid w:val="007A0FF7"/>
    <w:rsid w:val="007A10B7"/>
    <w:rsid w:val="007A12CF"/>
    <w:rsid w:val="007A1687"/>
    <w:rsid w:val="007A1705"/>
    <w:rsid w:val="007A1CD6"/>
    <w:rsid w:val="007A20D1"/>
    <w:rsid w:val="007A23C2"/>
    <w:rsid w:val="007A241A"/>
    <w:rsid w:val="007A2AEE"/>
    <w:rsid w:val="007A3A68"/>
    <w:rsid w:val="007A3A81"/>
    <w:rsid w:val="007A3F6C"/>
    <w:rsid w:val="007A423D"/>
    <w:rsid w:val="007A42DB"/>
    <w:rsid w:val="007A439F"/>
    <w:rsid w:val="007A4437"/>
    <w:rsid w:val="007A4535"/>
    <w:rsid w:val="007A46D0"/>
    <w:rsid w:val="007A4979"/>
    <w:rsid w:val="007A4C69"/>
    <w:rsid w:val="007A5341"/>
    <w:rsid w:val="007A5922"/>
    <w:rsid w:val="007A654B"/>
    <w:rsid w:val="007A66E1"/>
    <w:rsid w:val="007A68F9"/>
    <w:rsid w:val="007A6A7D"/>
    <w:rsid w:val="007A6B1A"/>
    <w:rsid w:val="007A6BA6"/>
    <w:rsid w:val="007A7254"/>
    <w:rsid w:val="007A7327"/>
    <w:rsid w:val="007A7509"/>
    <w:rsid w:val="007A7895"/>
    <w:rsid w:val="007A789F"/>
    <w:rsid w:val="007A79EB"/>
    <w:rsid w:val="007A7CC3"/>
    <w:rsid w:val="007A7FFA"/>
    <w:rsid w:val="007B02D0"/>
    <w:rsid w:val="007B03D1"/>
    <w:rsid w:val="007B0422"/>
    <w:rsid w:val="007B08DE"/>
    <w:rsid w:val="007B0BF0"/>
    <w:rsid w:val="007B0C8D"/>
    <w:rsid w:val="007B0DB9"/>
    <w:rsid w:val="007B0E96"/>
    <w:rsid w:val="007B0F88"/>
    <w:rsid w:val="007B1261"/>
    <w:rsid w:val="007B185B"/>
    <w:rsid w:val="007B2114"/>
    <w:rsid w:val="007B229D"/>
    <w:rsid w:val="007B229E"/>
    <w:rsid w:val="007B2486"/>
    <w:rsid w:val="007B2512"/>
    <w:rsid w:val="007B2AB9"/>
    <w:rsid w:val="007B2B60"/>
    <w:rsid w:val="007B34D1"/>
    <w:rsid w:val="007B3B4B"/>
    <w:rsid w:val="007B3C87"/>
    <w:rsid w:val="007B4558"/>
    <w:rsid w:val="007B45BF"/>
    <w:rsid w:val="007B47FE"/>
    <w:rsid w:val="007B4AFA"/>
    <w:rsid w:val="007B4B7F"/>
    <w:rsid w:val="007B51D7"/>
    <w:rsid w:val="007B56CF"/>
    <w:rsid w:val="007B5A51"/>
    <w:rsid w:val="007B5B55"/>
    <w:rsid w:val="007B5D3F"/>
    <w:rsid w:val="007B64DB"/>
    <w:rsid w:val="007B6505"/>
    <w:rsid w:val="007B6BE4"/>
    <w:rsid w:val="007B6C3E"/>
    <w:rsid w:val="007B6E29"/>
    <w:rsid w:val="007B764B"/>
    <w:rsid w:val="007B7972"/>
    <w:rsid w:val="007B7A85"/>
    <w:rsid w:val="007B7C88"/>
    <w:rsid w:val="007B7ECB"/>
    <w:rsid w:val="007B7EDE"/>
    <w:rsid w:val="007C0372"/>
    <w:rsid w:val="007C05F1"/>
    <w:rsid w:val="007C0651"/>
    <w:rsid w:val="007C07FF"/>
    <w:rsid w:val="007C0A03"/>
    <w:rsid w:val="007C1091"/>
    <w:rsid w:val="007C10E2"/>
    <w:rsid w:val="007C1322"/>
    <w:rsid w:val="007C1560"/>
    <w:rsid w:val="007C1734"/>
    <w:rsid w:val="007C179B"/>
    <w:rsid w:val="007C1BCF"/>
    <w:rsid w:val="007C1D61"/>
    <w:rsid w:val="007C22F3"/>
    <w:rsid w:val="007C23F2"/>
    <w:rsid w:val="007C26B2"/>
    <w:rsid w:val="007C2A7D"/>
    <w:rsid w:val="007C3042"/>
    <w:rsid w:val="007C3264"/>
    <w:rsid w:val="007C32FE"/>
    <w:rsid w:val="007C38E0"/>
    <w:rsid w:val="007C39AA"/>
    <w:rsid w:val="007C3A8A"/>
    <w:rsid w:val="007C3B9D"/>
    <w:rsid w:val="007C3EAC"/>
    <w:rsid w:val="007C4228"/>
    <w:rsid w:val="007C446E"/>
    <w:rsid w:val="007C449E"/>
    <w:rsid w:val="007C4577"/>
    <w:rsid w:val="007C4A12"/>
    <w:rsid w:val="007C4D1F"/>
    <w:rsid w:val="007C5014"/>
    <w:rsid w:val="007C50C9"/>
    <w:rsid w:val="007C5A41"/>
    <w:rsid w:val="007C5D81"/>
    <w:rsid w:val="007C5FE6"/>
    <w:rsid w:val="007C6320"/>
    <w:rsid w:val="007C67FD"/>
    <w:rsid w:val="007C6809"/>
    <w:rsid w:val="007C6A10"/>
    <w:rsid w:val="007C6DCB"/>
    <w:rsid w:val="007C6E4B"/>
    <w:rsid w:val="007C7169"/>
    <w:rsid w:val="007C76A4"/>
    <w:rsid w:val="007C792C"/>
    <w:rsid w:val="007C7982"/>
    <w:rsid w:val="007C7B1E"/>
    <w:rsid w:val="007D05E8"/>
    <w:rsid w:val="007D0928"/>
    <w:rsid w:val="007D0B80"/>
    <w:rsid w:val="007D0E1A"/>
    <w:rsid w:val="007D12E1"/>
    <w:rsid w:val="007D12E6"/>
    <w:rsid w:val="007D1BA8"/>
    <w:rsid w:val="007D1D0E"/>
    <w:rsid w:val="007D1DD4"/>
    <w:rsid w:val="007D1DE3"/>
    <w:rsid w:val="007D212E"/>
    <w:rsid w:val="007D26FD"/>
    <w:rsid w:val="007D2B27"/>
    <w:rsid w:val="007D2BA9"/>
    <w:rsid w:val="007D2BDA"/>
    <w:rsid w:val="007D318A"/>
    <w:rsid w:val="007D37F1"/>
    <w:rsid w:val="007D3856"/>
    <w:rsid w:val="007D3B58"/>
    <w:rsid w:val="007D3BA8"/>
    <w:rsid w:val="007D3DF7"/>
    <w:rsid w:val="007D3F46"/>
    <w:rsid w:val="007D3FEC"/>
    <w:rsid w:val="007D405F"/>
    <w:rsid w:val="007D4680"/>
    <w:rsid w:val="007D485B"/>
    <w:rsid w:val="007D48A3"/>
    <w:rsid w:val="007D48B0"/>
    <w:rsid w:val="007D4ACB"/>
    <w:rsid w:val="007D5EEF"/>
    <w:rsid w:val="007D616E"/>
    <w:rsid w:val="007D63DF"/>
    <w:rsid w:val="007D678C"/>
    <w:rsid w:val="007D6B6E"/>
    <w:rsid w:val="007D6B7D"/>
    <w:rsid w:val="007D6EEA"/>
    <w:rsid w:val="007D706C"/>
    <w:rsid w:val="007D7077"/>
    <w:rsid w:val="007D70B7"/>
    <w:rsid w:val="007D71A7"/>
    <w:rsid w:val="007D7EAC"/>
    <w:rsid w:val="007E0560"/>
    <w:rsid w:val="007E05C9"/>
    <w:rsid w:val="007E0728"/>
    <w:rsid w:val="007E0E1E"/>
    <w:rsid w:val="007E0E32"/>
    <w:rsid w:val="007E1212"/>
    <w:rsid w:val="007E1850"/>
    <w:rsid w:val="007E1C33"/>
    <w:rsid w:val="007E1E5A"/>
    <w:rsid w:val="007E1EF4"/>
    <w:rsid w:val="007E2011"/>
    <w:rsid w:val="007E2309"/>
    <w:rsid w:val="007E2698"/>
    <w:rsid w:val="007E26FF"/>
    <w:rsid w:val="007E2E4D"/>
    <w:rsid w:val="007E3B8D"/>
    <w:rsid w:val="007E4D0D"/>
    <w:rsid w:val="007E4E5E"/>
    <w:rsid w:val="007E4F18"/>
    <w:rsid w:val="007E50ED"/>
    <w:rsid w:val="007E51D4"/>
    <w:rsid w:val="007E5358"/>
    <w:rsid w:val="007E555B"/>
    <w:rsid w:val="007E5626"/>
    <w:rsid w:val="007E5736"/>
    <w:rsid w:val="007E5ACF"/>
    <w:rsid w:val="007E5AD5"/>
    <w:rsid w:val="007E5BFE"/>
    <w:rsid w:val="007E5D0E"/>
    <w:rsid w:val="007E61C0"/>
    <w:rsid w:val="007E621F"/>
    <w:rsid w:val="007E635F"/>
    <w:rsid w:val="007E649E"/>
    <w:rsid w:val="007E64EC"/>
    <w:rsid w:val="007E6707"/>
    <w:rsid w:val="007E6929"/>
    <w:rsid w:val="007E6DBD"/>
    <w:rsid w:val="007E7209"/>
    <w:rsid w:val="007E7678"/>
    <w:rsid w:val="007E79C3"/>
    <w:rsid w:val="007E7B96"/>
    <w:rsid w:val="007E7E2E"/>
    <w:rsid w:val="007E7E3A"/>
    <w:rsid w:val="007F095C"/>
    <w:rsid w:val="007F0CFE"/>
    <w:rsid w:val="007F1017"/>
    <w:rsid w:val="007F1302"/>
    <w:rsid w:val="007F15C1"/>
    <w:rsid w:val="007F1F72"/>
    <w:rsid w:val="007F2168"/>
    <w:rsid w:val="007F21C2"/>
    <w:rsid w:val="007F2D0B"/>
    <w:rsid w:val="007F337C"/>
    <w:rsid w:val="007F3421"/>
    <w:rsid w:val="007F3DFE"/>
    <w:rsid w:val="007F41B7"/>
    <w:rsid w:val="007F438E"/>
    <w:rsid w:val="007F4478"/>
    <w:rsid w:val="007F47B1"/>
    <w:rsid w:val="007F47FB"/>
    <w:rsid w:val="007F4A59"/>
    <w:rsid w:val="007F4E68"/>
    <w:rsid w:val="007F5004"/>
    <w:rsid w:val="007F585D"/>
    <w:rsid w:val="007F588B"/>
    <w:rsid w:val="007F5B56"/>
    <w:rsid w:val="007F5EEE"/>
    <w:rsid w:val="007F6430"/>
    <w:rsid w:val="007F6AE0"/>
    <w:rsid w:val="007F6D4D"/>
    <w:rsid w:val="007F6E10"/>
    <w:rsid w:val="007F7189"/>
    <w:rsid w:val="007F75BF"/>
    <w:rsid w:val="0080088A"/>
    <w:rsid w:val="00800912"/>
    <w:rsid w:val="00800A57"/>
    <w:rsid w:val="00800A5C"/>
    <w:rsid w:val="00800CFF"/>
    <w:rsid w:val="00800EA6"/>
    <w:rsid w:val="00801223"/>
    <w:rsid w:val="00801DA8"/>
    <w:rsid w:val="008022B3"/>
    <w:rsid w:val="00802B36"/>
    <w:rsid w:val="00802D3C"/>
    <w:rsid w:val="00802D9E"/>
    <w:rsid w:val="0080307B"/>
    <w:rsid w:val="00803380"/>
    <w:rsid w:val="008035A2"/>
    <w:rsid w:val="00803699"/>
    <w:rsid w:val="00803A48"/>
    <w:rsid w:val="00804721"/>
    <w:rsid w:val="00804E6C"/>
    <w:rsid w:val="008053DE"/>
    <w:rsid w:val="0080556D"/>
    <w:rsid w:val="008058C2"/>
    <w:rsid w:val="00805A01"/>
    <w:rsid w:val="008061B0"/>
    <w:rsid w:val="008066DA"/>
    <w:rsid w:val="00806BD6"/>
    <w:rsid w:val="0080748D"/>
    <w:rsid w:val="00807493"/>
    <w:rsid w:val="00807546"/>
    <w:rsid w:val="00807803"/>
    <w:rsid w:val="00807885"/>
    <w:rsid w:val="00807F55"/>
    <w:rsid w:val="0081059B"/>
    <w:rsid w:val="00810E02"/>
    <w:rsid w:val="00811124"/>
    <w:rsid w:val="00811138"/>
    <w:rsid w:val="00811391"/>
    <w:rsid w:val="008114E0"/>
    <w:rsid w:val="00811573"/>
    <w:rsid w:val="008117BF"/>
    <w:rsid w:val="00811FB7"/>
    <w:rsid w:val="0081202B"/>
    <w:rsid w:val="0081234F"/>
    <w:rsid w:val="00812378"/>
    <w:rsid w:val="0081239B"/>
    <w:rsid w:val="008127D3"/>
    <w:rsid w:val="008130EE"/>
    <w:rsid w:val="008133D7"/>
    <w:rsid w:val="00813430"/>
    <w:rsid w:val="00813D39"/>
    <w:rsid w:val="00814009"/>
    <w:rsid w:val="00814177"/>
    <w:rsid w:val="0081421F"/>
    <w:rsid w:val="0081433B"/>
    <w:rsid w:val="0081469A"/>
    <w:rsid w:val="00814B70"/>
    <w:rsid w:val="00814F96"/>
    <w:rsid w:val="008154F7"/>
    <w:rsid w:val="0081567A"/>
    <w:rsid w:val="00815922"/>
    <w:rsid w:val="0081600A"/>
    <w:rsid w:val="0081618E"/>
    <w:rsid w:val="008164C4"/>
    <w:rsid w:val="00816695"/>
    <w:rsid w:val="00816854"/>
    <w:rsid w:val="00816B28"/>
    <w:rsid w:val="00816C6F"/>
    <w:rsid w:val="00816E46"/>
    <w:rsid w:val="00816E9F"/>
    <w:rsid w:val="00817029"/>
    <w:rsid w:val="008171E1"/>
    <w:rsid w:val="008177E8"/>
    <w:rsid w:val="008178B2"/>
    <w:rsid w:val="00817F22"/>
    <w:rsid w:val="00820079"/>
    <w:rsid w:val="00820473"/>
    <w:rsid w:val="008204CD"/>
    <w:rsid w:val="008207E1"/>
    <w:rsid w:val="00820E3B"/>
    <w:rsid w:val="00821257"/>
    <w:rsid w:val="008213FE"/>
    <w:rsid w:val="008216A1"/>
    <w:rsid w:val="00821C0A"/>
    <w:rsid w:val="00821FBA"/>
    <w:rsid w:val="00822735"/>
    <w:rsid w:val="008235B6"/>
    <w:rsid w:val="00824103"/>
    <w:rsid w:val="0082444B"/>
    <w:rsid w:val="008245D8"/>
    <w:rsid w:val="00824DA3"/>
    <w:rsid w:val="008254B8"/>
    <w:rsid w:val="00825BC9"/>
    <w:rsid w:val="00825DA6"/>
    <w:rsid w:val="00825E3B"/>
    <w:rsid w:val="00825FDB"/>
    <w:rsid w:val="00826D10"/>
    <w:rsid w:val="008277F8"/>
    <w:rsid w:val="0083029E"/>
    <w:rsid w:val="008302A9"/>
    <w:rsid w:val="00830971"/>
    <w:rsid w:val="00830FAE"/>
    <w:rsid w:val="00831049"/>
    <w:rsid w:val="0083105E"/>
    <w:rsid w:val="00831631"/>
    <w:rsid w:val="008317B6"/>
    <w:rsid w:val="008317EB"/>
    <w:rsid w:val="0083182E"/>
    <w:rsid w:val="00831B30"/>
    <w:rsid w:val="00831B4F"/>
    <w:rsid w:val="00831DE9"/>
    <w:rsid w:val="00832859"/>
    <w:rsid w:val="00832979"/>
    <w:rsid w:val="00832AF9"/>
    <w:rsid w:val="00833348"/>
    <w:rsid w:val="00833489"/>
    <w:rsid w:val="00833528"/>
    <w:rsid w:val="008335BA"/>
    <w:rsid w:val="00833C5A"/>
    <w:rsid w:val="00833FCD"/>
    <w:rsid w:val="0083412F"/>
    <w:rsid w:val="008346F4"/>
    <w:rsid w:val="00834A1E"/>
    <w:rsid w:val="00834C72"/>
    <w:rsid w:val="0083576F"/>
    <w:rsid w:val="0083598F"/>
    <w:rsid w:val="00835F8E"/>
    <w:rsid w:val="00836028"/>
    <w:rsid w:val="0083640F"/>
    <w:rsid w:val="00836951"/>
    <w:rsid w:val="008369E7"/>
    <w:rsid w:val="00836B62"/>
    <w:rsid w:val="00836D1C"/>
    <w:rsid w:val="00836EC0"/>
    <w:rsid w:val="008370C4"/>
    <w:rsid w:val="0083717B"/>
    <w:rsid w:val="008374F2"/>
    <w:rsid w:val="008377CC"/>
    <w:rsid w:val="0083789B"/>
    <w:rsid w:val="008378AF"/>
    <w:rsid w:val="00837907"/>
    <w:rsid w:val="00837959"/>
    <w:rsid w:val="00837B45"/>
    <w:rsid w:val="00837B72"/>
    <w:rsid w:val="008404F1"/>
    <w:rsid w:val="00840B43"/>
    <w:rsid w:val="00840FCE"/>
    <w:rsid w:val="00841087"/>
    <w:rsid w:val="0084155C"/>
    <w:rsid w:val="008418E6"/>
    <w:rsid w:val="00841997"/>
    <w:rsid w:val="00841B51"/>
    <w:rsid w:val="00841D4F"/>
    <w:rsid w:val="00841EF6"/>
    <w:rsid w:val="00842067"/>
    <w:rsid w:val="0084211E"/>
    <w:rsid w:val="008429F4"/>
    <w:rsid w:val="00842C04"/>
    <w:rsid w:val="008430AC"/>
    <w:rsid w:val="008434F9"/>
    <w:rsid w:val="00843700"/>
    <w:rsid w:val="00843A63"/>
    <w:rsid w:val="00843E12"/>
    <w:rsid w:val="008441AF"/>
    <w:rsid w:val="0084441F"/>
    <w:rsid w:val="008457EC"/>
    <w:rsid w:val="00845A71"/>
    <w:rsid w:val="00846212"/>
    <w:rsid w:val="00846651"/>
    <w:rsid w:val="00846F1B"/>
    <w:rsid w:val="0084727E"/>
    <w:rsid w:val="00847689"/>
    <w:rsid w:val="0084795C"/>
    <w:rsid w:val="00847D39"/>
    <w:rsid w:val="0085009A"/>
    <w:rsid w:val="0085044B"/>
    <w:rsid w:val="00850B65"/>
    <w:rsid w:val="00851155"/>
    <w:rsid w:val="008514E6"/>
    <w:rsid w:val="008516FB"/>
    <w:rsid w:val="00851762"/>
    <w:rsid w:val="00851AAC"/>
    <w:rsid w:val="00851C90"/>
    <w:rsid w:val="00851CDB"/>
    <w:rsid w:val="008522E1"/>
    <w:rsid w:val="00852620"/>
    <w:rsid w:val="00852663"/>
    <w:rsid w:val="00852B4E"/>
    <w:rsid w:val="00852F39"/>
    <w:rsid w:val="00853213"/>
    <w:rsid w:val="00853231"/>
    <w:rsid w:val="00853343"/>
    <w:rsid w:val="00853E26"/>
    <w:rsid w:val="0085457E"/>
    <w:rsid w:val="00854EFD"/>
    <w:rsid w:val="008550CB"/>
    <w:rsid w:val="00855119"/>
    <w:rsid w:val="00855B46"/>
    <w:rsid w:val="0085610C"/>
    <w:rsid w:val="008561AD"/>
    <w:rsid w:val="008564DE"/>
    <w:rsid w:val="008564FB"/>
    <w:rsid w:val="00856724"/>
    <w:rsid w:val="0085676B"/>
    <w:rsid w:val="00856CCB"/>
    <w:rsid w:val="00856D1E"/>
    <w:rsid w:val="00856EAC"/>
    <w:rsid w:val="0085707E"/>
    <w:rsid w:val="00857152"/>
    <w:rsid w:val="0085723B"/>
    <w:rsid w:val="0085761C"/>
    <w:rsid w:val="0085763D"/>
    <w:rsid w:val="00857672"/>
    <w:rsid w:val="008576D3"/>
    <w:rsid w:val="0085783C"/>
    <w:rsid w:val="008578AC"/>
    <w:rsid w:val="00857B11"/>
    <w:rsid w:val="00860217"/>
    <w:rsid w:val="0086073D"/>
    <w:rsid w:val="00860BF6"/>
    <w:rsid w:val="00860C2B"/>
    <w:rsid w:val="00861623"/>
    <w:rsid w:val="008618C5"/>
    <w:rsid w:val="00861982"/>
    <w:rsid w:val="0086249D"/>
    <w:rsid w:val="008625A8"/>
    <w:rsid w:val="008627DA"/>
    <w:rsid w:val="008628EC"/>
    <w:rsid w:val="00862AAC"/>
    <w:rsid w:val="00862B4E"/>
    <w:rsid w:val="00862EE3"/>
    <w:rsid w:val="008632F4"/>
    <w:rsid w:val="00863325"/>
    <w:rsid w:val="008640DF"/>
    <w:rsid w:val="0086428D"/>
    <w:rsid w:val="00864BAB"/>
    <w:rsid w:val="00864BCF"/>
    <w:rsid w:val="00864D72"/>
    <w:rsid w:val="00864F4C"/>
    <w:rsid w:val="00865295"/>
    <w:rsid w:val="008654D3"/>
    <w:rsid w:val="00865D8E"/>
    <w:rsid w:val="00865F1A"/>
    <w:rsid w:val="008661D6"/>
    <w:rsid w:val="008665C3"/>
    <w:rsid w:val="0086695E"/>
    <w:rsid w:val="00866B67"/>
    <w:rsid w:val="00866D81"/>
    <w:rsid w:val="00866DD5"/>
    <w:rsid w:val="00866F39"/>
    <w:rsid w:val="00866FBE"/>
    <w:rsid w:val="00866FBF"/>
    <w:rsid w:val="00867277"/>
    <w:rsid w:val="008672FA"/>
    <w:rsid w:val="00867B09"/>
    <w:rsid w:val="00870095"/>
    <w:rsid w:val="008703F3"/>
    <w:rsid w:val="00870777"/>
    <w:rsid w:val="00870AF0"/>
    <w:rsid w:val="00870C58"/>
    <w:rsid w:val="00870DA3"/>
    <w:rsid w:val="008713CA"/>
    <w:rsid w:val="00871E42"/>
    <w:rsid w:val="008727DC"/>
    <w:rsid w:val="00872B72"/>
    <w:rsid w:val="00872BE9"/>
    <w:rsid w:val="00872F4A"/>
    <w:rsid w:val="00872FA4"/>
    <w:rsid w:val="0087314B"/>
    <w:rsid w:val="00873331"/>
    <w:rsid w:val="00873734"/>
    <w:rsid w:val="00873C3D"/>
    <w:rsid w:val="00873FD1"/>
    <w:rsid w:val="00874226"/>
    <w:rsid w:val="008746BC"/>
    <w:rsid w:val="0087516E"/>
    <w:rsid w:val="008751FF"/>
    <w:rsid w:val="00875368"/>
    <w:rsid w:val="00875374"/>
    <w:rsid w:val="008757EB"/>
    <w:rsid w:val="00875AA4"/>
    <w:rsid w:val="00875AD5"/>
    <w:rsid w:val="00875ECA"/>
    <w:rsid w:val="00876202"/>
    <w:rsid w:val="008763DA"/>
    <w:rsid w:val="008764F6"/>
    <w:rsid w:val="00876F81"/>
    <w:rsid w:val="008773C6"/>
    <w:rsid w:val="0087740D"/>
    <w:rsid w:val="008774E3"/>
    <w:rsid w:val="00877C2A"/>
    <w:rsid w:val="00877F77"/>
    <w:rsid w:val="00877F8E"/>
    <w:rsid w:val="008801D3"/>
    <w:rsid w:val="0088020B"/>
    <w:rsid w:val="0088075B"/>
    <w:rsid w:val="00880AD5"/>
    <w:rsid w:val="00880F14"/>
    <w:rsid w:val="00880F61"/>
    <w:rsid w:val="00881076"/>
    <w:rsid w:val="0088144C"/>
    <w:rsid w:val="00881751"/>
    <w:rsid w:val="00882365"/>
    <w:rsid w:val="008824C0"/>
    <w:rsid w:val="0088283F"/>
    <w:rsid w:val="00882D08"/>
    <w:rsid w:val="00882E25"/>
    <w:rsid w:val="00883398"/>
    <w:rsid w:val="00883C45"/>
    <w:rsid w:val="008841C4"/>
    <w:rsid w:val="00884568"/>
    <w:rsid w:val="00884958"/>
    <w:rsid w:val="008853BC"/>
    <w:rsid w:val="0088555C"/>
    <w:rsid w:val="00885872"/>
    <w:rsid w:val="00885F55"/>
    <w:rsid w:val="00886131"/>
    <w:rsid w:val="008861AC"/>
    <w:rsid w:val="00886599"/>
    <w:rsid w:val="008868E0"/>
    <w:rsid w:val="008869D1"/>
    <w:rsid w:val="00886EE6"/>
    <w:rsid w:val="00887126"/>
    <w:rsid w:val="00887207"/>
    <w:rsid w:val="00887229"/>
    <w:rsid w:val="008873A9"/>
    <w:rsid w:val="00887454"/>
    <w:rsid w:val="008875BF"/>
    <w:rsid w:val="00887609"/>
    <w:rsid w:val="008876A9"/>
    <w:rsid w:val="00890040"/>
    <w:rsid w:val="00890215"/>
    <w:rsid w:val="0089045A"/>
    <w:rsid w:val="00890701"/>
    <w:rsid w:val="00890B4D"/>
    <w:rsid w:val="00890B51"/>
    <w:rsid w:val="00890C40"/>
    <w:rsid w:val="00891195"/>
    <w:rsid w:val="00891361"/>
    <w:rsid w:val="008915DC"/>
    <w:rsid w:val="00891D8B"/>
    <w:rsid w:val="00891EA6"/>
    <w:rsid w:val="00892230"/>
    <w:rsid w:val="008922B9"/>
    <w:rsid w:val="0089232B"/>
    <w:rsid w:val="008923A3"/>
    <w:rsid w:val="00892401"/>
    <w:rsid w:val="008926DA"/>
    <w:rsid w:val="00892F77"/>
    <w:rsid w:val="00892FBC"/>
    <w:rsid w:val="0089332B"/>
    <w:rsid w:val="00893335"/>
    <w:rsid w:val="008938F5"/>
    <w:rsid w:val="0089394F"/>
    <w:rsid w:val="00893B01"/>
    <w:rsid w:val="00894014"/>
    <w:rsid w:val="00894115"/>
    <w:rsid w:val="0089432E"/>
    <w:rsid w:val="00894B07"/>
    <w:rsid w:val="00895DA1"/>
    <w:rsid w:val="00895FDC"/>
    <w:rsid w:val="008964F8"/>
    <w:rsid w:val="008966BA"/>
    <w:rsid w:val="00896FE4"/>
    <w:rsid w:val="00897317"/>
    <w:rsid w:val="0089733C"/>
    <w:rsid w:val="00897363"/>
    <w:rsid w:val="008977D4"/>
    <w:rsid w:val="008979AE"/>
    <w:rsid w:val="00897A18"/>
    <w:rsid w:val="00897B1D"/>
    <w:rsid w:val="00897BC2"/>
    <w:rsid w:val="00897CD7"/>
    <w:rsid w:val="00897F28"/>
    <w:rsid w:val="00897F99"/>
    <w:rsid w:val="00897FDA"/>
    <w:rsid w:val="008A0349"/>
    <w:rsid w:val="008A03CA"/>
    <w:rsid w:val="008A03DA"/>
    <w:rsid w:val="008A0814"/>
    <w:rsid w:val="008A0927"/>
    <w:rsid w:val="008A0CDD"/>
    <w:rsid w:val="008A0FD9"/>
    <w:rsid w:val="008A10CB"/>
    <w:rsid w:val="008A1A05"/>
    <w:rsid w:val="008A1A09"/>
    <w:rsid w:val="008A1AE7"/>
    <w:rsid w:val="008A1BBC"/>
    <w:rsid w:val="008A1CD5"/>
    <w:rsid w:val="008A1F3E"/>
    <w:rsid w:val="008A253F"/>
    <w:rsid w:val="008A2AEA"/>
    <w:rsid w:val="008A2C7E"/>
    <w:rsid w:val="008A2F23"/>
    <w:rsid w:val="008A3146"/>
    <w:rsid w:val="008A337F"/>
    <w:rsid w:val="008A38F1"/>
    <w:rsid w:val="008A396C"/>
    <w:rsid w:val="008A39C6"/>
    <w:rsid w:val="008A3DEE"/>
    <w:rsid w:val="008A3F73"/>
    <w:rsid w:val="008A3F90"/>
    <w:rsid w:val="008A47C8"/>
    <w:rsid w:val="008A4BF4"/>
    <w:rsid w:val="008A50CE"/>
    <w:rsid w:val="008A522D"/>
    <w:rsid w:val="008A52B6"/>
    <w:rsid w:val="008A5617"/>
    <w:rsid w:val="008A580B"/>
    <w:rsid w:val="008A5B1E"/>
    <w:rsid w:val="008A677B"/>
    <w:rsid w:val="008A6BDF"/>
    <w:rsid w:val="008A7395"/>
    <w:rsid w:val="008A777D"/>
    <w:rsid w:val="008A79CC"/>
    <w:rsid w:val="008B00BF"/>
    <w:rsid w:val="008B0B65"/>
    <w:rsid w:val="008B0B7B"/>
    <w:rsid w:val="008B0CE0"/>
    <w:rsid w:val="008B111E"/>
    <w:rsid w:val="008B16F8"/>
    <w:rsid w:val="008B1C42"/>
    <w:rsid w:val="008B1F41"/>
    <w:rsid w:val="008B2099"/>
    <w:rsid w:val="008B240C"/>
    <w:rsid w:val="008B2B28"/>
    <w:rsid w:val="008B2B4F"/>
    <w:rsid w:val="008B2DFA"/>
    <w:rsid w:val="008B2FAC"/>
    <w:rsid w:val="008B3374"/>
    <w:rsid w:val="008B364E"/>
    <w:rsid w:val="008B3E5B"/>
    <w:rsid w:val="008B3EDE"/>
    <w:rsid w:val="008B4438"/>
    <w:rsid w:val="008B4489"/>
    <w:rsid w:val="008B45EF"/>
    <w:rsid w:val="008B47D2"/>
    <w:rsid w:val="008B4948"/>
    <w:rsid w:val="008B498C"/>
    <w:rsid w:val="008B4A50"/>
    <w:rsid w:val="008B4B83"/>
    <w:rsid w:val="008B4CC9"/>
    <w:rsid w:val="008B4E79"/>
    <w:rsid w:val="008B4EA1"/>
    <w:rsid w:val="008B57F4"/>
    <w:rsid w:val="008B58FB"/>
    <w:rsid w:val="008B5A0C"/>
    <w:rsid w:val="008B5A6A"/>
    <w:rsid w:val="008B5CBE"/>
    <w:rsid w:val="008B645B"/>
    <w:rsid w:val="008B6521"/>
    <w:rsid w:val="008B6587"/>
    <w:rsid w:val="008B698A"/>
    <w:rsid w:val="008B6D30"/>
    <w:rsid w:val="008B6D88"/>
    <w:rsid w:val="008B6E39"/>
    <w:rsid w:val="008B6F45"/>
    <w:rsid w:val="008B722F"/>
    <w:rsid w:val="008B72B3"/>
    <w:rsid w:val="008B74A2"/>
    <w:rsid w:val="008B789B"/>
    <w:rsid w:val="008B7CE3"/>
    <w:rsid w:val="008B7E6C"/>
    <w:rsid w:val="008C04A9"/>
    <w:rsid w:val="008C0AA9"/>
    <w:rsid w:val="008C0FF6"/>
    <w:rsid w:val="008C13CC"/>
    <w:rsid w:val="008C1531"/>
    <w:rsid w:val="008C1754"/>
    <w:rsid w:val="008C1849"/>
    <w:rsid w:val="008C18A2"/>
    <w:rsid w:val="008C18B2"/>
    <w:rsid w:val="008C1D11"/>
    <w:rsid w:val="008C2335"/>
    <w:rsid w:val="008C2809"/>
    <w:rsid w:val="008C293D"/>
    <w:rsid w:val="008C295B"/>
    <w:rsid w:val="008C2BC1"/>
    <w:rsid w:val="008C2E65"/>
    <w:rsid w:val="008C2EAA"/>
    <w:rsid w:val="008C3052"/>
    <w:rsid w:val="008C3600"/>
    <w:rsid w:val="008C3684"/>
    <w:rsid w:val="008C3719"/>
    <w:rsid w:val="008C381B"/>
    <w:rsid w:val="008C39F3"/>
    <w:rsid w:val="008C3A71"/>
    <w:rsid w:val="008C3BC9"/>
    <w:rsid w:val="008C4253"/>
    <w:rsid w:val="008C47DC"/>
    <w:rsid w:val="008C48A3"/>
    <w:rsid w:val="008C56FB"/>
    <w:rsid w:val="008C58B1"/>
    <w:rsid w:val="008C5921"/>
    <w:rsid w:val="008C598F"/>
    <w:rsid w:val="008C59CB"/>
    <w:rsid w:val="008C5A2D"/>
    <w:rsid w:val="008C5BD4"/>
    <w:rsid w:val="008C681D"/>
    <w:rsid w:val="008C6E43"/>
    <w:rsid w:val="008C72DB"/>
    <w:rsid w:val="008C73EC"/>
    <w:rsid w:val="008C77CF"/>
    <w:rsid w:val="008C7A4B"/>
    <w:rsid w:val="008C7AD3"/>
    <w:rsid w:val="008D004B"/>
    <w:rsid w:val="008D042A"/>
    <w:rsid w:val="008D04DE"/>
    <w:rsid w:val="008D0565"/>
    <w:rsid w:val="008D0B00"/>
    <w:rsid w:val="008D0D64"/>
    <w:rsid w:val="008D1167"/>
    <w:rsid w:val="008D15B7"/>
    <w:rsid w:val="008D1993"/>
    <w:rsid w:val="008D1A76"/>
    <w:rsid w:val="008D1BDB"/>
    <w:rsid w:val="008D1EF2"/>
    <w:rsid w:val="008D2081"/>
    <w:rsid w:val="008D2301"/>
    <w:rsid w:val="008D25BF"/>
    <w:rsid w:val="008D274B"/>
    <w:rsid w:val="008D28DA"/>
    <w:rsid w:val="008D2B83"/>
    <w:rsid w:val="008D3072"/>
    <w:rsid w:val="008D34B7"/>
    <w:rsid w:val="008D3674"/>
    <w:rsid w:val="008D3869"/>
    <w:rsid w:val="008D41E6"/>
    <w:rsid w:val="008D423B"/>
    <w:rsid w:val="008D4258"/>
    <w:rsid w:val="008D482B"/>
    <w:rsid w:val="008D4899"/>
    <w:rsid w:val="008D48AA"/>
    <w:rsid w:val="008D4DD2"/>
    <w:rsid w:val="008D50CD"/>
    <w:rsid w:val="008D51E2"/>
    <w:rsid w:val="008D531E"/>
    <w:rsid w:val="008D5908"/>
    <w:rsid w:val="008D5F4A"/>
    <w:rsid w:val="008D5FA3"/>
    <w:rsid w:val="008D6465"/>
    <w:rsid w:val="008D66EF"/>
    <w:rsid w:val="008D6866"/>
    <w:rsid w:val="008D7467"/>
    <w:rsid w:val="008D751A"/>
    <w:rsid w:val="008D77EF"/>
    <w:rsid w:val="008D788C"/>
    <w:rsid w:val="008E0173"/>
    <w:rsid w:val="008E01C3"/>
    <w:rsid w:val="008E048F"/>
    <w:rsid w:val="008E0A50"/>
    <w:rsid w:val="008E0F21"/>
    <w:rsid w:val="008E18CC"/>
    <w:rsid w:val="008E1A80"/>
    <w:rsid w:val="008E2417"/>
    <w:rsid w:val="008E26F9"/>
    <w:rsid w:val="008E28A7"/>
    <w:rsid w:val="008E2CDA"/>
    <w:rsid w:val="008E3C54"/>
    <w:rsid w:val="008E3C88"/>
    <w:rsid w:val="008E3F71"/>
    <w:rsid w:val="008E47C2"/>
    <w:rsid w:val="008E4B0E"/>
    <w:rsid w:val="008E5019"/>
    <w:rsid w:val="008E51B5"/>
    <w:rsid w:val="008E5293"/>
    <w:rsid w:val="008E55ED"/>
    <w:rsid w:val="008E58F6"/>
    <w:rsid w:val="008E5E96"/>
    <w:rsid w:val="008E5F69"/>
    <w:rsid w:val="008E6AB8"/>
    <w:rsid w:val="008E6B02"/>
    <w:rsid w:val="008E6CC6"/>
    <w:rsid w:val="008E6CE7"/>
    <w:rsid w:val="008E6EFB"/>
    <w:rsid w:val="008E6F27"/>
    <w:rsid w:val="008E77CF"/>
    <w:rsid w:val="008E7AE7"/>
    <w:rsid w:val="008E7AFE"/>
    <w:rsid w:val="008F0AE7"/>
    <w:rsid w:val="008F1B49"/>
    <w:rsid w:val="008F1BC0"/>
    <w:rsid w:val="008F1DD2"/>
    <w:rsid w:val="008F213A"/>
    <w:rsid w:val="008F2681"/>
    <w:rsid w:val="008F26A2"/>
    <w:rsid w:val="008F2898"/>
    <w:rsid w:val="008F3342"/>
    <w:rsid w:val="008F34B2"/>
    <w:rsid w:val="008F379A"/>
    <w:rsid w:val="008F3819"/>
    <w:rsid w:val="008F387E"/>
    <w:rsid w:val="008F3F7F"/>
    <w:rsid w:val="008F40C5"/>
    <w:rsid w:val="008F450A"/>
    <w:rsid w:val="008F46F6"/>
    <w:rsid w:val="008F4EE0"/>
    <w:rsid w:val="008F534D"/>
    <w:rsid w:val="008F536A"/>
    <w:rsid w:val="008F54E2"/>
    <w:rsid w:val="008F54FA"/>
    <w:rsid w:val="008F57DE"/>
    <w:rsid w:val="008F5936"/>
    <w:rsid w:val="008F59D7"/>
    <w:rsid w:val="008F5BF1"/>
    <w:rsid w:val="008F5CC3"/>
    <w:rsid w:val="008F5D0D"/>
    <w:rsid w:val="008F5D78"/>
    <w:rsid w:val="008F5E29"/>
    <w:rsid w:val="008F65D3"/>
    <w:rsid w:val="008F66F8"/>
    <w:rsid w:val="008F6800"/>
    <w:rsid w:val="008F6E00"/>
    <w:rsid w:val="008F6F5D"/>
    <w:rsid w:val="008F7155"/>
    <w:rsid w:val="008F75CC"/>
    <w:rsid w:val="008F7B73"/>
    <w:rsid w:val="008F7BCA"/>
    <w:rsid w:val="0090002A"/>
    <w:rsid w:val="009009A3"/>
    <w:rsid w:val="00900C3C"/>
    <w:rsid w:val="0090104C"/>
    <w:rsid w:val="00901054"/>
    <w:rsid w:val="009010CF"/>
    <w:rsid w:val="00901198"/>
    <w:rsid w:val="0090121D"/>
    <w:rsid w:val="0090136B"/>
    <w:rsid w:val="00901909"/>
    <w:rsid w:val="00901ED7"/>
    <w:rsid w:val="009022A5"/>
    <w:rsid w:val="00902CD7"/>
    <w:rsid w:val="0090321C"/>
    <w:rsid w:val="00903724"/>
    <w:rsid w:val="009037ED"/>
    <w:rsid w:val="00903A60"/>
    <w:rsid w:val="00903D89"/>
    <w:rsid w:val="00904247"/>
    <w:rsid w:val="00904931"/>
    <w:rsid w:val="00904AB8"/>
    <w:rsid w:val="00904D67"/>
    <w:rsid w:val="00904F39"/>
    <w:rsid w:val="009054EE"/>
    <w:rsid w:val="009056C8"/>
    <w:rsid w:val="00905A68"/>
    <w:rsid w:val="00905A96"/>
    <w:rsid w:val="00905CF0"/>
    <w:rsid w:val="0090621B"/>
    <w:rsid w:val="0090670D"/>
    <w:rsid w:val="00906779"/>
    <w:rsid w:val="009069DC"/>
    <w:rsid w:val="00906E62"/>
    <w:rsid w:val="00906F8E"/>
    <w:rsid w:val="00906FBF"/>
    <w:rsid w:val="009072B0"/>
    <w:rsid w:val="00907E4A"/>
    <w:rsid w:val="009106FA"/>
    <w:rsid w:val="009107E0"/>
    <w:rsid w:val="009107FA"/>
    <w:rsid w:val="00910AF0"/>
    <w:rsid w:val="0091109B"/>
    <w:rsid w:val="00911110"/>
    <w:rsid w:val="009115D9"/>
    <w:rsid w:val="009118E7"/>
    <w:rsid w:val="00911A7D"/>
    <w:rsid w:val="0091200D"/>
    <w:rsid w:val="009120BB"/>
    <w:rsid w:val="0091265A"/>
    <w:rsid w:val="0091382B"/>
    <w:rsid w:val="009139A5"/>
    <w:rsid w:val="00913B2F"/>
    <w:rsid w:val="00914034"/>
    <w:rsid w:val="0091431A"/>
    <w:rsid w:val="0091485F"/>
    <w:rsid w:val="00914B95"/>
    <w:rsid w:val="00914D94"/>
    <w:rsid w:val="00914EF9"/>
    <w:rsid w:val="00915C12"/>
    <w:rsid w:val="00915C49"/>
    <w:rsid w:val="00916300"/>
    <w:rsid w:val="00916460"/>
    <w:rsid w:val="00916590"/>
    <w:rsid w:val="00916784"/>
    <w:rsid w:val="00916899"/>
    <w:rsid w:val="00916E9F"/>
    <w:rsid w:val="0091714C"/>
    <w:rsid w:val="0091715B"/>
    <w:rsid w:val="009172BD"/>
    <w:rsid w:val="00917466"/>
    <w:rsid w:val="00917812"/>
    <w:rsid w:val="00917BC5"/>
    <w:rsid w:val="00917DCD"/>
    <w:rsid w:val="0092012A"/>
    <w:rsid w:val="00920634"/>
    <w:rsid w:val="00920AED"/>
    <w:rsid w:val="00920CF8"/>
    <w:rsid w:val="00920E03"/>
    <w:rsid w:val="00920F22"/>
    <w:rsid w:val="00920F2A"/>
    <w:rsid w:val="00921259"/>
    <w:rsid w:val="009213F9"/>
    <w:rsid w:val="009218FD"/>
    <w:rsid w:val="00922388"/>
    <w:rsid w:val="009225B1"/>
    <w:rsid w:val="009226A9"/>
    <w:rsid w:val="00922802"/>
    <w:rsid w:val="0092281F"/>
    <w:rsid w:val="00922CE2"/>
    <w:rsid w:val="00922E2A"/>
    <w:rsid w:val="009231EA"/>
    <w:rsid w:val="00923876"/>
    <w:rsid w:val="00923DAC"/>
    <w:rsid w:val="00924555"/>
    <w:rsid w:val="00924956"/>
    <w:rsid w:val="00924991"/>
    <w:rsid w:val="009249BB"/>
    <w:rsid w:val="00924C75"/>
    <w:rsid w:val="00924E1A"/>
    <w:rsid w:val="00925174"/>
    <w:rsid w:val="00925287"/>
    <w:rsid w:val="009255CA"/>
    <w:rsid w:val="00925604"/>
    <w:rsid w:val="00925FD1"/>
    <w:rsid w:val="009261AA"/>
    <w:rsid w:val="009262FE"/>
    <w:rsid w:val="009266C4"/>
    <w:rsid w:val="00926723"/>
    <w:rsid w:val="00926844"/>
    <w:rsid w:val="00926E53"/>
    <w:rsid w:val="00927115"/>
    <w:rsid w:val="009273C4"/>
    <w:rsid w:val="009275D8"/>
    <w:rsid w:val="00927796"/>
    <w:rsid w:val="00927BE6"/>
    <w:rsid w:val="00927E1F"/>
    <w:rsid w:val="00927FB7"/>
    <w:rsid w:val="00930053"/>
    <w:rsid w:val="0093018F"/>
    <w:rsid w:val="00930AB0"/>
    <w:rsid w:val="00930C3A"/>
    <w:rsid w:val="009311EA"/>
    <w:rsid w:val="00931560"/>
    <w:rsid w:val="00931BB7"/>
    <w:rsid w:val="00931ECE"/>
    <w:rsid w:val="0093292D"/>
    <w:rsid w:val="00932C7F"/>
    <w:rsid w:val="00932D7E"/>
    <w:rsid w:val="0093301C"/>
    <w:rsid w:val="0093313B"/>
    <w:rsid w:val="00933847"/>
    <w:rsid w:val="009339BA"/>
    <w:rsid w:val="00933B3F"/>
    <w:rsid w:val="00933CE4"/>
    <w:rsid w:val="00933D1A"/>
    <w:rsid w:val="0093403D"/>
    <w:rsid w:val="009343C1"/>
    <w:rsid w:val="009343E5"/>
    <w:rsid w:val="00934623"/>
    <w:rsid w:val="009346D7"/>
    <w:rsid w:val="0093484C"/>
    <w:rsid w:val="0093491C"/>
    <w:rsid w:val="00934B62"/>
    <w:rsid w:val="00934F50"/>
    <w:rsid w:val="0093531B"/>
    <w:rsid w:val="00935583"/>
    <w:rsid w:val="00935867"/>
    <w:rsid w:val="00935C69"/>
    <w:rsid w:val="00935D11"/>
    <w:rsid w:val="00935D85"/>
    <w:rsid w:val="00935F51"/>
    <w:rsid w:val="009362C6"/>
    <w:rsid w:val="009364AD"/>
    <w:rsid w:val="009366E0"/>
    <w:rsid w:val="0093677F"/>
    <w:rsid w:val="009367F4"/>
    <w:rsid w:val="00936BBF"/>
    <w:rsid w:val="00936E47"/>
    <w:rsid w:val="0093761E"/>
    <w:rsid w:val="00937BF3"/>
    <w:rsid w:val="009400C2"/>
    <w:rsid w:val="009401D3"/>
    <w:rsid w:val="009401D7"/>
    <w:rsid w:val="009408FE"/>
    <w:rsid w:val="009410F0"/>
    <w:rsid w:val="00941106"/>
    <w:rsid w:val="0094180B"/>
    <w:rsid w:val="00941B46"/>
    <w:rsid w:val="00941C86"/>
    <w:rsid w:val="00941E54"/>
    <w:rsid w:val="00942711"/>
    <w:rsid w:val="00942E3F"/>
    <w:rsid w:val="00942EBB"/>
    <w:rsid w:val="00942F06"/>
    <w:rsid w:val="00943079"/>
    <w:rsid w:val="00943359"/>
    <w:rsid w:val="00943696"/>
    <w:rsid w:val="0094379E"/>
    <w:rsid w:val="0094418D"/>
    <w:rsid w:val="0094461C"/>
    <w:rsid w:val="009446F7"/>
    <w:rsid w:val="00944E2D"/>
    <w:rsid w:val="00944ED7"/>
    <w:rsid w:val="009451A8"/>
    <w:rsid w:val="0094579B"/>
    <w:rsid w:val="00945A5F"/>
    <w:rsid w:val="00945F1F"/>
    <w:rsid w:val="0094623B"/>
    <w:rsid w:val="0094688D"/>
    <w:rsid w:val="009469D7"/>
    <w:rsid w:val="00946A28"/>
    <w:rsid w:val="00946CEC"/>
    <w:rsid w:val="009470CF"/>
    <w:rsid w:val="009479D2"/>
    <w:rsid w:val="00947DAC"/>
    <w:rsid w:val="00947E9A"/>
    <w:rsid w:val="009501B9"/>
    <w:rsid w:val="00950A59"/>
    <w:rsid w:val="00950E1E"/>
    <w:rsid w:val="0095101D"/>
    <w:rsid w:val="00951912"/>
    <w:rsid w:val="00951B72"/>
    <w:rsid w:val="00951BC8"/>
    <w:rsid w:val="00951E3E"/>
    <w:rsid w:val="009520AB"/>
    <w:rsid w:val="009523D9"/>
    <w:rsid w:val="00952524"/>
    <w:rsid w:val="009525A1"/>
    <w:rsid w:val="009529E0"/>
    <w:rsid w:val="00952BFB"/>
    <w:rsid w:val="00952C92"/>
    <w:rsid w:val="00953738"/>
    <w:rsid w:val="0095376B"/>
    <w:rsid w:val="00953AFE"/>
    <w:rsid w:val="00953D69"/>
    <w:rsid w:val="00953E2E"/>
    <w:rsid w:val="0095413B"/>
    <w:rsid w:val="00954233"/>
    <w:rsid w:val="00954B11"/>
    <w:rsid w:val="00954EB4"/>
    <w:rsid w:val="0095528B"/>
    <w:rsid w:val="00955709"/>
    <w:rsid w:val="009557E5"/>
    <w:rsid w:val="00955B43"/>
    <w:rsid w:val="009566C1"/>
    <w:rsid w:val="00956B25"/>
    <w:rsid w:val="00957266"/>
    <w:rsid w:val="0095765E"/>
    <w:rsid w:val="00957FC0"/>
    <w:rsid w:val="0096022A"/>
    <w:rsid w:val="00960470"/>
    <w:rsid w:val="0096087B"/>
    <w:rsid w:val="00960CB4"/>
    <w:rsid w:val="00960D4D"/>
    <w:rsid w:val="0096103A"/>
    <w:rsid w:val="0096138E"/>
    <w:rsid w:val="009614ED"/>
    <w:rsid w:val="009619CE"/>
    <w:rsid w:val="00961EB1"/>
    <w:rsid w:val="00961F6A"/>
    <w:rsid w:val="00961FE4"/>
    <w:rsid w:val="009629F3"/>
    <w:rsid w:val="00962EC8"/>
    <w:rsid w:val="00963084"/>
    <w:rsid w:val="009632C5"/>
    <w:rsid w:val="009635BF"/>
    <w:rsid w:val="009641F6"/>
    <w:rsid w:val="00964B62"/>
    <w:rsid w:val="00964DF3"/>
    <w:rsid w:val="009651A3"/>
    <w:rsid w:val="00965249"/>
    <w:rsid w:val="009655C8"/>
    <w:rsid w:val="009659F5"/>
    <w:rsid w:val="00965B02"/>
    <w:rsid w:val="009660D3"/>
    <w:rsid w:val="009666AE"/>
    <w:rsid w:val="00966913"/>
    <w:rsid w:val="00966A32"/>
    <w:rsid w:val="00967333"/>
    <w:rsid w:val="0096733F"/>
    <w:rsid w:val="0096743B"/>
    <w:rsid w:val="00967558"/>
    <w:rsid w:val="009679B5"/>
    <w:rsid w:val="00967D58"/>
    <w:rsid w:val="009700A1"/>
    <w:rsid w:val="00970192"/>
    <w:rsid w:val="00970380"/>
    <w:rsid w:val="009704FF"/>
    <w:rsid w:val="00970715"/>
    <w:rsid w:val="00970780"/>
    <w:rsid w:val="00970877"/>
    <w:rsid w:val="00970C18"/>
    <w:rsid w:val="00971B56"/>
    <w:rsid w:val="00972313"/>
    <w:rsid w:val="009723B8"/>
    <w:rsid w:val="009726DC"/>
    <w:rsid w:val="00972859"/>
    <w:rsid w:val="009728D6"/>
    <w:rsid w:val="00972975"/>
    <w:rsid w:val="00972A73"/>
    <w:rsid w:val="009730C4"/>
    <w:rsid w:val="009732DB"/>
    <w:rsid w:val="0097353F"/>
    <w:rsid w:val="00973B02"/>
    <w:rsid w:val="00973D0B"/>
    <w:rsid w:val="00973D6A"/>
    <w:rsid w:val="00973EFC"/>
    <w:rsid w:val="00974186"/>
    <w:rsid w:val="00974465"/>
    <w:rsid w:val="0097460A"/>
    <w:rsid w:val="00974828"/>
    <w:rsid w:val="00974B72"/>
    <w:rsid w:val="00974DA8"/>
    <w:rsid w:val="00975069"/>
    <w:rsid w:val="0097532D"/>
    <w:rsid w:val="00975359"/>
    <w:rsid w:val="00975846"/>
    <w:rsid w:val="00975A30"/>
    <w:rsid w:val="00975E1A"/>
    <w:rsid w:val="00975F34"/>
    <w:rsid w:val="00976363"/>
    <w:rsid w:val="0097637E"/>
    <w:rsid w:val="00976700"/>
    <w:rsid w:val="00976704"/>
    <w:rsid w:val="00976736"/>
    <w:rsid w:val="009769B0"/>
    <w:rsid w:val="00977232"/>
    <w:rsid w:val="00977330"/>
    <w:rsid w:val="009773C6"/>
    <w:rsid w:val="00977A0F"/>
    <w:rsid w:val="00977BBC"/>
    <w:rsid w:val="00977F88"/>
    <w:rsid w:val="00980564"/>
    <w:rsid w:val="009807B3"/>
    <w:rsid w:val="00980A95"/>
    <w:rsid w:val="00980C1C"/>
    <w:rsid w:val="00980CDE"/>
    <w:rsid w:val="00980D32"/>
    <w:rsid w:val="00980F13"/>
    <w:rsid w:val="00981064"/>
    <w:rsid w:val="009812F5"/>
    <w:rsid w:val="00981AD5"/>
    <w:rsid w:val="00981C9E"/>
    <w:rsid w:val="00981D5D"/>
    <w:rsid w:val="009822FA"/>
    <w:rsid w:val="009823B3"/>
    <w:rsid w:val="0098244E"/>
    <w:rsid w:val="0098263D"/>
    <w:rsid w:val="009827B0"/>
    <w:rsid w:val="00982855"/>
    <w:rsid w:val="009828AD"/>
    <w:rsid w:val="00982FEC"/>
    <w:rsid w:val="009833F9"/>
    <w:rsid w:val="00983509"/>
    <w:rsid w:val="00983A54"/>
    <w:rsid w:val="00983E93"/>
    <w:rsid w:val="00983F53"/>
    <w:rsid w:val="00983FBA"/>
    <w:rsid w:val="009840B4"/>
    <w:rsid w:val="00984272"/>
    <w:rsid w:val="00984294"/>
    <w:rsid w:val="00984364"/>
    <w:rsid w:val="00984859"/>
    <w:rsid w:val="00985667"/>
    <w:rsid w:val="00985951"/>
    <w:rsid w:val="00985980"/>
    <w:rsid w:val="00985A55"/>
    <w:rsid w:val="00985B85"/>
    <w:rsid w:val="00986062"/>
    <w:rsid w:val="009868AA"/>
    <w:rsid w:val="0098705D"/>
    <w:rsid w:val="009870CD"/>
    <w:rsid w:val="00987309"/>
    <w:rsid w:val="00987593"/>
    <w:rsid w:val="009879E6"/>
    <w:rsid w:val="009900C2"/>
    <w:rsid w:val="0099035B"/>
    <w:rsid w:val="00990664"/>
    <w:rsid w:val="009907EC"/>
    <w:rsid w:val="0099099D"/>
    <w:rsid w:val="00990BD6"/>
    <w:rsid w:val="009910D2"/>
    <w:rsid w:val="009911FF"/>
    <w:rsid w:val="00991B6A"/>
    <w:rsid w:val="00992145"/>
    <w:rsid w:val="009928CE"/>
    <w:rsid w:val="009929D9"/>
    <w:rsid w:val="00992DAA"/>
    <w:rsid w:val="0099320B"/>
    <w:rsid w:val="00993D42"/>
    <w:rsid w:val="00993D8F"/>
    <w:rsid w:val="00993E1F"/>
    <w:rsid w:val="00993EB7"/>
    <w:rsid w:val="0099483F"/>
    <w:rsid w:val="00994972"/>
    <w:rsid w:val="00994B26"/>
    <w:rsid w:val="009950EF"/>
    <w:rsid w:val="009956F9"/>
    <w:rsid w:val="00995E6C"/>
    <w:rsid w:val="00995FAB"/>
    <w:rsid w:val="00996892"/>
    <w:rsid w:val="0099692D"/>
    <w:rsid w:val="00996A92"/>
    <w:rsid w:val="00996CB2"/>
    <w:rsid w:val="00996DD8"/>
    <w:rsid w:val="009972A9"/>
    <w:rsid w:val="009975E9"/>
    <w:rsid w:val="009977AB"/>
    <w:rsid w:val="00997EEA"/>
    <w:rsid w:val="009A0597"/>
    <w:rsid w:val="009A0829"/>
    <w:rsid w:val="009A0E69"/>
    <w:rsid w:val="009A0F15"/>
    <w:rsid w:val="009A1041"/>
    <w:rsid w:val="009A1103"/>
    <w:rsid w:val="009A13F1"/>
    <w:rsid w:val="009A1415"/>
    <w:rsid w:val="009A15AA"/>
    <w:rsid w:val="009A15D6"/>
    <w:rsid w:val="009A1A63"/>
    <w:rsid w:val="009A1EBB"/>
    <w:rsid w:val="009A23FF"/>
    <w:rsid w:val="009A26B6"/>
    <w:rsid w:val="009A27C5"/>
    <w:rsid w:val="009A28DC"/>
    <w:rsid w:val="009A2D64"/>
    <w:rsid w:val="009A2E7C"/>
    <w:rsid w:val="009A3A26"/>
    <w:rsid w:val="009A3AF2"/>
    <w:rsid w:val="009A438B"/>
    <w:rsid w:val="009A4BE0"/>
    <w:rsid w:val="009A53AD"/>
    <w:rsid w:val="009A592B"/>
    <w:rsid w:val="009A5B31"/>
    <w:rsid w:val="009A5FDF"/>
    <w:rsid w:val="009A6091"/>
    <w:rsid w:val="009A615F"/>
    <w:rsid w:val="009A64BB"/>
    <w:rsid w:val="009A6DCA"/>
    <w:rsid w:val="009A6FAE"/>
    <w:rsid w:val="009A7602"/>
    <w:rsid w:val="009A76EB"/>
    <w:rsid w:val="009A7913"/>
    <w:rsid w:val="009A7B42"/>
    <w:rsid w:val="009A7C1A"/>
    <w:rsid w:val="009A7F53"/>
    <w:rsid w:val="009B00A7"/>
    <w:rsid w:val="009B0112"/>
    <w:rsid w:val="009B03A8"/>
    <w:rsid w:val="009B03ED"/>
    <w:rsid w:val="009B06D5"/>
    <w:rsid w:val="009B075D"/>
    <w:rsid w:val="009B078F"/>
    <w:rsid w:val="009B0B73"/>
    <w:rsid w:val="009B0F94"/>
    <w:rsid w:val="009B114A"/>
    <w:rsid w:val="009B133F"/>
    <w:rsid w:val="009B16CF"/>
    <w:rsid w:val="009B17C3"/>
    <w:rsid w:val="009B17E2"/>
    <w:rsid w:val="009B1972"/>
    <w:rsid w:val="009B1A38"/>
    <w:rsid w:val="009B1B0F"/>
    <w:rsid w:val="009B1FFC"/>
    <w:rsid w:val="009B2172"/>
    <w:rsid w:val="009B23A2"/>
    <w:rsid w:val="009B2AF5"/>
    <w:rsid w:val="009B2B5B"/>
    <w:rsid w:val="009B2F29"/>
    <w:rsid w:val="009B3623"/>
    <w:rsid w:val="009B379C"/>
    <w:rsid w:val="009B37CC"/>
    <w:rsid w:val="009B381D"/>
    <w:rsid w:val="009B386F"/>
    <w:rsid w:val="009B3A6B"/>
    <w:rsid w:val="009B3BE3"/>
    <w:rsid w:val="009B4476"/>
    <w:rsid w:val="009B4572"/>
    <w:rsid w:val="009B4895"/>
    <w:rsid w:val="009B4D49"/>
    <w:rsid w:val="009B52E0"/>
    <w:rsid w:val="009B5612"/>
    <w:rsid w:val="009B5951"/>
    <w:rsid w:val="009B5A5E"/>
    <w:rsid w:val="009B5C01"/>
    <w:rsid w:val="009B5C7F"/>
    <w:rsid w:val="009B5D79"/>
    <w:rsid w:val="009B5D86"/>
    <w:rsid w:val="009B6312"/>
    <w:rsid w:val="009B67CB"/>
    <w:rsid w:val="009B6C8D"/>
    <w:rsid w:val="009B6E08"/>
    <w:rsid w:val="009B6F2A"/>
    <w:rsid w:val="009B73DB"/>
    <w:rsid w:val="009B7535"/>
    <w:rsid w:val="009B7965"/>
    <w:rsid w:val="009B7988"/>
    <w:rsid w:val="009B7AC9"/>
    <w:rsid w:val="009B7B55"/>
    <w:rsid w:val="009B7E6C"/>
    <w:rsid w:val="009C00A7"/>
    <w:rsid w:val="009C043F"/>
    <w:rsid w:val="009C0647"/>
    <w:rsid w:val="009C06F9"/>
    <w:rsid w:val="009C07BB"/>
    <w:rsid w:val="009C091B"/>
    <w:rsid w:val="009C19CC"/>
    <w:rsid w:val="009C1C8D"/>
    <w:rsid w:val="009C1C94"/>
    <w:rsid w:val="009C21D4"/>
    <w:rsid w:val="009C21E7"/>
    <w:rsid w:val="009C22AC"/>
    <w:rsid w:val="009C25C1"/>
    <w:rsid w:val="009C2EC4"/>
    <w:rsid w:val="009C3E68"/>
    <w:rsid w:val="009C40BA"/>
    <w:rsid w:val="009C4764"/>
    <w:rsid w:val="009C4780"/>
    <w:rsid w:val="009C4985"/>
    <w:rsid w:val="009C4ECE"/>
    <w:rsid w:val="009C5451"/>
    <w:rsid w:val="009C5726"/>
    <w:rsid w:val="009C60FB"/>
    <w:rsid w:val="009C6916"/>
    <w:rsid w:val="009C697D"/>
    <w:rsid w:val="009C6A21"/>
    <w:rsid w:val="009C6A27"/>
    <w:rsid w:val="009C6DB7"/>
    <w:rsid w:val="009C7057"/>
    <w:rsid w:val="009C7861"/>
    <w:rsid w:val="009C78A1"/>
    <w:rsid w:val="009C7F10"/>
    <w:rsid w:val="009D0487"/>
    <w:rsid w:val="009D069A"/>
    <w:rsid w:val="009D06F8"/>
    <w:rsid w:val="009D077E"/>
    <w:rsid w:val="009D07CD"/>
    <w:rsid w:val="009D082D"/>
    <w:rsid w:val="009D0F4C"/>
    <w:rsid w:val="009D0FB4"/>
    <w:rsid w:val="009D117D"/>
    <w:rsid w:val="009D16B8"/>
    <w:rsid w:val="009D17C1"/>
    <w:rsid w:val="009D192A"/>
    <w:rsid w:val="009D1AED"/>
    <w:rsid w:val="009D2111"/>
    <w:rsid w:val="009D2566"/>
    <w:rsid w:val="009D308D"/>
    <w:rsid w:val="009D338F"/>
    <w:rsid w:val="009D3851"/>
    <w:rsid w:val="009D406D"/>
    <w:rsid w:val="009D4281"/>
    <w:rsid w:val="009D42B6"/>
    <w:rsid w:val="009D447E"/>
    <w:rsid w:val="009D45DB"/>
    <w:rsid w:val="009D497C"/>
    <w:rsid w:val="009D4D0B"/>
    <w:rsid w:val="009D4DA2"/>
    <w:rsid w:val="009D4E79"/>
    <w:rsid w:val="009D4E98"/>
    <w:rsid w:val="009D4EE1"/>
    <w:rsid w:val="009D55C3"/>
    <w:rsid w:val="009D59A9"/>
    <w:rsid w:val="009D5C4A"/>
    <w:rsid w:val="009D6101"/>
    <w:rsid w:val="009D6361"/>
    <w:rsid w:val="009D698F"/>
    <w:rsid w:val="009D6B29"/>
    <w:rsid w:val="009D7148"/>
    <w:rsid w:val="009D72E4"/>
    <w:rsid w:val="009D72FF"/>
    <w:rsid w:val="009D737E"/>
    <w:rsid w:val="009D79D3"/>
    <w:rsid w:val="009D7B42"/>
    <w:rsid w:val="009E031B"/>
    <w:rsid w:val="009E03BD"/>
    <w:rsid w:val="009E04DD"/>
    <w:rsid w:val="009E0A43"/>
    <w:rsid w:val="009E1151"/>
    <w:rsid w:val="009E1312"/>
    <w:rsid w:val="009E147A"/>
    <w:rsid w:val="009E1BC7"/>
    <w:rsid w:val="009E1C34"/>
    <w:rsid w:val="009E1D39"/>
    <w:rsid w:val="009E1F34"/>
    <w:rsid w:val="009E2274"/>
    <w:rsid w:val="009E234C"/>
    <w:rsid w:val="009E2520"/>
    <w:rsid w:val="009E2A16"/>
    <w:rsid w:val="009E2E4B"/>
    <w:rsid w:val="009E326F"/>
    <w:rsid w:val="009E334F"/>
    <w:rsid w:val="009E3398"/>
    <w:rsid w:val="009E41D0"/>
    <w:rsid w:val="009E43FA"/>
    <w:rsid w:val="009E4648"/>
    <w:rsid w:val="009E4ADC"/>
    <w:rsid w:val="009E5096"/>
    <w:rsid w:val="009E50EE"/>
    <w:rsid w:val="009E52E0"/>
    <w:rsid w:val="009E56F2"/>
    <w:rsid w:val="009E5BB0"/>
    <w:rsid w:val="009E615C"/>
    <w:rsid w:val="009E63DB"/>
    <w:rsid w:val="009E68FA"/>
    <w:rsid w:val="009E6AB2"/>
    <w:rsid w:val="009E6B0E"/>
    <w:rsid w:val="009E79CD"/>
    <w:rsid w:val="009F001F"/>
    <w:rsid w:val="009F024A"/>
    <w:rsid w:val="009F02E6"/>
    <w:rsid w:val="009F0546"/>
    <w:rsid w:val="009F089E"/>
    <w:rsid w:val="009F0965"/>
    <w:rsid w:val="009F0CDF"/>
    <w:rsid w:val="009F1486"/>
    <w:rsid w:val="009F1740"/>
    <w:rsid w:val="009F176A"/>
    <w:rsid w:val="009F1A3E"/>
    <w:rsid w:val="009F1A99"/>
    <w:rsid w:val="009F1D84"/>
    <w:rsid w:val="009F2215"/>
    <w:rsid w:val="009F25F4"/>
    <w:rsid w:val="009F2864"/>
    <w:rsid w:val="009F2C74"/>
    <w:rsid w:val="009F3130"/>
    <w:rsid w:val="009F317A"/>
    <w:rsid w:val="009F320D"/>
    <w:rsid w:val="009F33B7"/>
    <w:rsid w:val="009F34E4"/>
    <w:rsid w:val="009F3FF2"/>
    <w:rsid w:val="009F46C8"/>
    <w:rsid w:val="009F4970"/>
    <w:rsid w:val="009F4C94"/>
    <w:rsid w:val="009F4D88"/>
    <w:rsid w:val="009F51E5"/>
    <w:rsid w:val="009F53C2"/>
    <w:rsid w:val="009F5416"/>
    <w:rsid w:val="009F5C3E"/>
    <w:rsid w:val="009F676E"/>
    <w:rsid w:val="009F6B97"/>
    <w:rsid w:val="009F6C8A"/>
    <w:rsid w:val="009F6F6E"/>
    <w:rsid w:val="009F71B9"/>
    <w:rsid w:val="009F7288"/>
    <w:rsid w:val="009F7412"/>
    <w:rsid w:val="009F75BB"/>
    <w:rsid w:val="009F7936"/>
    <w:rsid w:val="009F7FA6"/>
    <w:rsid w:val="00A002B5"/>
    <w:rsid w:val="00A002ED"/>
    <w:rsid w:val="00A003EB"/>
    <w:rsid w:val="00A00554"/>
    <w:rsid w:val="00A0064C"/>
    <w:rsid w:val="00A00B2E"/>
    <w:rsid w:val="00A00C5A"/>
    <w:rsid w:val="00A01835"/>
    <w:rsid w:val="00A01AD1"/>
    <w:rsid w:val="00A01C10"/>
    <w:rsid w:val="00A01C5A"/>
    <w:rsid w:val="00A01DCD"/>
    <w:rsid w:val="00A01E55"/>
    <w:rsid w:val="00A01EBE"/>
    <w:rsid w:val="00A0215B"/>
    <w:rsid w:val="00A021D6"/>
    <w:rsid w:val="00A023F3"/>
    <w:rsid w:val="00A02593"/>
    <w:rsid w:val="00A02AD6"/>
    <w:rsid w:val="00A02BDA"/>
    <w:rsid w:val="00A03021"/>
    <w:rsid w:val="00A03B33"/>
    <w:rsid w:val="00A04006"/>
    <w:rsid w:val="00A0401F"/>
    <w:rsid w:val="00A04035"/>
    <w:rsid w:val="00A04311"/>
    <w:rsid w:val="00A04586"/>
    <w:rsid w:val="00A04738"/>
    <w:rsid w:val="00A05043"/>
    <w:rsid w:val="00A0508B"/>
    <w:rsid w:val="00A05243"/>
    <w:rsid w:val="00A05508"/>
    <w:rsid w:val="00A05780"/>
    <w:rsid w:val="00A058B9"/>
    <w:rsid w:val="00A05D96"/>
    <w:rsid w:val="00A05FB7"/>
    <w:rsid w:val="00A066AE"/>
    <w:rsid w:val="00A06E17"/>
    <w:rsid w:val="00A06F47"/>
    <w:rsid w:val="00A06FCC"/>
    <w:rsid w:val="00A0736F"/>
    <w:rsid w:val="00A10006"/>
    <w:rsid w:val="00A102B1"/>
    <w:rsid w:val="00A107BC"/>
    <w:rsid w:val="00A10D00"/>
    <w:rsid w:val="00A11129"/>
    <w:rsid w:val="00A11A7E"/>
    <w:rsid w:val="00A11CF1"/>
    <w:rsid w:val="00A11DFB"/>
    <w:rsid w:val="00A1207C"/>
    <w:rsid w:val="00A1222D"/>
    <w:rsid w:val="00A1232B"/>
    <w:rsid w:val="00A12F6D"/>
    <w:rsid w:val="00A132D4"/>
    <w:rsid w:val="00A13728"/>
    <w:rsid w:val="00A13840"/>
    <w:rsid w:val="00A13FD0"/>
    <w:rsid w:val="00A14464"/>
    <w:rsid w:val="00A14488"/>
    <w:rsid w:val="00A14A8E"/>
    <w:rsid w:val="00A14E14"/>
    <w:rsid w:val="00A157BC"/>
    <w:rsid w:val="00A15D25"/>
    <w:rsid w:val="00A15F19"/>
    <w:rsid w:val="00A16368"/>
    <w:rsid w:val="00A16A82"/>
    <w:rsid w:val="00A16BAF"/>
    <w:rsid w:val="00A16DD0"/>
    <w:rsid w:val="00A172B9"/>
    <w:rsid w:val="00A172C3"/>
    <w:rsid w:val="00A17442"/>
    <w:rsid w:val="00A1766E"/>
    <w:rsid w:val="00A1799A"/>
    <w:rsid w:val="00A17A4D"/>
    <w:rsid w:val="00A17E3B"/>
    <w:rsid w:val="00A17E70"/>
    <w:rsid w:val="00A20F8B"/>
    <w:rsid w:val="00A2103A"/>
    <w:rsid w:val="00A210EE"/>
    <w:rsid w:val="00A21488"/>
    <w:rsid w:val="00A2198E"/>
    <w:rsid w:val="00A219AF"/>
    <w:rsid w:val="00A21C1F"/>
    <w:rsid w:val="00A21CCB"/>
    <w:rsid w:val="00A229F2"/>
    <w:rsid w:val="00A22DB9"/>
    <w:rsid w:val="00A235B5"/>
    <w:rsid w:val="00A23B0C"/>
    <w:rsid w:val="00A23B2D"/>
    <w:rsid w:val="00A24044"/>
    <w:rsid w:val="00A2439D"/>
    <w:rsid w:val="00A2448A"/>
    <w:rsid w:val="00A2489F"/>
    <w:rsid w:val="00A249BC"/>
    <w:rsid w:val="00A24B17"/>
    <w:rsid w:val="00A24E02"/>
    <w:rsid w:val="00A24F0F"/>
    <w:rsid w:val="00A250F7"/>
    <w:rsid w:val="00A251F2"/>
    <w:rsid w:val="00A25258"/>
    <w:rsid w:val="00A25A1B"/>
    <w:rsid w:val="00A26077"/>
    <w:rsid w:val="00A262F6"/>
    <w:rsid w:val="00A2667E"/>
    <w:rsid w:val="00A26912"/>
    <w:rsid w:val="00A26A21"/>
    <w:rsid w:val="00A26B11"/>
    <w:rsid w:val="00A26F57"/>
    <w:rsid w:val="00A27866"/>
    <w:rsid w:val="00A278E6"/>
    <w:rsid w:val="00A27C9E"/>
    <w:rsid w:val="00A27C9F"/>
    <w:rsid w:val="00A27CD8"/>
    <w:rsid w:val="00A27D28"/>
    <w:rsid w:val="00A30093"/>
    <w:rsid w:val="00A3073F"/>
    <w:rsid w:val="00A308BF"/>
    <w:rsid w:val="00A31366"/>
    <w:rsid w:val="00A31778"/>
    <w:rsid w:val="00A3210D"/>
    <w:rsid w:val="00A32208"/>
    <w:rsid w:val="00A322EB"/>
    <w:rsid w:val="00A32952"/>
    <w:rsid w:val="00A32B61"/>
    <w:rsid w:val="00A32EA2"/>
    <w:rsid w:val="00A33179"/>
    <w:rsid w:val="00A333BE"/>
    <w:rsid w:val="00A33908"/>
    <w:rsid w:val="00A33A44"/>
    <w:rsid w:val="00A33AC2"/>
    <w:rsid w:val="00A33AD4"/>
    <w:rsid w:val="00A33B49"/>
    <w:rsid w:val="00A34068"/>
    <w:rsid w:val="00A34243"/>
    <w:rsid w:val="00A342AA"/>
    <w:rsid w:val="00A34D16"/>
    <w:rsid w:val="00A34F92"/>
    <w:rsid w:val="00A35521"/>
    <w:rsid w:val="00A35C33"/>
    <w:rsid w:val="00A35CFD"/>
    <w:rsid w:val="00A35F6A"/>
    <w:rsid w:val="00A36079"/>
    <w:rsid w:val="00A360D4"/>
    <w:rsid w:val="00A36421"/>
    <w:rsid w:val="00A3654C"/>
    <w:rsid w:val="00A36E08"/>
    <w:rsid w:val="00A4012D"/>
    <w:rsid w:val="00A40290"/>
    <w:rsid w:val="00A406A8"/>
    <w:rsid w:val="00A40A58"/>
    <w:rsid w:val="00A40A7C"/>
    <w:rsid w:val="00A40E19"/>
    <w:rsid w:val="00A40F37"/>
    <w:rsid w:val="00A41224"/>
    <w:rsid w:val="00A41479"/>
    <w:rsid w:val="00A41859"/>
    <w:rsid w:val="00A418D3"/>
    <w:rsid w:val="00A41B3D"/>
    <w:rsid w:val="00A42027"/>
    <w:rsid w:val="00A42872"/>
    <w:rsid w:val="00A4315D"/>
    <w:rsid w:val="00A43C73"/>
    <w:rsid w:val="00A43D8A"/>
    <w:rsid w:val="00A43D8F"/>
    <w:rsid w:val="00A442C9"/>
    <w:rsid w:val="00A44846"/>
    <w:rsid w:val="00A448A4"/>
    <w:rsid w:val="00A4491E"/>
    <w:rsid w:val="00A4499F"/>
    <w:rsid w:val="00A44F37"/>
    <w:rsid w:val="00A44FBE"/>
    <w:rsid w:val="00A451F1"/>
    <w:rsid w:val="00A455B7"/>
    <w:rsid w:val="00A458A2"/>
    <w:rsid w:val="00A45B68"/>
    <w:rsid w:val="00A45F4C"/>
    <w:rsid w:val="00A46583"/>
    <w:rsid w:val="00A46584"/>
    <w:rsid w:val="00A467E3"/>
    <w:rsid w:val="00A46B0F"/>
    <w:rsid w:val="00A46CB2"/>
    <w:rsid w:val="00A477F3"/>
    <w:rsid w:val="00A47861"/>
    <w:rsid w:val="00A50011"/>
    <w:rsid w:val="00A50094"/>
    <w:rsid w:val="00A50D20"/>
    <w:rsid w:val="00A50E0F"/>
    <w:rsid w:val="00A50E23"/>
    <w:rsid w:val="00A51229"/>
    <w:rsid w:val="00A51236"/>
    <w:rsid w:val="00A51297"/>
    <w:rsid w:val="00A513F7"/>
    <w:rsid w:val="00A5142D"/>
    <w:rsid w:val="00A5151A"/>
    <w:rsid w:val="00A5163E"/>
    <w:rsid w:val="00A517E5"/>
    <w:rsid w:val="00A51EF3"/>
    <w:rsid w:val="00A523D9"/>
    <w:rsid w:val="00A52478"/>
    <w:rsid w:val="00A52543"/>
    <w:rsid w:val="00A52BED"/>
    <w:rsid w:val="00A52D8E"/>
    <w:rsid w:val="00A536D6"/>
    <w:rsid w:val="00A5396C"/>
    <w:rsid w:val="00A539FC"/>
    <w:rsid w:val="00A53B4E"/>
    <w:rsid w:val="00A53B83"/>
    <w:rsid w:val="00A53C98"/>
    <w:rsid w:val="00A543FC"/>
    <w:rsid w:val="00A545B5"/>
    <w:rsid w:val="00A5478C"/>
    <w:rsid w:val="00A5480E"/>
    <w:rsid w:val="00A54A17"/>
    <w:rsid w:val="00A54DB3"/>
    <w:rsid w:val="00A55182"/>
    <w:rsid w:val="00A554A6"/>
    <w:rsid w:val="00A5558A"/>
    <w:rsid w:val="00A555D8"/>
    <w:rsid w:val="00A55797"/>
    <w:rsid w:val="00A55F23"/>
    <w:rsid w:val="00A562C7"/>
    <w:rsid w:val="00A5630D"/>
    <w:rsid w:val="00A56F3D"/>
    <w:rsid w:val="00A57302"/>
    <w:rsid w:val="00A575C5"/>
    <w:rsid w:val="00A5777A"/>
    <w:rsid w:val="00A5782B"/>
    <w:rsid w:val="00A57BF8"/>
    <w:rsid w:val="00A606A6"/>
    <w:rsid w:val="00A6099D"/>
    <w:rsid w:val="00A60D77"/>
    <w:rsid w:val="00A61028"/>
    <w:rsid w:val="00A61457"/>
    <w:rsid w:val="00A6168D"/>
    <w:rsid w:val="00A61793"/>
    <w:rsid w:val="00A61833"/>
    <w:rsid w:val="00A620F3"/>
    <w:rsid w:val="00A623E4"/>
    <w:rsid w:val="00A626EF"/>
    <w:rsid w:val="00A62775"/>
    <w:rsid w:val="00A6277B"/>
    <w:rsid w:val="00A637D0"/>
    <w:rsid w:val="00A6395D"/>
    <w:rsid w:val="00A63BD1"/>
    <w:rsid w:val="00A63FB1"/>
    <w:rsid w:val="00A647EA"/>
    <w:rsid w:val="00A64A07"/>
    <w:rsid w:val="00A64D59"/>
    <w:rsid w:val="00A64EDD"/>
    <w:rsid w:val="00A650E2"/>
    <w:rsid w:val="00A65AA3"/>
    <w:rsid w:val="00A65DE1"/>
    <w:rsid w:val="00A65F0C"/>
    <w:rsid w:val="00A664C7"/>
    <w:rsid w:val="00A665AA"/>
    <w:rsid w:val="00A6686C"/>
    <w:rsid w:val="00A66AF0"/>
    <w:rsid w:val="00A66D68"/>
    <w:rsid w:val="00A66D89"/>
    <w:rsid w:val="00A6763E"/>
    <w:rsid w:val="00A678B5"/>
    <w:rsid w:val="00A7088D"/>
    <w:rsid w:val="00A709A5"/>
    <w:rsid w:val="00A70C45"/>
    <w:rsid w:val="00A70CBB"/>
    <w:rsid w:val="00A70F85"/>
    <w:rsid w:val="00A7130D"/>
    <w:rsid w:val="00A717CA"/>
    <w:rsid w:val="00A7188C"/>
    <w:rsid w:val="00A71AC5"/>
    <w:rsid w:val="00A71DE6"/>
    <w:rsid w:val="00A71F1F"/>
    <w:rsid w:val="00A721CA"/>
    <w:rsid w:val="00A7261E"/>
    <w:rsid w:val="00A72871"/>
    <w:rsid w:val="00A729E6"/>
    <w:rsid w:val="00A72AAB"/>
    <w:rsid w:val="00A72BE7"/>
    <w:rsid w:val="00A72E04"/>
    <w:rsid w:val="00A72F2E"/>
    <w:rsid w:val="00A73301"/>
    <w:rsid w:val="00A73533"/>
    <w:rsid w:val="00A7369F"/>
    <w:rsid w:val="00A73929"/>
    <w:rsid w:val="00A73BE5"/>
    <w:rsid w:val="00A73CEE"/>
    <w:rsid w:val="00A73F3B"/>
    <w:rsid w:val="00A74293"/>
    <w:rsid w:val="00A74370"/>
    <w:rsid w:val="00A74673"/>
    <w:rsid w:val="00A7477D"/>
    <w:rsid w:val="00A74914"/>
    <w:rsid w:val="00A74B2A"/>
    <w:rsid w:val="00A7525C"/>
    <w:rsid w:val="00A75649"/>
    <w:rsid w:val="00A75770"/>
    <w:rsid w:val="00A75FD0"/>
    <w:rsid w:val="00A761B3"/>
    <w:rsid w:val="00A76218"/>
    <w:rsid w:val="00A7665C"/>
    <w:rsid w:val="00A76930"/>
    <w:rsid w:val="00A76C8C"/>
    <w:rsid w:val="00A76FAB"/>
    <w:rsid w:val="00A770C8"/>
    <w:rsid w:val="00A770F9"/>
    <w:rsid w:val="00A7711F"/>
    <w:rsid w:val="00A77276"/>
    <w:rsid w:val="00A77547"/>
    <w:rsid w:val="00A80128"/>
    <w:rsid w:val="00A805B9"/>
    <w:rsid w:val="00A807CE"/>
    <w:rsid w:val="00A8109F"/>
    <w:rsid w:val="00A81852"/>
    <w:rsid w:val="00A81894"/>
    <w:rsid w:val="00A818A4"/>
    <w:rsid w:val="00A81B7F"/>
    <w:rsid w:val="00A820E2"/>
    <w:rsid w:val="00A82E79"/>
    <w:rsid w:val="00A83489"/>
    <w:rsid w:val="00A83612"/>
    <w:rsid w:val="00A83D86"/>
    <w:rsid w:val="00A83D99"/>
    <w:rsid w:val="00A8402F"/>
    <w:rsid w:val="00A84069"/>
    <w:rsid w:val="00A84154"/>
    <w:rsid w:val="00A841FF"/>
    <w:rsid w:val="00A84316"/>
    <w:rsid w:val="00A84328"/>
    <w:rsid w:val="00A844D9"/>
    <w:rsid w:val="00A845FF"/>
    <w:rsid w:val="00A84F90"/>
    <w:rsid w:val="00A858F5"/>
    <w:rsid w:val="00A859FF"/>
    <w:rsid w:val="00A85A93"/>
    <w:rsid w:val="00A85AA5"/>
    <w:rsid w:val="00A85CC5"/>
    <w:rsid w:val="00A85F42"/>
    <w:rsid w:val="00A8628A"/>
    <w:rsid w:val="00A864CD"/>
    <w:rsid w:val="00A86671"/>
    <w:rsid w:val="00A867B6"/>
    <w:rsid w:val="00A86DE2"/>
    <w:rsid w:val="00A86F04"/>
    <w:rsid w:val="00A87328"/>
    <w:rsid w:val="00A8735C"/>
    <w:rsid w:val="00A87895"/>
    <w:rsid w:val="00A87989"/>
    <w:rsid w:val="00A9008E"/>
    <w:rsid w:val="00A90676"/>
    <w:rsid w:val="00A909E6"/>
    <w:rsid w:val="00A90D89"/>
    <w:rsid w:val="00A90EB8"/>
    <w:rsid w:val="00A91110"/>
    <w:rsid w:val="00A91498"/>
    <w:rsid w:val="00A914AC"/>
    <w:rsid w:val="00A91F3D"/>
    <w:rsid w:val="00A92037"/>
    <w:rsid w:val="00A92186"/>
    <w:rsid w:val="00A92BB0"/>
    <w:rsid w:val="00A92CD4"/>
    <w:rsid w:val="00A92F2E"/>
    <w:rsid w:val="00A9339D"/>
    <w:rsid w:val="00A93A54"/>
    <w:rsid w:val="00A94243"/>
    <w:rsid w:val="00A94B8D"/>
    <w:rsid w:val="00A94E4F"/>
    <w:rsid w:val="00A95601"/>
    <w:rsid w:val="00A9581B"/>
    <w:rsid w:val="00A9598D"/>
    <w:rsid w:val="00A95C12"/>
    <w:rsid w:val="00A95F16"/>
    <w:rsid w:val="00A96416"/>
    <w:rsid w:val="00A96AB3"/>
    <w:rsid w:val="00A96AD0"/>
    <w:rsid w:val="00A96FA3"/>
    <w:rsid w:val="00A97477"/>
    <w:rsid w:val="00A9751F"/>
    <w:rsid w:val="00A97682"/>
    <w:rsid w:val="00A97868"/>
    <w:rsid w:val="00A97A71"/>
    <w:rsid w:val="00A97E30"/>
    <w:rsid w:val="00AA057E"/>
    <w:rsid w:val="00AA06E5"/>
    <w:rsid w:val="00AA08A3"/>
    <w:rsid w:val="00AA094D"/>
    <w:rsid w:val="00AA1010"/>
    <w:rsid w:val="00AA1439"/>
    <w:rsid w:val="00AA2526"/>
    <w:rsid w:val="00AA26CB"/>
    <w:rsid w:val="00AA2836"/>
    <w:rsid w:val="00AA2BC3"/>
    <w:rsid w:val="00AA33EB"/>
    <w:rsid w:val="00AA3AD2"/>
    <w:rsid w:val="00AA3DBB"/>
    <w:rsid w:val="00AA3EF6"/>
    <w:rsid w:val="00AA3FF8"/>
    <w:rsid w:val="00AA4001"/>
    <w:rsid w:val="00AA431A"/>
    <w:rsid w:val="00AA440D"/>
    <w:rsid w:val="00AA4D60"/>
    <w:rsid w:val="00AA561C"/>
    <w:rsid w:val="00AA563C"/>
    <w:rsid w:val="00AA5958"/>
    <w:rsid w:val="00AA5B3B"/>
    <w:rsid w:val="00AA5FC5"/>
    <w:rsid w:val="00AA6048"/>
    <w:rsid w:val="00AA60AE"/>
    <w:rsid w:val="00AA62B6"/>
    <w:rsid w:val="00AA6508"/>
    <w:rsid w:val="00AA652E"/>
    <w:rsid w:val="00AA65AD"/>
    <w:rsid w:val="00AA65CE"/>
    <w:rsid w:val="00AA66B5"/>
    <w:rsid w:val="00AA6865"/>
    <w:rsid w:val="00AA6973"/>
    <w:rsid w:val="00AA69C8"/>
    <w:rsid w:val="00AA6B52"/>
    <w:rsid w:val="00AA6BF4"/>
    <w:rsid w:val="00AA6DA9"/>
    <w:rsid w:val="00AA6E30"/>
    <w:rsid w:val="00AA70F3"/>
    <w:rsid w:val="00AA735A"/>
    <w:rsid w:val="00AA73C6"/>
    <w:rsid w:val="00AA7406"/>
    <w:rsid w:val="00AA76BB"/>
    <w:rsid w:val="00AA7808"/>
    <w:rsid w:val="00AA780E"/>
    <w:rsid w:val="00AA7BE8"/>
    <w:rsid w:val="00AA7CE2"/>
    <w:rsid w:val="00AA7D6F"/>
    <w:rsid w:val="00AA7F2E"/>
    <w:rsid w:val="00AAA2B2"/>
    <w:rsid w:val="00AB0783"/>
    <w:rsid w:val="00AB0F86"/>
    <w:rsid w:val="00AB1227"/>
    <w:rsid w:val="00AB15B4"/>
    <w:rsid w:val="00AB1747"/>
    <w:rsid w:val="00AB1991"/>
    <w:rsid w:val="00AB1AB8"/>
    <w:rsid w:val="00AB205B"/>
    <w:rsid w:val="00AB2278"/>
    <w:rsid w:val="00AB22CA"/>
    <w:rsid w:val="00AB23B9"/>
    <w:rsid w:val="00AB24C5"/>
    <w:rsid w:val="00AB26E5"/>
    <w:rsid w:val="00AB285B"/>
    <w:rsid w:val="00AB2A78"/>
    <w:rsid w:val="00AB2B06"/>
    <w:rsid w:val="00AB2E5B"/>
    <w:rsid w:val="00AB351A"/>
    <w:rsid w:val="00AB37F4"/>
    <w:rsid w:val="00AB3DAE"/>
    <w:rsid w:val="00AB3F42"/>
    <w:rsid w:val="00AB4060"/>
    <w:rsid w:val="00AB4078"/>
    <w:rsid w:val="00AB413B"/>
    <w:rsid w:val="00AB4320"/>
    <w:rsid w:val="00AB43C8"/>
    <w:rsid w:val="00AB47D7"/>
    <w:rsid w:val="00AB4835"/>
    <w:rsid w:val="00AB4A98"/>
    <w:rsid w:val="00AB4CD8"/>
    <w:rsid w:val="00AB4D26"/>
    <w:rsid w:val="00AB4F92"/>
    <w:rsid w:val="00AB513B"/>
    <w:rsid w:val="00AB51F5"/>
    <w:rsid w:val="00AB545D"/>
    <w:rsid w:val="00AB59AA"/>
    <w:rsid w:val="00AB59BC"/>
    <w:rsid w:val="00AB5CB2"/>
    <w:rsid w:val="00AB5E18"/>
    <w:rsid w:val="00AB5F57"/>
    <w:rsid w:val="00AB6462"/>
    <w:rsid w:val="00AB65D6"/>
    <w:rsid w:val="00AB664E"/>
    <w:rsid w:val="00AB678C"/>
    <w:rsid w:val="00AB7254"/>
    <w:rsid w:val="00AC07DA"/>
    <w:rsid w:val="00AC0A33"/>
    <w:rsid w:val="00AC1094"/>
    <w:rsid w:val="00AC1383"/>
    <w:rsid w:val="00AC1421"/>
    <w:rsid w:val="00AC15FD"/>
    <w:rsid w:val="00AC1B02"/>
    <w:rsid w:val="00AC1BDC"/>
    <w:rsid w:val="00AC1F4E"/>
    <w:rsid w:val="00AC1FFD"/>
    <w:rsid w:val="00AC238B"/>
    <w:rsid w:val="00AC2780"/>
    <w:rsid w:val="00AC2CD0"/>
    <w:rsid w:val="00AC3139"/>
    <w:rsid w:val="00AC32AD"/>
    <w:rsid w:val="00AC34DD"/>
    <w:rsid w:val="00AC38E8"/>
    <w:rsid w:val="00AC3920"/>
    <w:rsid w:val="00AC3BAA"/>
    <w:rsid w:val="00AC45A8"/>
    <w:rsid w:val="00AC4740"/>
    <w:rsid w:val="00AC48C2"/>
    <w:rsid w:val="00AC49D0"/>
    <w:rsid w:val="00AC4DDA"/>
    <w:rsid w:val="00AC4E8E"/>
    <w:rsid w:val="00AC5949"/>
    <w:rsid w:val="00AC5BBA"/>
    <w:rsid w:val="00AC5D2C"/>
    <w:rsid w:val="00AC6237"/>
    <w:rsid w:val="00AC6A6D"/>
    <w:rsid w:val="00AC6AC6"/>
    <w:rsid w:val="00AC6AE9"/>
    <w:rsid w:val="00AC6C20"/>
    <w:rsid w:val="00AC6F1D"/>
    <w:rsid w:val="00AC7414"/>
    <w:rsid w:val="00AC7C34"/>
    <w:rsid w:val="00AC7D0E"/>
    <w:rsid w:val="00AD002B"/>
    <w:rsid w:val="00AD0137"/>
    <w:rsid w:val="00AD0F73"/>
    <w:rsid w:val="00AD12C1"/>
    <w:rsid w:val="00AD1362"/>
    <w:rsid w:val="00AD1375"/>
    <w:rsid w:val="00AD14FF"/>
    <w:rsid w:val="00AD180F"/>
    <w:rsid w:val="00AD199B"/>
    <w:rsid w:val="00AD1A8E"/>
    <w:rsid w:val="00AD2901"/>
    <w:rsid w:val="00AD2D7D"/>
    <w:rsid w:val="00AD2D97"/>
    <w:rsid w:val="00AD2F04"/>
    <w:rsid w:val="00AD2F47"/>
    <w:rsid w:val="00AD30A3"/>
    <w:rsid w:val="00AD33AF"/>
    <w:rsid w:val="00AD33D3"/>
    <w:rsid w:val="00AD3B8A"/>
    <w:rsid w:val="00AD407E"/>
    <w:rsid w:val="00AD411C"/>
    <w:rsid w:val="00AD424B"/>
    <w:rsid w:val="00AD4558"/>
    <w:rsid w:val="00AD4921"/>
    <w:rsid w:val="00AD4959"/>
    <w:rsid w:val="00AD5106"/>
    <w:rsid w:val="00AD53E7"/>
    <w:rsid w:val="00AD541A"/>
    <w:rsid w:val="00AD59A2"/>
    <w:rsid w:val="00AD5B83"/>
    <w:rsid w:val="00AD6221"/>
    <w:rsid w:val="00AD6324"/>
    <w:rsid w:val="00AD644C"/>
    <w:rsid w:val="00AD6780"/>
    <w:rsid w:val="00AD6C87"/>
    <w:rsid w:val="00AD6EEF"/>
    <w:rsid w:val="00AD70F7"/>
    <w:rsid w:val="00AD7260"/>
    <w:rsid w:val="00AD745A"/>
    <w:rsid w:val="00AD7578"/>
    <w:rsid w:val="00AE0062"/>
    <w:rsid w:val="00AE01D2"/>
    <w:rsid w:val="00AE0260"/>
    <w:rsid w:val="00AE0300"/>
    <w:rsid w:val="00AE0374"/>
    <w:rsid w:val="00AE0418"/>
    <w:rsid w:val="00AE0F21"/>
    <w:rsid w:val="00AE0F22"/>
    <w:rsid w:val="00AE13B8"/>
    <w:rsid w:val="00AE160C"/>
    <w:rsid w:val="00AE17D9"/>
    <w:rsid w:val="00AE1815"/>
    <w:rsid w:val="00AE1A73"/>
    <w:rsid w:val="00AE2092"/>
    <w:rsid w:val="00AE2BF0"/>
    <w:rsid w:val="00AE2E56"/>
    <w:rsid w:val="00AE32A7"/>
    <w:rsid w:val="00AE3732"/>
    <w:rsid w:val="00AE381F"/>
    <w:rsid w:val="00AE3876"/>
    <w:rsid w:val="00AE3A55"/>
    <w:rsid w:val="00AE3E09"/>
    <w:rsid w:val="00AE4165"/>
    <w:rsid w:val="00AE4339"/>
    <w:rsid w:val="00AE4CD1"/>
    <w:rsid w:val="00AE4D90"/>
    <w:rsid w:val="00AE522A"/>
    <w:rsid w:val="00AE59DD"/>
    <w:rsid w:val="00AE5B17"/>
    <w:rsid w:val="00AE5D2B"/>
    <w:rsid w:val="00AE62A5"/>
    <w:rsid w:val="00AE63C2"/>
    <w:rsid w:val="00AE6549"/>
    <w:rsid w:val="00AE6636"/>
    <w:rsid w:val="00AE698F"/>
    <w:rsid w:val="00AE6CB1"/>
    <w:rsid w:val="00AE729A"/>
    <w:rsid w:val="00AE73C8"/>
    <w:rsid w:val="00AE7BB0"/>
    <w:rsid w:val="00AE7D2A"/>
    <w:rsid w:val="00AF027C"/>
    <w:rsid w:val="00AF0663"/>
    <w:rsid w:val="00AF069E"/>
    <w:rsid w:val="00AF074B"/>
    <w:rsid w:val="00AF08BA"/>
    <w:rsid w:val="00AF0C70"/>
    <w:rsid w:val="00AF11C4"/>
    <w:rsid w:val="00AF1337"/>
    <w:rsid w:val="00AF149D"/>
    <w:rsid w:val="00AF17B5"/>
    <w:rsid w:val="00AF1953"/>
    <w:rsid w:val="00AF198E"/>
    <w:rsid w:val="00AF1DA2"/>
    <w:rsid w:val="00AF2104"/>
    <w:rsid w:val="00AF245F"/>
    <w:rsid w:val="00AF24E8"/>
    <w:rsid w:val="00AF377E"/>
    <w:rsid w:val="00AF3912"/>
    <w:rsid w:val="00AF3C69"/>
    <w:rsid w:val="00AF3C89"/>
    <w:rsid w:val="00AF3DCD"/>
    <w:rsid w:val="00AF3EBB"/>
    <w:rsid w:val="00AF4718"/>
    <w:rsid w:val="00AF48A4"/>
    <w:rsid w:val="00AF4BF0"/>
    <w:rsid w:val="00AF4D21"/>
    <w:rsid w:val="00AF5153"/>
    <w:rsid w:val="00AF5272"/>
    <w:rsid w:val="00AF52CD"/>
    <w:rsid w:val="00AF5537"/>
    <w:rsid w:val="00AF57BC"/>
    <w:rsid w:val="00AF57EE"/>
    <w:rsid w:val="00AF5E48"/>
    <w:rsid w:val="00AF6696"/>
    <w:rsid w:val="00AF6A70"/>
    <w:rsid w:val="00AF6C82"/>
    <w:rsid w:val="00AF7409"/>
    <w:rsid w:val="00AF76C8"/>
    <w:rsid w:val="00AF7996"/>
    <w:rsid w:val="00AF7B76"/>
    <w:rsid w:val="00AF7D3A"/>
    <w:rsid w:val="00AF7DDD"/>
    <w:rsid w:val="00B0018F"/>
    <w:rsid w:val="00B0082E"/>
    <w:rsid w:val="00B00917"/>
    <w:rsid w:val="00B00A6D"/>
    <w:rsid w:val="00B00D38"/>
    <w:rsid w:val="00B01032"/>
    <w:rsid w:val="00B01A6F"/>
    <w:rsid w:val="00B01C2D"/>
    <w:rsid w:val="00B01F0F"/>
    <w:rsid w:val="00B01F9D"/>
    <w:rsid w:val="00B0216C"/>
    <w:rsid w:val="00B021DF"/>
    <w:rsid w:val="00B023BB"/>
    <w:rsid w:val="00B027EC"/>
    <w:rsid w:val="00B0282B"/>
    <w:rsid w:val="00B02903"/>
    <w:rsid w:val="00B0290A"/>
    <w:rsid w:val="00B02F1F"/>
    <w:rsid w:val="00B03404"/>
    <w:rsid w:val="00B03497"/>
    <w:rsid w:val="00B034C5"/>
    <w:rsid w:val="00B03AEC"/>
    <w:rsid w:val="00B03EFF"/>
    <w:rsid w:val="00B03F05"/>
    <w:rsid w:val="00B04924"/>
    <w:rsid w:val="00B04F4E"/>
    <w:rsid w:val="00B04FAD"/>
    <w:rsid w:val="00B05415"/>
    <w:rsid w:val="00B0565E"/>
    <w:rsid w:val="00B05AF8"/>
    <w:rsid w:val="00B05BA0"/>
    <w:rsid w:val="00B05D4D"/>
    <w:rsid w:val="00B05F32"/>
    <w:rsid w:val="00B06118"/>
    <w:rsid w:val="00B0679E"/>
    <w:rsid w:val="00B068F4"/>
    <w:rsid w:val="00B06E6F"/>
    <w:rsid w:val="00B0722C"/>
    <w:rsid w:val="00B073BE"/>
    <w:rsid w:val="00B07518"/>
    <w:rsid w:val="00B07880"/>
    <w:rsid w:val="00B079B4"/>
    <w:rsid w:val="00B07CF3"/>
    <w:rsid w:val="00B102C7"/>
    <w:rsid w:val="00B1032C"/>
    <w:rsid w:val="00B10573"/>
    <w:rsid w:val="00B105DA"/>
    <w:rsid w:val="00B10A2A"/>
    <w:rsid w:val="00B10ABA"/>
    <w:rsid w:val="00B10B86"/>
    <w:rsid w:val="00B10C19"/>
    <w:rsid w:val="00B11020"/>
    <w:rsid w:val="00B11A2F"/>
    <w:rsid w:val="00B11ED2"/>
    <w:rsid w:val="00B1220F"/>
    <w:rsid w:val="00B12676"/>
    <w:rsid w:val="00B129EF"/>
    <w:rsid w:val="00B12F46"/>
    <w:rsid w:val="00B133B7"/>
    <w:rsid w:val="00B13C4C"/>
    <w:rsid w:val="00B13EC3"/>
    <w:rsid w:val="00B13EC7"/>
    <w:rsid w:val="00B1428E"/>
    <w:rsid w:val="00B143C2"/>
    <w:rsid w:val="00B145DB"/>
    <w:rsid w:val="00B147EB"/>
    <w:rsid w:val="00B14A1D"/>
    <w:rsid w:val="00B14A2A"/>
    <w:rsid w:val="00B14A7B"/>
    <w:rsid w:val="00B14CA2"/>
    <w:rsid w:val="00B14DAE"/>
    <w:rsid w:val="00B14DDE"/>
    <w:rsid w:val="00B14F34"/>
    <w:rsid w:val="00B1528D"/>
    <w:rsid w:val="00B152E0"/>
    <w:rsid w:val="00B15C36"/>
    <w:rsid w:val="00B16026"/>
    <w:rsid w:val="00B1693A"/>
    <w:rsid w:val="00B16E39"/>
    <w:rsid w:val="00B16E84"/>
    <w:rsid w:val="00B16EF7"/>
    <w:rsid w:val="00B1753C"/>
    <w:rsid w:val="00B178F8"/>
    <w:rsid w:val="00B1795B"/>
    <w:rsid w:val="00B17CC8"/>
    <w:rsid w:val="00B17DB9"/>
    <w:rsid w:val="00B17ED3"/>
    <w:rsid w:val="00B20152"/>
    <w:rsid w:val="00B20320"/>
    <w:rsid w:val="00B2082A"/>
    <w:rsid w:val="00B20B8E"/>
    <w:rsid w:val="00B2111C"/>
    <w:rsid w:val="00B2113A"/>
    <w:rsid w:val="00B213CC"/>
    <w:rsid w:val="00B21C27"/>
    <w:rsid w:val="00B21C80"/>
    <w:rsid w:val="00B22004"/>
    <w:rsid w:val="00B22174"/>
    <w:rsid w:val="00B22562"/>
    <w:rsid w:val="00B2273B"/>
    <w:rsid w:val="00B2281C"/>
    <w:rsid w:val="00B22867"/>
    <w:rsid w:val="00B232AA"/>
    <w:rsid w:val="00B233BD"/>
    <w:rsid w:val="00B23483"/>
    <w:rsid w:val="00B2349E"/>
    <w:rsid w:val="00B23916"/>
    <w:rsid w:val="00B23965"/>
    <w:rsid w:val="00B23CD8"/>
    <w:rsid w:val="00B23D23"/>
    <w:rsid w:val="00B244AB"/>
    <w:rsid w:val="00B244F3"/>
    <w:rsid w:val="00B24656"/>
    <w:rsid w:val="00B2481D"/>
    <w:rsid w:val="00B24A43"/>
    <w:rsid w:val="00B24ED6"/>
    <w:rsid w:val="00B251F6"/>
    <w:rsid w:val="00B255EC"/>
    <w:rsid w:val="00B256F8"/>
    <w:rsid w:val="00B25855"/>
    <w:rsid w:val="00B2607E"/>
    <w:rsid w:val="00B260A2"/>
    <w:rsid w:val="00B26116"/>
    <w:rsid w:val="00B26369"/>
    <w:rsid w:val="00B263A4"/>
    <w:rsid w:val="00B2646A"/>
    <w:rsid w:val="00B264F4"/>
    <w:rsid w:val="00B2691D"/>
    <w:rsid w:val="00B269C7"/>
    <w:rsid w:val="00B26D99"/>
    <w:rsid w:val="00B27281"/>
    <w:rsid w:val="00B279DF"/>
    <w:rsid w:val="00B27CEE"/>
    <w:rsid w:val="00B27D99"/>
    <w:rsid w:val="00B27EEE"/>
    <w:rsid w:val="00B30438"/>
    <w:rsid w:val="00B30533"/>
    <w:rsid w:val="00B30545"/>
    <w:rsid w:val="00B307D2"/>
    <w:rsid w:val="00B308E1"/>
    <w:rsid w:val="00B308E8"/>
    <w:rsid w:val="00B311E5"/>
    <w:rsid w:val="00B312EB"/>
    <w:rsid w:val="00B31665"/>
    <w:rsid w:val="00B32222"/>
    <w:rsid w:val="00B3256D"/>
    <w:rsid w:val="00B3269E"/>
    <w:rsid w:val="00B330D3"/>
    <w:rsid w:val="00B33446"/>
    <w:rsid w:val="00B33A0D"/>
    <w:rsid w:val="00B3410B"/>
    <w:rsid w:val="00B3498F"/>
    <w:rsid w:val="00B35579"/>
    <w:rsid w:val="00B3575D"/>
    <w:rsid w:val="00B35C8E"/>
    <w:rsid w:val="00B35FE5"/>
    <w:rsid w:val="00B36CB6"/>
    <w:rsid w:val="00B37774"/>
    <w:rsid w:val="00B37792"/>
    <w:rsid w:val="00B37F00"/>
    <w:rsid w:val="00B37FF0"/>
    <w:rsid w:val="00B4023C"/>
    <w:rsid w:val="00B4044C"/>
    <w:rsid w:val="00B404F7"/>
    <w:rsid w:val="00B4083E"/>
    <w:rsid w:val="00B408EE"/>
    <w:rsid w:val="00B409BE"/>
    <w:rsid w:val="00B41772"/>
    <w:rsid w:val="00B421BC"/>
    <w:rsid w:val="00B42FD1"/>
    <w:rsid w:val="00B42FEA"/>
    <w:rsid w:val="00B43BCC"/>
    <w:rsid w:val="00B4473A"/>
    <w:rsid w:val="00B44AA1"/>
    <w:rsid w:val="00B45244"/>
    <w:rsid w:val="00B4525E"/>
    <w:rsid w:val="00B453E8"/>
    <w:rsid w:val="00B45651"/>
    <w:rsid w:val="00B45E88"/>
    <w:rsid w:val="00B468D7"/>
    <w:rsid w:val="00B469B0"/>
    <w:rsid w:val="00B46E69"/>
    <w:rsid w:val="00B46F15"/>
    <w:rsid w:val="00B4710B"/>
    <w:rsid w:val="00B4761C"/>
    <w:rsid w:val="00B47D4E"/>
    <w:rsid w:val="00B506C4"/>
    <w:rsid w:val="00B509D8"/>
    <w:rsid w:val="00B50DE8"/>
    <w:rsid w:val="00B51B15"/>
    <w:rsid w:val="00B51D8C"/>
    <w:rsid w:val="00B51FE2"/>
    <w:rsid w:val="00B52118"/>
    <w:rsid w:val="00B52203"/>
    <w:rsid w:val="00B524F8"/>
    <w:rsid w:val="00B529B6"/>
    <w:rsid w:val="00B529CF"/>
    <w:rsid w:val="00B52B1D"/>
    <w:rsid w:val="00B52D6B"/>
    <w:rsid w:val="00B52FF4"/>
    <w:rsid w:val="00B530DE"/>
    <w:rsid w:val="00B53237"/>
    <w:rsid w:val="00B5328B"/>
    <w:rsid w:val="00B532BA"/>
    <w:rsid w:val="00B53B1A"/>
    <w:rsid w:val="00B53DC5"/>
    <w:rsid w:val="00B53FC2"/>
    <w:rsid w:val="00B5455E"/>
    <w:rsid w:val="00B54A0D"/>
    <w:rsid w:val="00B54CAF"/>
    <w:rsid w:val="00B54F70"/>
    <w:rsid w:val="00B5517A"/>
    <w:rsid w:val="00B554E3"/>
    <w:rsid w:val="00B55C96"/>
    <w:rsid w:val="00B55C99"/>
    <w:rsid w:val="00B55DEC"/>
    <w:rsid w:val="00B5657D"/>
    <w:rsid w:val="00B565E3"/>
    <w:rsid w:val="00B567FC"/>
    <w:rsid w:val="00B56986"/>
    <w:rsid w:val="00B56D85"/>
    <w:rsid w:val="00B56D8E"/>
    <w:rsid w:val="00B56F94"/>
    <w:rsid w:val="00B5769F"/>
    <w:rsid w:val="00B57D82"/>
    <w:rsid w:val="00B6002E"/>
    <w:rsid w:val="00B600B2"/>
    <w:rsid w:val="00B605E0"/>
    <w:rsid w:val="00B607C4"/>
    <w:rsid w:val="00B60BFC"/>
    <w:rsid w:val="00B60D38"/>
    <w:rsid w:val="00B60D3C"/>
    <w:rsid w:val="00B60F4F"/>
    <w:rsid w:val="00B61625"/>
    <w:rsid w:val="00B61678"/>
    <w:rsid w:val="00B6176F"/>
    <w:rsid w:val="00B61B26"/>
    <w:rsid w:val="00B61CAB"/>
    <w:rsid w:val="00B61DE6"/>
    <w:rsid w:val="00B61EBA"/>
    <w:rsid w:val="00B61EC1"/>
    <w:rsid w:val="00B620F4"/>
    <w:rsid w:val="00B62549"/>
    <w:rsid w:val="00B6285F"/>
    <w:rsid w:val="00B62A26"/>
    <w:rsid w:val="00B62C46"/>
    <w:rsid w:val="00B62CD2"/>
    <w:rsid w:val="00B63055"/>
    <w:rsid w:val="00B63346"/>
    <w:rsid w:val="00B633CB"/>
    <w:rsid w:val="00B6354C"/>
    <w:rsid w:val="00B63829"/>
    <w:rsid w:val="00B63CF1"/>
    <w:rsid w:val="00B63E55"/>
    <w:rsid w:val="00B64050"/>
    <w:rsid w:val="00B6434A"/>
    <w:rsid w:val="00B64605"/>
    <w:rsid w:val="00B646EB"/>
    <w:rsid w:val="00B649F5"/>
    <w:rsid w:val="00B64B51"/>
    <w:rsid w:val="00B64D78"/>
    <w:rsid w:val="00B64E49"/>
    <w:rsid w:val="00B64E9B"/>
    <w:rsid w:val="00B64FB0"/>
    <w:rsid w:val="00B6512C"/>
    <w:rsid w:val="00B652F2"/>
    <w:rsid w:val="00B6587A"/>
    <w:rsid w:val="00B65C73"/>
    <w:rsid w:val="00B660C2"/>
    <w:rsid w:val="00B662B0"/>
    <w:rsid w:val="00B664D8"/>
    <w:rsid w:val="00B6692C"/>
    <w:rsid w:val="00B669BB"/>
    <w:rsid w:val="00B669ED"/>
    <w:rsid w:val="00B66D51"/>
    <w:rsid w:val="00B673EC"/>
    <w:rsid w:val="00B67A31"/>
    <w:rsid w:val="00B67A59"/>
    <w:rsid w:val="00B67CFB"/>
    <w:rsid w:val="00B67E40"/>
    <w:rsid w:val="00B67F51"/>
    <w:rsid w:val="00B7041B"/>
    <w:rsid w:val="00B705DD"/>
    <w:rsid w:val="00B708A8"/>
    <w:rsid w:val="00B70A20"/>
    <w:rsid w:val="00B70E3E"/>
    <w:rsid w:val="00B7161B"/>
    <w:rsid w:val="00B71D39"/>
    <w:rsid w:val="00B72071"/>
    <w:rsid w:val="00B7212A"/>
    <w:rsid w:val="00B72598"/>
    <w:rsid w:val="00B725E1"/>
    <w:rsid w:val="00B726C8"/>
    <w:rsid w:val="00B72816"/>
    <w:rsid w:val="00B72961"/>
    <w:rsid w:val="00B72BE3"/>
    <w:rsid w:val="00B735DF"/>
    <w:rsid w:val="00B73929"/>
    <w:rsid w:val="00B73A17"/>
    <w:rsid w:val="00B73E82"/>
    <w:rsid w:val="00B73EF5"/>
    <w:rsid w:val="00B743A6"/>
    <w:rsid w:val="00B744D0"/>
    <w:rsid w:val="00B7497D"/>
    <w:rsid w:val="00B74BFA"/>
    <w:rsid w:val="00B74C54"/>
    <w:rsid w:val="00B74F1F"/>
    <w:rsid w:val="00B75118"/>
    <w:rsid w:val="00B75334"/>
    <w:rsid w:val="00B753AF"/>
    <w:rsid w:val="00B753DD"/>
    <w:rsid w:val="00B75487"/>
    <w:rsid w:val="00B75BA8"/>
    <w:rsid w:val="00B75FA2"/>
    <w:rsid w:val="00B761DA"/>
    <w:rsid w:val="00B76247"/>
    <w:rsid w:val="00B76831"/>
    <w:rsid w:val="00B76B13"/>
    <w:rsid w:val="00B76DF1"/>
    <w:rsid w:val="00B76F1C"/>
    <w:rsid w:val="00B80033"/>
    <w:rsid w:val="00B80358"/>
    <w:rsid w:val="00B805A9"/>
    <w:rsid w:val="00B80B30"/>
    <w:rsid w:val="00B80B32"/>
    <w:rsid w:val="00B81610"/>
    <w:rsid w:val="00B8163F"/>
    <w:rsid w:val="00B817D3"/>
    <w:rsid w:val="00B817F8"/>
    <w:rsid w:val="00B818E3"/>
    <w:rsid w:val="00B81933"/>
    <w:rsid w:val="00B81977"/>
    <w:rsid w:val="00B81AE4"/>
    <w:rsid w:val="00B81C41"/>
    <w:rsid w:val="00B81F1D"/>
    <w:rsid w:val="00B822B7"/>
    <w:rsid w:val="00B8236A"/>
    <w:rsid w:val="00B8240F"/>
    <w:rsid w:val="00B824E2"/>
    <w:rsid w:val="00B8396F"/>
    <w:rsid w:val="00B83AC7"/>
    <w:rsid w:val="00B840C7"/>
    <w:rsid w:val="00B84A8E"/>
    <w:rsid w:val="00B84BB9"/>
    <w:rsid w:val="00B85460"/>
    <w:rsid w:val="00B855A9"/>
    <w:rsid w:val="00B8589F"/>
    <w:rsid w:val="00B85994"/>
    <w:rsid w:val="00B86160"/>
    <w:rsid w:val="00B86715"/>
    <w:rsid w:val="00B868A6"/>
    <w:rsid w:val="00B86FFD"/>
    <w:rsid w:val="00B87077"/>
    <w:rsid w:val="00B871F0"/>
    <w:rsid w:val="00B87774"/>
    <w:rsid w:val="00B879C7"/>
    <w:rsid w:val="00B87C0B"/>
    <w:rsid w:val="00B87C7E"/>
    <w:rsid w:val="00B87EA5"/>
    <w:rsid w:val="00B901BE"/>
    <w:rsid w:val="00B9045F"/>
    <w:rsid w:val="00B9059B"/>
    <w:rsid w:val="00B91171"/>
    <w:rsid w:val="00B9154B"/>
    <w:rsid w:val="00B917BD"/>
    <w:rsid w:val="00B91833"/>
    <w:rsid w:val="00B91B39"/>
    <w:rsid w:val="00B91CED"/>
    <w:rsid w:val="00B92064"/>
    <w:rsid w:val="00B921F9"/>
    <w:rsid w:val="00B9284B"/>
    <w:rsid w:val="00B92C81"/>
    <w:rsid w:val="00B92CFE"/>
    <w:rsid w:val="00B92D7E"/>
    <w:rsid w:val="00B93B59"/>
    <w:rsid w:val="00B93FFF"/>
    <w:rsid w:val="00B94AA9"/>
    <w:rsid w:val="00B94B24"/>
    <w:rsid w:val="00B95032"/>
    <w:rsid w:val="00B9509E"/>
    <w:rsid w:val="00B952A9"/>
    <w:rsid w:val="00B952C7"/>
    <w:rsid w:val="00B95A82"/>
    <w:rsid w:val="00B95C94"/>
    <w:rsid w:val="00B9618C"/>
    <w:rsid w:val="00B96477"/>
    <w:rsid w:val="00B964E0"/>
    <w:rsid w:val="00B965C3"/>
    <w:rsid w:val="00B9660F"/>
    <w:rsid w:val="00B96771"/>
    <w:rsid w:val="00B96E46"/>
    <w:rsid w:val="00B97259"/>
    <w:rsid w:val="00B973A3"/>
    <w:rsid w:val="00B975CD"/>
    <w:rsid w:val="00B97614"/>
    <w:rsid w:val="00B97C75"/>
    <w:rsid w:val="00BA003C"/>
    <w:rsid w:val="00BA0458"/>
    <w:rsid w:val="00BA04F9"/>
    <w:rsid w:val="00BA06C7"/>
    <w:rsid w:val="00BA06F8"/>
    <w:rsid w:val="00BA0E9A"/>
    <w:rsid w:val="00BA1278"/>
    <w:rsid w:val="00BA1E96"/>
    <w:rsid w:val="00BA1EFB"/>
    <w:rsid w:val="00BA245F"/>
    <w:rsid w:val="00BA25DF"/>
    <w:rsid w:val="00BA2A13"/>
    <w:rsid w:val="00BA2C82"/>
    <w:rsid w:val="00BA31A4"/>
    <w:rsid w:val="00BA33A4"/>
    <w:rsid w:val="00BA36F3"/>
    <w:rsid w:val="00BA397F"/>
    <w:rsid w:val="00BA3BDE"/>
    <w:rsid w:val="00BA3EA9"/>
    <w:rsid w:val="00BA424E"/>
    <w:rsid w:val="00BA42D4"/>
    <w:rsid w:val="00BA483D"/>
    <w:rsid w:val="00BA48D7"/>
    <w:rsid w:val="00BA4B11"/>
    <w:rsid w:val="00BA4CBD"/>
    <w:rsid w:val="00BA4E54"/>
    <w:rsid w:val="00BA527B"/>
    <w:rsid w:val="00BA53E7"/>
    <w:rsid w:val="00BA5902"/>
    <w:rsid w:val="00BA6037"/>
    <w:rsid w:val="00BA618C"/>
    <w:rsid w:val="00BA6386"/>
    <w:rsid w:val="00BA6634"/>
    <w:rsid w:val="00BA6841"/>
    <w:rsid w:val="00BA6AE6"/>
    <w:rsid w:val="00BA769B"/>
    <w:rsid w:val="00BA78B7"/>
    <w:rsid w:val="00BA7C0E"/>
    <w:rsid w:val="00BA7C82"/>
    <w:rsid w:val="00BA7DF1"/>
    <w:rsid w:val="00BA7F5A"/>
    <w:rsid w:val="00BB0384"/>
    <w:rsid w:val="00BB0418"/>
    <w:rsid w:val="00BB0662"/>
    <w:rsid w:val="00BB0748"/>
    <w:rsid w:val="00BB0A20"/>
    <w:rsid w:val="00BB0B7F"/>
    <w:rsid w:val="00BB175E"/>
    <w:rsid w:val="00BB17E0"/>
    <w:rsid w:val="00BB19C8"/>
    <w:rsid w:val="00BB1EBF"/>
    <w:rsid w:val="00BB1FD5"/>
    <w:rsid w:val="00BB25CC"/>
    <w:rsid w:val="00BB29EA"/>
    <w:rsid w:val="00BB2D3A"/>
    <w:rsid w:val="00BB2E44"/>
    <w:rsid w:val="00BB3361"/>
    <w:rsid w:val="00BB3373"/>
    <w:rsid w:val="00BB3889"/>
    <w:rsid w:val="00BB3C5E"/>
    <w:rsid w:val="00BB3F6A"/>
    <w:rsid w:val="00BB425D"/>
    <w:rsid w:val="00BB4358"/>
    <w:rsid w:val="00BB43F6"/>
    <w:rsid w:val="00BB46D1"/>
    <w:rsid w:val="00BB480C"/>
    <w:rsid w:val="00BB4946"/>
    <w:rsid w:val="00BB4EFC"/>
    <w:rsid w:val="00BB513F"/>
    <w:rsid w:val="00BB58EF"/>
    <w:rsid w:val="00BB595C"/>
    <w:rsid w:val="00BB5AE2"/>
    <w:rsid w:val="00BB5E71"/>
    <w:rsid w:val="00BB6D5B"/>
    <w:rsid w:val="00BB74A2"/>
    <w:rsid w:val="00BB75B9"/>
    <w:rsid w:val="00BB7765"/>
    <w:rsid w:val="00BB7898"/>
    <w:rsid w:val="00BB7FAB"/>
    <w:rsid w:val="00BC0665"/>
    <w:rsid w:val="00BC0696"/>
    <w:rsid w:val="00BC0806"/>
    <w:rsid w:val="00BC0904"/>
    <w:rsid w:val="00BC09FE"/>
    <w:rsid w:val="00BC0AFA"/>
    <w:rsid w:val="00BC11C4"/>
    <w:rsid w:val="00BC131C"/>
    <w:rsid w:val="00BC1A14"/>
    <w:rsid w:val="00BC2087"/>
    <w:rsid w:val="00BC237C"/>
    <w:rsid w:val="00BC24C2"/>
    <w:rsid w:val="00BC277A"/>
    <w:rsid w:val="00BC2C8A"/>
    <w:rsid w:val="00BC2E5F"/>
    <w:rsid w:val="00BC3251"/>
    <w:rsid w:val="00BC33D1"/>
    <w:rsid w:val="00BC35A1"/>
    <w:rsid w:val="00BC361F"/>
    <w:rsid w:val="00BC388E"/>
    <w:rsid w:val="00BC3C83"/>
    <w:rsid w:val="00BC3DE3"/>
    <w:rsid w:val="00BC4029"/>
    <w:rsid w:val="00BC4084"/>
    <w:rsid w:val="00BC4874"/>
    <w:rsid w:val="00BC56B4"/>
    <w:rsid w:val="00BC591B"/>
    <w:rsid w:val="00BC5AAA"/>
    <w:rsid w:val="00BC6044"/>
    <w:rsid w:val="00BC61BC"/>
    <w:rsid w:val="00BC628C"/>
    <w:rsid w:val="00BC6640"/>
    <w:rsid w:val="00BC6AC5"/>
    <w:rsid w:val="00BC6BC7"/>
    <w:rsid w:val="00BC6C4F"/>
    <w:rsid w:val="00BC705E"/>
    <w:rsid w:val="00BC742B"/>
    <w:rsid w:val="00BC788D"/>
    <w:rsid w:val="00BC7918"/>
    <w:rsid w:val="00BC7E6F"/>
    <w:rsid w:val="00BD0281"/>
    <w:rsid w:val="00BD0783"/>
    <w:rsid w:val="00BD07F4"/>
    <w:rsid w:val="00BD0AD3"/>
    <w:rsid w:val="00BD0AFC"/>
    <w:rsid w:val="00BD0E32"/>
    <w:rsid w:val="00BD0FF0"/>
    <w:rsid w:val="00BD1188"/>
    <w:rsid w:val="00BD1263"/>
    <w:rsid w:val="00BD12FB"/>
    <w:rsid w:val="00BD193B"/>
    <w:rsid w:val="00BD2972"/>
    <w:rsid w:val="00BD2C0D"/>
    <w:rsid w:val="00BD3332"/>
    <w:rsid w:val="00BD3B95"/>
    <w:rsid w:val="00BD3F5B"/>
    <w:rsid w:val="00BD4838"/>
    <w:rsid w:val="00BD53D3"/>
    <w:rsid w:val="00BD5ACF"/>
    <w:rsid w:val="00BD5D14"/>
    <w:rsid w:val="00BD619C"/>
    <w:rsid w:val="00BD63EF"/>
    <w:rsid w:val="00BD6EB5"/>
    <w:rsid w:val="00BD7181"/>
    <w:rsid w:val="00BD7237"/>
    <w:rsid w:val="00BD79B2"/>
    <w:rsid w:val="00BD79EC"/>
    <w:rsid w:val="00BD79FB"/>
    <w:rsid w:val="00BE055C"/>
    <w:rsid w:val="00BE07C7"/>
    <w:rsid w:val="00BE0A84"/>
    <w:rsid w:val="00BE0B59"/>
    <w:rsid w:val="00BE0E6E"/>
    <w:rsid w:val="00BE1512"/>
    <w:rsid w:val="00BE1A90"/>
    <w:rsid w:val="00BE1C0D"/>
    <w:rsid w:val="00BE1E46"/>
    <w:rsid w:val="00BE1FA5"/>
    <w:rsid w:val="00BE2346"/>
    <w:rsid w:val="00BE23B0"/>
    <w:rsid w:val="00BE28B7"/>
    <w:rsid w:val="00BE28FE"/>
    <w:rsid w:val="00BE324D"/>
    <w:rsid w:val="00BE3374"/>
    <w:rsid w:val="00BE362A"/>
    <w:rsid w:val="00BE3C0F"/>
    <w:rsid w:val="00BE3C39"/>
    <w:rsid w:val="00BE3CE6"/>
    <w:rsid w:val="00BE4030"/>
    <w:rsid w:val="00BE419C"/>
    <w:rsid w:val="00BE48DC"/>
    <w:rsid w:val="00BE4AD1"/>
    <w:rsid w:val="00BE4C77"/>
    <w:rsid w:val="00BE4DCE"/>
    <w:rsid w:val="00BE4EF4"/>
    <w:rsid w:val="00BE51F5"/>
    <w:rsid w:val="00BE5264"/>
    <w:rsid w:val="00BE530C"/>
    <w:rsid w:val="00BE54B1"/>
    <w:rsid w:val="00BE54EB"/>
    <w:rsid w:val="00BE5701"/>
    <w:rsid w:val="00BE5895"/>
    <w:rsid w:val="00BE625E"/>
    <w:rsid w:val="00BE628A"/>
    <w:rsid w:val="00BE6E28"/>
    <w:rsid w:val="00BE7843"/>
    <w:rsid w:val="00BE7992"/>
    <w:rsid w:val="00BE7E89"/>
    <w:rsid w:val="00BF0081"/>
    <w:rsid w:val="00BF05B6"/>
    <w:rsid w:val="00BF0806"/>
    <w:rsid w:val="00BF0DDE"/>
    <w:rsid w:val="00BF0E99"/>
    <w:rsid w:val="00BF1138"/>
    <w:rsid w:val="00BF182C"/>
    <w:rsid w:val="00BF1C10"/>
    <w:rsid w:val="00BF1C32"/>
    <w:rsid w:val="00BF1D2D"/>
    <w:rsid w:val="00BF23D9"/>
    <w:rsid w:val="00BF24AC"/>
    <w:rsid w:val="00BF26C1"/>
    <w:rsid w:val="00BF275D"/>
    <w:rsid w:val="00BF29D3"/>
    <w:rsid w:val="00BF2C39"/>
    <w:rsid w:val="00BF2FAA"/>
    <w:rsid w:val="00BF319C"/>
    <w:rsid w:val="00BF3BC5"/>
    <w:rsid w:val="00BF3C62"/>
    <w:rsid w:val="00BF4070"/>
    <w:rsid w:val="00BF4349"/>
    <w:rsid w:val="00BF446E"/>
    <w:rsid w:val="00BF4A59"/>
    <w:rsid w:val="00BF4B20"/>
    <w:rsid w:val="00BF4FC8"/>
    <w:rsid w:val="00BF5022"/>
    <w:rsid w:val="00BF57CB"/>
    <w:rsid w:val="00BF5D9D"/>
    <w:rsid w:val="00BF5DF9"/>
    <w:rsid w:val="00BF61E9"/>
    <w:rsid w:val="00BF6300"/>
    <w:rsid w:val="00BF63DD"/>
    <w:rsid w:val="00BF64A3"/>
    <w:rsid w:val="00BF66BB"/>
    <w:rsid w:val="00BF677D"/>
    <w:rsid w:val="00BF6830"/>
    <w:rsid w:val="00BF6BD8"/>
    <w:rsid w:val="00BF7302"/>
    <w:rsid w:val="00BF7874"/>
    <w:rsid w:val="00BF7A43"/>
    <w:rsid w:val="00BF7A60"/>
    <w:rsid w:val="00BF7EF0"/>
    <w:rsid w:val="00C003E4"/>
    <w:rsid w:val="00C00421"/>
    <w:rsid w:val="00C00DFA"/>
    <w:rsid w:val="00C0111A"/>
    <w:rsid w:val="00C01467"/>
    <w:rsid w:val="00C01B3D"/>
    <w:rsid w:val="00C01F0D"/>
    <w:rsid w:val="00C02711"/>
    <w:rsid w:val="00C02A51"/>
    <w:rsid w:val="00C02CB9"/>
    <w:rsid w:val="00C02D48"/>
    <w:rsid w:val="00C030E7"/>
    <w:rsid w:val="00C0328F"/>
    <w:rsid w:val="00C03343"/>
    <w:rsid w:val="00C0385F"/>
    <w:rsid w:val="00C03D3C"/>
    <w:rsid w:val="00C03D66"/>
    <w:rsid w:val="00C04005"/>
    <w:rsid w:val="00C043BC"/>
    <w:rsid w:val="00C045E0"/>
    <w:rsid w:val="00C049ED"/>
    <w:rsid w:val="00C04B43"/>
    <w:rsid w:val="00C04BC5"/>
    <w:rsid w:val="00C04FA3"/>
    <w:rsid w:val="00C05831"/>
    <w:rsid w:val="00C05B9F"/>
    <w:rsid w:val="00C06207"/>
    <w:rsid w:val="00C063EA"/>
    <w:rsid w:val="00C06537"/>
    <w:rsid w:val="00C0656B"/>
    <w:rsid w:val="00C065D7"/>
    <w:rsid w:val="00C06BE2"/>
    <w:rsid w:val="00C06CE7"/>
    <w:rsid w:val="00C06D8B"/>
    <w:rsid w:val="00C06DD5"/>
    <w:rsid w:val="00C06E89"/>
    <w:rsid w:val="00C06F1E"/>
    <w:rsid w:val="00C07113"/>
    <w:rsid w:val="00C07243"/>
    <w:rsid w:val="00C07971"/>
    <w:rsid w:val="00C10064"/>
    <w:rsid w:val="00C101F8"/>
    <w:rsid w:val="00C10526"/>
    <w:rsid w:val="00C106B7"/>
    <w:rsid w:val="00C10AF4"/>
    <w:rsid w:val="00C10AFD"/>
    <w:rsid w:val="00C10B3C"/>
    <w:rsid w:val="00C10B78"/>
    <w:rsid w:val="00C10B84"/>
    <w:rsid w:val="00C10CC1"/>
    <w:rsid w:val="00C10D4E"/>
    <w:rsid w:val="00C1105F"/>
    <w:rsid w:val="00C11328"/>
    <w:rsid w:val="00C11360"/>
    <w:rsid w:val="00C11870"/>
    <w:rsid w:val="00C11A15"/>
    <w:rsid w:val="00C11C64"/>
    <w:rsid w:val="00C12F87"/>
    <w:rsid w:val="00C13474"/>
    <w:rsid w:val="00C1369B"/>
    <w:rsid w:val="00C13C0F"/>
    <w:rsid w:val="00C146A7"/>
    <w:rsid w:val="00C148EE"/>
    <w:rsid w:val="00C14F80"/>
    <w:rsid w:val="00C15578"/>
    <w:rsid w:val="00C15D45"/>
    <w:rsid w:val="00C163B0"/>
    <w:rsid w:val="00C16636"/>
    <w:rsid w:val="00C16F11"/>
    <w:rsid w:val="00C16F4C"/>
    <w:rsid w:val="00C179A2"/>
    <w:rsid w:val="00C17A45"/>
    <w:rsid w:val="00C17D7B"/>
    <w:rsid w:val="00C17E5B"/>
    <w:rsid w:val="00C20121"/>
    <w:rsid w:val="00C2021E"/>
    <w:rsid w:val="00C20426"/>
    <w:rsid w:val="00C20609"/>
    <w:rsid w:val="00C20BDE"/>
    <w:rsid w:val="00C20D31"/>
    <w:rsid w:val="00C20D5D"/>
    <w:rsid w:val="00C20DCA"/>
    <w:rsid w:val="00C213E1"/>
    <w:rsid w:val="00C21D60"/>
    <w:rsid w:val="00C22069"/>
    <w:rsid w:val="00C22403"/>
    <w:rsid w:val="00C22637"/>
    <w:rsid w:val="00C22975"/>
    <w:rsid w:val="00C22D1F"/>
    <w:rsid w:val="00C22F02"/>
    <w:rsid w:val="00C2318D"/>
    <w:rsid w:val="00C23463"/>
    <w:rsid w:val="00C23813"/>
    <w:rsid w:val="00C23C4B"/>
    <w:rsid w:val="00C23D28"/>
    <w:rsid w:val="00C24910"/>
    <w:rsid w:val="00C24B83"/>
    <w:rsid w:val="00C24F65"/>
    <w:rsid w:val="00C2605D"/>
    <w:rsid w:val="00C26427"/>
    <w:rsid w:val="00C26792"/>
    <w:rsid w:val="00C269BE"/>
    <w:rsid w:val="00C2754B"/>
    <w:rsid w:val="00C27BEF"/>
    <w:rsid w:val="00C3039B"/>
    <w:rsid w:val="00C30C5F"/>
    <w:rsid w:val="00C3144C"/>
    <w:rsid w:val="00C319E8"/>
    <w:rsid w:val="00C31B2E"/>
    <w:rsid w:val="00C31B37"/>
    <w:rsid w:val="00C32140"/>
    <w:rsid w:val="00C321B7"/>
    <w:rsid w:val="00C32237"/>
    <w:rsid w:val="00C328F8"/>
    <w:rsid w:val="00C32A88"/>
    <w:rsid w:val="00C330D0"/>
    <w:rsid w:val="00C33437"/>
    <w:rsid w:val="00C334A2"/>
    <w:rsid w:val="00C33564"/>
    <w:rsid w:val="00C33743"/>
    <w:rsid w:val="00C33CBD"/>
    <w:rsid w:val="00C34218"/>
    <w:rsid w:val="00C34772"/>
    <w:rsid w:val="00C34B46"/>
    <w:rsid w:val="00C34CD6"/>
    <w:rsid w:val="00C34E88"/>
    <w:rsid w:val="00C35180"/>
    <w:rsid w:val="00C352C1"/>
    <w:rsid w:val="00C3538B"/>
    <w:rsid w:val="00C35537"/>
    <w:rsid w:val="00C35551"/>
    <w:rsid w:val="00C35670"/>
    <w:rsid w:val="00C36814"/>
    <w:rsid w:val="00C36DAD"/>
    <w:rsid w:val="00C378F3"/>
    <w:rsid w:val="00C37996"/>
    <w:rsid w:val="00C37BEB"/>
    <w:rsid w:val="00C37E47"/>
    <w:rsid w:val="00C37F30"/>
    <w:rsid w:val="00C40064"/>
    <w:rsid w:val="00C4052A"/>
    <w:rsid w:val="00C40548"/>
    <w:rsid w:val="00C40917"/>
    <w:rsid w:val="00C40928"/>
    <w:rsid w:val="00C4149F"/>
    <w:rsid w:val="00C417B4"/>
    <w:rsid w:val="00C41A00"/>
    <w:rsid w:val="00C41B66"/>
    <w:rsid w:val="00C42769"/>
    <w:rsid w:val="00C429B3"/>
    <w:rsid w:val="00C42A32"/>
    <w:rsid w:val="00C42EC4"/>
    <w:rsid w:val="00C4332C"/>
    <w:rsid w:val="00C43358"/>
    <w:rsid w:val="00C43445"/>
    <w:rsid w:val="00C4354D"/>
    <w:rsid w:val="00C43595"/>
    <w:rsid w:val="00C4377F"/>
    <w:rsid w:val="00C43AE1"/>
    <w:rsid w:val="00C43C74"/>
    <w:rsid w:val="00C43D09"/>
    <w:rsid w:val="00C4420D"/>
    <w:rsid w:val="00C447D8"/>
    <w:rsid w:val="00C448FA"/>
    <w:rsid w:val="00C44ACF"/>
    <w:rsid w:val="00C44B33"/>
    <w:rsid w:val="00C4504A"/>
    <w:rsid w:val="00C459A3"/>
    <w:rsid w:val="00C45C70"/>
    <w:rsid w:val="00C45FE5"/>
    <w:rsid w:val="00C45FF4"/>
    <w:rsid w:val="00C460EB"/>
    <w:rsid w:val="00C46406"/>
    <w:rsid w:val="00C4656D"/>
    <w:rsid w:val="00C465F7"/>
    <w:rsid w:val="00C46E92"/>
    <w:rsid w:val="00C4706C"/>
    <w:rsid w:val="00C47678"/>
    <w:rsid w:val="00C47DC6"/>
    <w:rsid w:val="00C47F70"/>
    <w:rsid w:val="00C5011A"/>
    <w:rsid w:val="00C5036F"/>
    <w:rsid w:val="00C5039C"/>
    <w:rsid w:val="00C503A2"/>
    <w:rsid w:val="00C50D2F"/>
    <w:rsid w:val="00C50FE3"/>
    <w:rsid w:val="00C51258"/>
    <w:rsid w:val="00C51272"/>
    <w:rsid w:val="00C512E2"/>
    <w:rsid w:val="00C514DD"/>
    <w:rsid w:val="00C51786"/>
    <w:rsid w:val="00C519CC"/>
    <w:rsid w:val="00C51C4C"/>
    <w:rsid w:val="00C51E8B"/>
    <w:rsid w:val="00C52034"/>
    <w:rsid w:val="00C52222"/>
    <w:rsid w:val="00C52475"/>
    <w:rsid w:val="00C52B5E"/>
    <w:rsid w:val="00C53DA4"/>
    <w:rsid w:val="00C54AD9"/>
    <w:rsid w:val="00C54BF8"/>
    <w:rsid w:val="00C54E16"/>
    <w:rsid w:val="00C54FC1"/>
    <w:rsid w:val="00C5512F"/>
    <w:rsid w:val="00C55643"/>
    <w:rsid w:val="00C55DA3"/>
    <w:rsid w:val="00C55E88"/>
    <w:rsid w:val="00C55F9C"/>
    <w:rsid w:val="00C56356"/>
    <w:rsid w:val="00C564CA"/>
    <w:rsid w:val="00C5659D"/>
    <w:rsid w:val="00C56818"/>
    <w:rsid w:val="00C56E26"/>
    <w:rsid w:val="00C56EAF"/>
    <w:rsid w:val="00C57A5D"/>
    <w:rsid w:val="00C57C2F"/>
    <w:rsid w:val="00C57FA1"/>
    <w:rsid w:val="00C60797"/>
    <w:rsid w:val="00C60A2D"/>
    <w:rsid w:val="00C60E01"/>
    <w:rsid w:val="00C60ED8"/>
    <w:rsid w:val="00C610CF"/>
    <w:rsid w:val="00C611E5"/>
    <w:rsid w:val="00C613FF"/>
    <w:rsid w:val="00C616DD"/>
    <w:rsid w:val="00C61748"/>
    <w:rsid w:val="00C61D82"/>
    <w:rsid w:val="00C626FE"/>
    <w:rsid w:val="00C62776"/>
    <w:rsid w:val="00C62A90"/>
    <w:rsid w:val="00C62EEC"/>
    <w:rsid w:val="00C62FD1"/>
    <w:rsid w:val="00C63182"/>
    <w:rsid w:val="00C635FC"/>
    <w:rsid w:val="00C63847"/>
    <w:rsid w:val="00C6392D"/>
    <w:rsid w:val="00C63A94"/>
    <w:rsid w:val="00C63C97"/>
    <w:rsid w:val="00C63CB4"/>
    <w:rsid w:val="00C640D1"/>
    <w:rsid w:val="00C644B0"/>
    <w:rsid w:val="00C6479D"/>
    <w:rsid w:val="00C64B6C"/>
    <w:rsid w:val="00C64BAC"/>
    <w:rsid w:val="00C64D30"/>
    <w:rsid w:val="00C6593B"/>
    <w:rsid w:val="00C65C5C"/>
    <w:rsid w:val="00C65F23"/>
    <w:rsid w:val="00C65F6E"/>
    <w:rsid w:val="00C660B2"/>
    <w:rsid w:val="00C66433"/>
    <w:rsid w:val="00C6643D"/>
    <w:rsid w:val="00C66582"/>
    <w:rsid w:val="00C66738"/>
    <w:rsid w:val="00C66BB8"/>
    <w:rsid w:val="00C66C00"/>
    <w:rsid w:val="00C66C5C"/>
    <w:rsid w:val="00C67011"/>
    <w:rsid w:val="00C67044"/>
    <w:rsid w:val="00C672AD"/>
    <w:rsid w:val="00C675BE"/>
    <w:rsid w:val="00C676B0"/>
    <w:rsid w:val="00C67CEE"/>
    <w:rsid w:val="00C67F69"/>
    <w:rsid w:val="00C70464"/>
    <w:rsid w:val="00C705EE"/>
    <w:rsid w:val="00C706EA"/>
    <w:rsid w:val="00C7098F"/>
    <w:rsid w:val="00C70BDC"/>
    <w:rsid w:val="00C712B1"/>
    <w:rsid w:val="00C71AB0"/>
    <w:rsid w:val="00C71D8B"/>
    <w:rsid w:val="00C722C9"/>
    <w:rsid w:val="00C72440"/>
    <w:rsid w:val="00C7283C"/>
    <w:rsid w:val="00C72A7E"/>
    <w:rsid w:val="00C72A8D"/>
    <w:rsid w:val="00C72B1D"/>
    <w:rsid w:val="00C72C44"/>
    <w:rsid w:val="00C72D15"/>
    <w:rsid w:val="00C72DF3"/>
    <w:rsid w:val="00C72E86"/>
    <w:rsid w:val="00C73140"/>
    <w:rsid w:val="00C73269"/>
    <w:rsid w:val="00C735DB"/>
    <w:rsid w:val="00C73B93"/>
    <w:rsid w:val="00C73D0F"/>
    <w:rsid w:val="00C73F8C"/>
    <w:rsid w:val="00C7400D"/>
    <w:rsid w:val="00C74045"/>
    <w:rsid w:val="00C74069"/>
    <w:rsid w:val="00C74343"/>
    <w:rsid w:val="00C7457E"/>
    <w:rsid w:val="00C74B4C"/>
    <w:rsid w:val="00C75227"/>
    <w:rsid w:val="00C75A59"/>
    <w:rsid w:val="00C7682B"/>
    <w:rsid w:val="00C768B9"/>
    <w:rsid w:val="00C76968"/>
    <w:rsid w:val="00C76C09"/>
    <w:rsid w:val="00C76ECA"/>
    <w:rsid w:val="00C77053"/>
    <w:rsid w:val="00C7717D"/>
    <w:rsid w:val="00C774FC"/>
    <w:rsid w:val="00C80037"/>
    <w:rsid w:val="00C8088D"/>
    <w:rsid w:val="00C80DFC"/>
    <w:rsid w:val="00C8141B"/>
    <w:rsid w:val="00C814C7"/>
    <w:rsid w:val="00C81A70"/>
    <w:rsid w:val="00C81E2E"/>
    <w:rsid w:val="00C8207F"/>
    <w:rsid w:val="00C82107"/>
    <w:rsid w:val="00C8259E"/>
    <w:rsid w:val="00C8263A"/>
    <w:rsid w:val="00C82718"/>
    <w:rsid w:val="00C83614"/>
    <w:rsid w:val="00C836DB"/>
    <w:rsid w:val="00C83864"/>
    <w:rsid w:val="00C83C3A"/>
    <w:rsid w:val="00C83D66"/>
    <w:rsid w:val="00C84113"/>
    <w:rsid w:val="00C84A07"/>
    <w:rsid w:val="00C84DFB"/>
    <w:rsid w:val="00C8546C"/>
    <w:rsid w:val="00C85478"/>
    <w:rsid w:val="00C85806"/>
    <w:rsid w:val="00C85979"/>
    <w:rsid w:val="00C859EF"/>
    <w:rsid w:val="00C85A43"/>
    <w:rsid w:val="00C85CB6"/>
    <w:rsid w:val="00C85E99"/>
    <w:rsid w:val="00C864CB"/>
    <w:rsid w:val="00C86539"/>
    <w:rsid w:val="00C8691B"/>
    <w:rsid w:val="00C86EFD"/>
    <w:rsid w:val="00C87391"/>
    <w:rsid w:val="00C873D5"/>
    <w:rsid w:val="00C877FC"/>
    <w:rsid w:val="00C87A71"/>
    <w:rsid w:val="00C9034A"/>
    <w:rsid w:val="00C9039D"/>
    <w:rsid w:val="00C903F5"/>
    <w:rsid w:val="00C90444"/>
    <w:rsid w:val="00C9086E"/>
    <w:rsid w:val="00C90899"/>
    <w:rsid w:val="00C909DF"/>
    <w:rsid w:val="00C909E5"/>
    <w:rsid w:val="00C90F58"/>
    <w:rsid w:val="00C90F6B"/>
    <w:rsid w:val="00C91111"/>
    <w:rsid w:val="00C91669"/>
    <w:rsid w:val="00C91884"/>
    <w:rsid w:val="00C91A47"/>
    <w:rsid w:val="00C91BDD"/>
    <w:rsid w:val="00C91FE8"/>
    <w:rsid w:val="00C9215F"/>
    <w:rsid w:val="00C9251B"/>
    <w:rsid w:val="00C92B3C"/>
    <w:rsid w:val="00C92BBA"/>
    <w:rsid w:val="00C92F50"/>
    <w:rsid w:val="00C92FCA"/>
    <w:rsid w:val="00C9368F"/>
    <w:rsid w:val="00C938F7"/>
    <w:rsid w:val="00C9391C"/>
    <w:rsid w:val="00C93995"/>
    <w:rsid w:val="00C93FB3"/>
    <w:rsid w:val="00C946BC"/>
    <w:rsid w:val="00C94775"/>
    <w:rsid w:val="00C94863"/>
    <w:rsid w:val="00C94F84"/>
    <w:rsid w:val="00C950C4"/>
    <w:rsid w:val="00C954E4"/>
    <w:rsid w:val="00C95530"/>
    <w:rsid w:val="00C9553E"/>
    <w:rsid w:val="00C95592"/>
    <w:rsid w:val="00C955F4"/>
    <w:rsid w:val="00C95614"/>
    <w:rsid w:val="00C956D9"/>
    <w:rsid w:val="00C95AC2"/>
    <w:rsid w:val="00C95DBD"/>
    <w:rsid w:val="00C95EF9"/>
    <w:rsid w:val="00C961A8"/>
    <w:rsid w:val="00C963E7"/>
    <w:rsid w:val="00C965AA"/>
    <w:rsid w:val="00C966D0"/>
    <w:rsid w:val="00C9682D"/>
    <w:rsid w:val="00C96B0A"/>
    <w:rsid w:val="00C97088"/>
    <w:rsid w:val="00C975EA"/>
    <w:rsid w:val="00C97848"/>
    <w:rsid w:val="00C97906"/>
    <w:rsid w:val="00C97C1A"/>
    <w:rsid w:val="00CA025A"/>
    <w:rsid w:val="00CA08A3"/>
    <w:rsid w:val="00CA107D"/>
    <w:rsid w:val="00CA1098"/>
    <w:rsid w:val="00CA1615"/>
    <w:rsid w:val="00CA195A"/>
    <w:rsid w:val="00CA1CFF"/>
    <w:rsid w:val="00CA1E40"/>
    <w:rsid w:val="00CA27B5"/>
    <w:rsid w:val="00CA2D6D"/>
    <w:rsid w:val="00CA3913"/>
    <w:rsid w:val="00CA3DCD"/>
    <w:rsid w:val="00CA4124"/>
    <w:rsid w:val="00CA429D"/>
    <w:rsid w:val="00CA4B0B"/>
    <w:rsid w:val="00CA4E28"/>
    <w:rsid w:val="00CA4EB1"/>
    <w:rsid w:val="00CA5120"/>
    <w:rsid w:val="00CA55E7"/>
    <w:rsid w:val="00CA5652"/>
    <w:rsid w:val="00CA58A3"/>
    <w:rsid w:val="00CA5A64"/>
    <w:rsid w:val="00CA5ABE"/>
    <w:rsid w:val="00CA5C22"/>
    <w:rsid w:val="00CA5DB9"/>
    <w:rsid w:val="00CA5DED"/>
    <w:rsid w:val="00CA61E9"/>
    <w:rsid w:val="00CA6240"/>
    <w:rsid w:val="00CA6697"/>
    <w:rsid w:val="00CA6921"/>
    <w:rsid w:val="00CA6A62"/>
    <w:rsid w:val="00CA6C33"/>
    <w:rsid w:val="00CA76DD"/>
    <w:rsid w:val="00CA7DA6"/>
    <w:rsid w:val="00CA7E77"/>
    <w:rsid w:val="00CB01BF"/>
    <w:rsid w:val="00CB02BA"/>
    <w:rsid w:val="00CB0C63"/>
    <w:rsid w:val="00CB0E4D"/>
    <w:rsid w:val="00CB1413"/>
    <w:rsid w:val="00CB19F7"/>
    <w:rsid w:val="00CB211C"/>
    <w:rsid w:val="00CB21DE"/>
    <w:rsid w:val="00CB2966"/>
    <w:rsid w:val="00CB29F8"/>
    <w:rsid w:val="00CB3509"/>
    <w:rsid w:val="00CB35CC"/>
    <w:rsid w:val="00CB3D7F"/>
    <w:rsid w:val="00CB4678"/>
    <w:rsid w:val="00CB4C48"/>
    <w:rsid w:val="00CB4F51"/>
    <w:rsid w:val="00CB4FDF"/>
    <w:rsid w:val="00CB5F77"/>
    <w:rsid w:val="00CB5FC9"/>
    <w:rsid w:val="00CB5FED"/>
    <w:rsid w:val="00CB637B"/>
    <w:rsid w:val="00CB6466"/>
    <w:rsid w:val="00CB677F"/>
    <w:rsid w:val="00CB69B7"/>
    <w:rsid w:val="00CB6B04"/>
    <w:rsid w:val="00CB7170"/>
    <w:rsid w:val="00CB763B"/>
    <w:rsid w:val="00CB7752"/>
    <w:rsid w:val="00CB7933"/>
    <w:rsid w:val="00CB7A88"/>
    <w:rsid w:val="00CB7BFD"/>
    <w:rsid w:val="00CB7CBC"/>
    <w:rsid w:val="00CB7EDE"/>
    <w:rsid w:val="00CC0566"/>
    <w:rsid w:val="00CC0FB9"/>
    <w:rsid w:val="00CC16C2"/>
    <w:rsid w:val="00CC173E"/>
    <w:rsid w:val="00CC1963"/>
    <w:rsid w:val="00CC1A14"/>
    <w:rsid w:val="00CC1D91"/>
    <w:rsid w:val="00CC22A6"/>
    <w:rsid w:val="00CC2392"/>
    <w:rsid w:val="00CC32AD"/>
    <w:rsid w:val="00CC4065"/>
    <w:rsid w:val="00CC4304"/>
    <w:rsid w:val="00CC434F"/>
    <w:rsid w:val="00CC4376"/>
    <w:rsid w:val="00CC4559"/>
    <w:rsid w:val="00CC4631"/>
    <w:rsid w:val="00CC4900"/>
    <w:rsid w:val="00CC49B7"/>
    <w:rsid w:val="00CC4B9E"/>
    <w:rsid w:val="00CC4CFA"/>
    <w:rsid w:val="00CC4F70"/>
    <w:rsid w:val="00CC4FCD"/>
    <w:rsid w:val="00CC5093"/>
    <w:rsid w:val="00CC52ED"/>
    <w:rsid w:val="00CC5462"/>
    <w:rsid w:val="00CC593B"/>
    <w:rsid w:val="00CC5C04"/>
    <w:rsid w:val="00CC60A1"/>
    <w:rsid w:val="00CC60DB"/>
    <w:rsid w:val="00CC629A"/>
    <w:rsid w:val="00CC63B1"/>
    <w:rsid w:val="00CC6875"/>
    <w:rsid w:val="00CC6AF3"/>
    <w:rsid w:val="00CC6BEF"/>
    <w:rsid w:val="00CC6F08"/>
    <w:rsid w:val="00CC6F4E"/>
    <w:rsid w:val="00CC71B7"/>
    <w:rsid w:val="00CC7270"/>
    <w:rsid w:val="00CC765B"/>
    <w:rsid w:val="00CD02FF"/>
    <w:rsid w:val="00CD03D9"/>
    <w:rsid w:val="00CD0487"/>
    <w:rsid w:val="00CD0D35"/>
    <w:rsid w:val="00CD13F6"/>
    <w:rsid w:val="00CD144B"/>
    <w:rsid w:val="00CD1634"/>
    <w:rsid w:val="00CD17F5"/>
    <w:rsid w:val="00CD18EC"/>
    <w:rsid w:val="00CD2180"/>
    <w:rsid w:val="00CD27A8"/>
    <w:rsid w:val="00CD2B92"/>
    <w:rsid w:val="00CD2E8D"/>
    <w:rsid w:val="00CD2F83"/>
    <w:rsid w:val="00CD300F"/>
    <w:rsid w:val="00CD32C2"/>
    <w:rsid w:val="00CD33A0"/>
    <w:rsid w:val="00CD3753"/>
    <w:rsid w:val="00CD377C"/>
    <w:rsid w:val="00CD385E"/>
    <w:rsid w:val="00CD3BDA"/>
    <w:rsid w:val="00CD43AB"/>
    <w:rsid w:val="00CD473F"/>
    <w:rsid w:val="00CD4851"/>
    <w:rsid w:val="00CD48DD"/>
    <w:rsid w:val="00CD54A9"/>
    <w:rsid w:val="00CD5726"/>
    <w:rsid w:val="00CD5850"/>
    <w:rsid w:val="00CD5CA7"/>
    <w:rsid w:val="00CD6057"/>
    <w:rsid w:val="00CD62E6"/>
    <w:rsid w:val="00CD6EFF"/>
    <w:rsid w:val="00CD7648"/>
    <w:rsid w:val="00CD789C"/>
    <w:rsid w:val="00CD7BA7"/>
    <w:rsid w:val="00CE052C"/>
    <w:rsid w:val="00CE09AB"/>
    <w:rsid w:val="00CE0D29"/>
    <w:rsid w:val="00CE0E15"/>
    <w:rsid w:val="00CE111A"/>
    <w:rsid w:val="00CE1478"/>
    <w:rsid w:val="00CE159B"/>
    <w:rsid w:val="00CE194D"/>
    <w:rsid w:val="00CE1EB7"/>
    <w:rsid w:val="00CE22AE"/>
    <w:rsid w:val="00CE270F"/>
    <w:rsid w:val="00CE2741"/>
    <w:rsid w:val="00CE27FB"/>
    <w:rsid w:val="00CE2950"/>
    <w:rsid w:val="00CE3033"/>
    <w:rsid w:val="00CE337E"/>
    <w:rsid w:val="00CE3603"/>
    <w:rsid w:val="00CE3C0E"/>
    <w:rsid w:val="00CE3C93"/>
    <w:rsid w:val="00CE3C96"/>
    <w:rsid w:val="00CE413B"/>
    <w:rsid w:val="00CE434E"/>
    <w:rsid w:val="00CE47EF"/>
    <w:rsid w:val="00CE486E"/>
    <w:rsid w:val="00CE4C1D"/>
    <w:rsid w:val="00CE4E57"/>
    <w:rsid w:val="00CE56E0"/>
    <w:rsid w:val="00CE5D6B"/>
    <w:rsid w:val="00CE5EE4"/>
    <w:rsid w:val="00CE604F"/>
    <w:rsid w:val="00CE64AF"/>
    <w:rsid w:val="00CE6594"/>
    <w:rsid w:val="00CE65D9"/>
    <w:rsid w:val="00CE6862"/>
    <w:rsid w:val="00CE68FE"/>
    <w:rsid w:val="00CE69E0"/>
    <w:rsid w:val="00CE6C66"/>
    <w:rsid w:val="00CE6F26"/>
    <w:rsid w:val="00CE704E"/>
    <w:rsid w:val="00CE7254"/>
    <w:rsid w:val="00CE74D2"/>
    <w:rsid w:val="00CE7724"/>
    <w:rsid w:val="00CE78E2"/>
    <w:rsid w:val="00CE799D"/>
    <w:rsid w:val="00CE7A41"/>
    <w:rsid w:val="00CE7DFE"/>
    <w:rsid w:val="00CF037A"/>
    <w:rsid w:val="00CF0892"/>
    <w:rsid w:val="00CF0AE1"/>
    <w:rsid w:val="00CF0BDB"/>
    <w:rsid w:val="00CF0BF1"/>
    <w:rsid w:val="00CF0E22"/>
    <w:rsid w:val="00CF111B"/>
    <w:rsid w:val="00CF1303"/>
    <w:rsid w:val="00CF1345"/>
    <w:rsid w:val="00CF13BD"/>
    <w:rsid w:val="00CF171F"/>
    <w:rsid w:val="00CF19B6"/>
    <w:rsid w:val="00CF1DA2"/>
    <w:rsid w:val="00CF2338"/>
    <w:rsid w:val="00CF23FD"/>
    <w:rsid w:val="00CF2CE7"/>
    <w:rsid w:val="00CF2D7C"/>
    <w:rsid w:val="00CF2E43"/>
    <w:rsid w:val="00CF2EAB"/>
    <w:rsid w:val="00CF2EE4"/>
    <w:rsid w:val="00CF2F90"/>
    <w:rsid w:val="00CF33BB"/>
    <w:rsid w:val="00CF347A"/>
    <w:rsid w:val="00CF38F0"/>
    <w:rsid w:val="00CF38FB"/>
    <w:rsid w:val="00CF3B0E"/>
    <w:rsid w:val="00CF41A1"/>
    <w:rsid w:val="00CF41CB"/>
    <w:rsid w:val="00CF47A4"/>
    <w:rsid w:val="00CF48B0"/>
    <w:rsid w:val="00CF4A11"/>
    <w:rsid w:val="00CF50D5"/>
    <w:rsid w:val="00CF55AA"/>
    <w:rsid w:val="00CF5F1A"/>
    <w:rsid w:val="00CF60F0"/>
    <w:rsid w:val="00CF615E"/>
    <w:rsid w:val="00CF6248"/>
    <w:rsid w:val="00CF6274"/>
    <w:rsid w:val="00CF6930"/>
    <w:rsid w:val="00CF6E0D"/>
    <w:rsid w:val="00CF6E14"/>
    <w:rsid w:val="00CF7187"/>
    <w:rsid w:val="00CF7224"/>
    <w:rsid w:val="00CF7515"/>
    <w:rsid w:val="00CF7C24"/>
    <w:rsid w:val="00CF7E56"/>
    <w:rsid w:val="00CF7F0B"/>
    <w:rsid w:val="00D001E8"/>
    <w:rsid w:val="00D002B8"/>
    <w:rsid w:val="00D004FF"/>
    <w:rsid w:val="00D00501"/>
    <w:rsid w:val="00D005A9"/>
    <w:rsid w:val="00D00C96"/>
    <w:rsid w:val="00D00CAD"/>
    <w:rsid w:val="00D00CE4"/>
    <w:rsid w:val="00D017B4"/>
    <w:rsid w:val="00D017ED"/>
    <w:rsid w:val="00D01A7F"/>
    <w:rsid w:val="00D01BAD"/>
    <w:rsid w:val="00D01CAB"/>
    <w:rsid w:val="00D01D2E"/>
    <w:rsid w:val="00D020D5"/>
    <w:rsid w:val="00D0270D"/>
    <w:rsid w:val="00D02A35"/>
    <w:rsid w:val="00D02A95"/>
    <w:rsid w:val="00D02DE5"/>
    <w:rsid w:val="00D03299"/>
    <w:rsid w:val="00D033AD"/>
    <w:rsid w:val="00D03847"/>
    <w:rsid w:val="00D03C04"/>
    <w:rsid w:val="00D03EFC"/>
    <w:rsid w:val="00D042C4"/>
    <w:rsid w:val="00D0448F"/>
    <w:rsid w:val="00D044F1"/>
    <w:rsid w:val="00D0460A"/>
    <w:rsid w:val="00D04E56"/>
    <w:rsid w:val="00D04F2C"/>
    <w:rsid w:val="00D04F37"/>
    <w:rsid w:val="00D05264"/>
    <w:rsid w:val="00D05DE9"/>
    <w:rsid w:val="00D05E88"/>
    <w:rsid w:val="00D06007"/>
    <w:rsid w:val="00D0621D"/>
    <w:rsid w:val="00D062BC"/>
    <w:rsid w:val="00D06E79"/>
    <w:rsid w:val="00D078AA"/>
    <w:rsid w:val="00D079F4"/>
    <w:rsid w:val="00D07B15"/>
    <w:rsid w:val="00D1056B"/>
    <w:rsid w:val="00D105D1"/>
    <w:rsid w:val="00D10649"/>
    <w:rsid w:val="00D106CC"/>
    <w:rsid w:val="00D10CE1"/>
    <w:rsid w:val="00D10EA4"/>
    <w:rsid w:val="00D10EBB"/>
    <w:rsid w:val="00D11425"/>
    <w:rsid w:val="00D1174A"/>
    <w:rsid w:val="00D12642"/>
    <w:rsid w:val="00D127B6"/>
    <w:rsid w:val="00D12E18"/>
    <w:rsid w:val="00D13642"/>
    <w:rsid w:val="00D1366A"/>
    <w:rsid w:val="00D13BA1"/>
    <w:rsid w:val="00D13D8F"/>
    <w:rsid w:val="00D1434E"/>
    <w:rsid w:val="00D14378"/>
    <w:rsid w:val="00D1445D"/>
    <w:rsid w:val="00D14519"/>
    <w:rsid w:val="00D14637"/>
    <w:rsid w:val="00D146D9"/>
    <w:rsid w:val="00D1485E"/>
    <w:rsid w:val="00D1580B"/>
    <w:rsid w:val="00D15A24"/>
    <w:rsid w:val="00D15E0B"/>
    <w:rsid w:val="00D1631B"/>
    <w:rsid w:val="00D1639E"/>
    <w:rsid w:val="00D16AF1"/>
    <w:rsid w:val="00D16C9C"/>
    <w:rsid w:val="00D173F1"/>
    <w:rsid w:val="00D174D6"/>
    <w:rsid w:val="00D17530"/>
    <w:rsid w:val="00D17655"/>
    <w:rsid w:val="00D179D6"/>
    <w:rsid w:val="00D17A15"/>
    <w:rsid w:val="00D17B23"/>
    <w:rsid w:val="00D17DC3"/>
    <w:rsid w:val="00D20AE8"/>
    <w:rsid w:val="00D20BA4"/>
    <w:rsid w:val="00D214DA"/>
    <w:rsid w:val="00D219D1"/>
    <w:rsid w:val="00D21F6D"/>
    <w:rsid w:val="00D21F98"/>
    <w:rsid w:val="00D225B6"/>
    <w:rsid w:val="00D225B9"/>
    <w:rsid w:val="00D22F8D"/>
    <w:rsid w:val="00D2322A"/>
    <w:rsid w:val="00D232FD"/>
    <w:rsid w:val="00D23353"/>
    <w:rsid w:val="00D238B1"/>
    <w:rsid w:val="00D239B8"/>
    <w:rsid w:val="00D240D9"/>
    <w:rsid w:val="00D24128"/>
    <w:rsid w:val="00D24506"/>
    <w:rsid w:val="00D24DB4"/>
    <w:rsid w:val="00D24E03"/>
    <w:rsid w:val="00D25A90"/>
    <w:rsid w:val="00D26147"/>
    <w:rsid w:val="00D26201"/>
    <w:rsid w:val="00D26208"/>
    <w:rsid w:val="00D26710"/>
    <w:rsid w:val="00D267EF"/>
    <w:rsid w:val="00D26F3D"/>
    <w:rsid w:val="00D2759C"/>
    <w:rsid w:val="00D27D93"/>
    <w:rsid w:val="00D27FF1"/>
    <w:rsid w:val="00D30292"/>
    <w:rsid w:val="00D305A4"/>
    <w:rsid w:val="00D308CB"/>
    <w:rsid w:val="00D30915"/>
    <w:rsid w:val="00D30BAE"/>
    <w:rsid w:val="00D30BEE"/>
    <w:rsid w:val="00D30D45"/>
    <w:rsid w:val="00D30FDC"/>
    <w:rsid w:val="00D31170"/>
    <w:rsid w:val="00D31250"/>
    <w:rsid w:val="00D324F4"/>
    <w:rsid w:val="00D32627"/>
    <w:rsid w:val="00D327C0"/>
    <w:rsid w:val="00D33150"/>
    <w:rsid w:val="00D334E7"/>
    <w:rsid w:val="00D335E0"/>
    <w:rsid w:val="00D33F99"/>
    <w:rsid w:val="00D34156"/>
    <w:rsid w:val="00D34348"/>
    <w:rsid w:val="00D34C37"/>
    <w:rsid w:val="00D354F6"/>
    <w:rsid w:val="00D359BA"/>
    <w:rsid w:val="00D35AD6"/>
    <w:rsid w:val="00D35D3E"/>
    <w:rsid w:val="00D35E34"/>
    <w:rsid w:val="00D3640A"/>
    <w:rsid w:val="00D3643E"/>
    <w:rsid w:val="00D36788"/>
    <w:rsid w:val="00D367C2"/>
    <w:rsid w:val="00D372F6"/>
    <w:rsid w:val="00D3783B"/>
    <w:rsid w:val="00D37E60"/>
    <w:rsid w:val="00D402D8"/>
    <w:rsid w:val="00D406D5"/>
    <w:rsid w:val="00D40E44"/>
    <w:rsid w:val="00D41870"/>
    <w:rsid w:val="00D41FD2"/>
    <w:rsid w:val="00D420E2"/>
    <w:rsid w:val="00D42333"/>
    <w:rsid w:val="00D426D6"/>
    <w:rsid w:val="00D42B48"/>
    <w:rsid w:val="00D432D4"/>
    <w:rsid w:val="00D43423"/>
    <w:rsid w:val="00D43806"/>
    <w:rsid w:val="00D4383F"/>
    <w:rsid w:val="00D43959"/>
    <w:rsid w:val="00D43A87"/>
    <w:rsid w:val="00D43C1F"/>
    <w:rsid w:val="00D43DF6"/>
    <w:rsid w:val="00D43E2B"/>
    <w:rsid w:val="00D43E45"/>
    <w:rsid w:val="00D43E97"/>
    <w:rsid w:val="00D44074"/>
    <w:rsid w:val="00D44588"/>
    <w:rsid w:val="00D445DA"/>
    <w:rsid w:val="00D4463A"/>
    <w:rsid w:val="00D44C6B"/>
    <w:rsid w:val="00D44EF0"/>
    <w:rsid w:val="00D44F86"/>
    <w:rsid w:val="00D45179"/>
    <w:rsid w:val="00D4541D"/>
    <w:rsid w:val="00D454DD"/>
    <w:rsid w:val="00D455BE"/>
    <w:rsid w:val="00D45CFC"/>
    <w:rsid w:val="00D45F10"/>
    <w:rsid w:val="00D46118"/>
    <w:rsid w:val="00D465E9"/>
    <w:rsid w:val="00D468F4"/>
    <w:rsid w:val="00D4698D"/>
    <w:rsid w:val="00D469E0"/>
    <w:rsid w:val="00D46BCF"/>
    <w:rsid w:val="00D46E09"/>
    <w:rsid w:val="00D46F5F"/>
    <w:rsid w:val="00D471C2"/>
    <w:rsid w:val="00D4730E"/>
    <w:rsid w:val="00D47439"/>
    <w:rsid w:val="00D475DD"/>
    <w:rsid w:val="00D47688"/>
    <w:rsid w:val="00D47720"/>
    <w:rsid w:val="00D47E98"/>
    <w:rsid w:val="00D50414"/>
    <w:rsid w:val="00D50A2A"/>
    <w:rsid w:val="00D50DA2"/>
    <w:rsid w:val="00D50E3E"/>
    <w:rsid w:val="00D51116"/>
    <w:rsid w:val="00D51613"/>
    <w:rsid w:val="00D5173F"/>
    <w:rsid w:val="00D51A0B"/>
    <w:rsid w:val="00D52081"/>
    <w:rsid w:val="00D52303"/>
    <w:rsid w:val="00D52829"/>
    <w:rsid w:val="00D531CC"/>
    <w:rsid w:val="00D53221"/>
    <w:rsid w:val="00D5336C"/>
    <w:rsid w:val="00D533DA"/>
    <w:rsid w:val="00D5385D"/>
    <w:rsid w:val="00D53AC3"/>
    <w:rsid w:val="00D53B18"/>
    <w:rsid w:val="00D53C60"/>
    <w:rsid w:val="00D54463"/>
    <w:rsid w:val="00D544C0"/>
    <w:rsid w:val="00D54A1D"/>
    <w:rsid w:val="00D54AC4"/>
    <w:rsid w:val="00D54BB9"/>
    <w:rsid w:val="00D550F2"/>
    <w:rsid w:val="00D55929"/>
    <w:rsid w:val="00D55FAA"/>
    <w:rsid w:val="00D5677C"/>
    <w:rsid w:val="00D56CD4"/>
    <w:rsid w:val="00D56D44"/>
    <w:rsid w:val="00D56FB5"/>
    <w:rsid w:val="00D573A1"/>
    <w:rsid w:val="00D57511"/>
    <w:rsid w:val="00D57638"/>
    <w:rsid w:val="00D57698"/>
    <w:rsid w:val="00D600B4"/>
    <w:rsid w:val="00D60395"/>
    <w:rsid w:val="00D6041C"/>
    <w:rsid w:val="00D605DB"/>
    <w:rsid w:val="00D60642"/>
    <w:rsid w:val="00D6074C"/>
    <w:rsid w:val="00D60B0D"/>
    <w:rsid w:val="00D60E12"/>
    <w:rsid w:val="00D61474"/>
    <w:rsid w:val="00D6198B"/>
    <w:rsid w:val="00D61A0E"/>
    <w:rsid w:val="00D624FC"/>
    <w:rsid w:val="00D62549"/>
    <w:rsid w:val="00D625C4"/>
    <w:rsid w:val="00D62688"/>
    <w:rsid w:val="00D628A8"/>
    <w:rsid w:val="00D63769"/>
    <w:rsid w:val="00D63CC4"/>
    <w:rsid w:val="00D63CF1"/>
    <w:rsid w:val="00D63ECD"/>
    <w:rsid w:val="00D646E8"/>
    <w:rsid w:val="00D64775"/>
    <w:rsid w:val="00D64A18"/>
    <w:rsid w:val="00D65D08"/>
    <w:rsid w:val="00D65F98"/>
    <w:rsid w:val="00D662AF"/>
    <w:rsid w:val="00D667A4"/>
    <w:rsid w:val="00D66D5F"/>
    <w:rsid w:val="00D66F6A"/>
    <w:rsid w:val="00D66FC6"/>
    <w:rsid w:val="00D6745E"/>
    <w:rsid w:val="00D67777"/>
    <w:rsid w:val="00D67C11"/>
    <w:rsid w:val="00D67E05"/>
    <w:rsid w:val="00D702BE"/>
    <w:rsid w:val="00D70CC3"/>
    <w:rsid w:val="00D71315"/>
    <w:rsid w:val="00D714A2"/>
    <w:rsid w:val="00D7160B"/>
    <w:rsid w:val="00D716EA"/>
    <w:rsid w:val="00D717C2"/>
    <w:rsid w:val="00D719EB"/>
    <w:rsid w:val="00D71F81"/>
    <w:rsid w:val="00D71FAB"/>
    <w:rsid w:val="00D71FE2"/>
    <w:rsid w:val="00D720D1"/>
    <w:rsid w:val="00D723B5"/>
    <w:rsid w:val="00D727E5"/>
    <w:rsid w:val="00D72CEC"/>
    <w:rsid w:val="00D72DD9"/>
    <w:rsid w:val="00D72FE2"/>
    <w:rsid w:val="00D731C1"/>
    <w:rsid w:val="00D732D6"/>
    <w:rsid w:val="00D732F6"/>
    <w:rsid w:val="00D735BB"/>
    <w:rsid w:val="00D743C0"/>
    <w:rsid w:val="00D743F6"/>
    <w:rsid w:val="00D74424"/>
    <w:rsid w:val="00D745C6"/>
    <w:rsid w:val="00D74AF3"/>
    <w:rsid w:val="00D74B14"/>
    <w:rsid w:val="00D74C0B"/>
    <w:rsid w:val="00D74D51"/>
    <w:rsid w:val="00D74ED3"/>
    <w:rsid w:val="00D74F43"/>
    <w:rsid w:val="00D7548D"/>
    <w:rsid w:val="00D75735"/>
    <w:rsid w:val="00D75FF9"/>
    <w:rsid w:val="00D76635"/>
    <w:rsid w:val="00D7667F"/>
    <w:rsid w:val="00D76E59"/>
    <w:rsid w:val="00D77385"/>
    <w:rsid w:val="00D778AC"/>
    <w:rsid w:val="00D7798B"/>
    <w:rsid w:val="00D779C1"/>
    <w:rsid w:val="00D77A63"/>
    <w:rsid w:val="00D77DCA"/>
    <w:rsid w:val="00D804F4"/>
    <w:rsid w:val="00D8074C"/>
    <w:rsid w:val="00D807E1"/>
    <w:rsid w:val="00D80937"/>
    <w:rsid w:val="00D80E56"/>
    <w:rsid w:val="00D80E77"/>
    <w:rsid w:val="00D80F4F"/>
    <w:rsid w:val="00D8170B"/>
    <w:rsid w:val="00D81BC3"/>
    <w:rsid w:val="00D81E0C"/>
    <w:rsid w:val="00D82154"/>
    <w:rsid w:val="00D82CB9"/>
    <w:rsid w:val="00D82DBE"/>
    <w:rsid w:val="00D8303E"/>
    <w:rsid w:val="00D830CA"/>
    <w:rsid w:val="00D8332B"/>
    <w:rsid w:val="00D83334"/>
    <w:rsid w:val="00D8337B"/>
    <w:rsid w:val="00D843D7"/>
    <w:rsid w:val="00D84607"/>
    <w:rsid w:val="00D8482A"/>
    <w:rsid w:val="00D8503D"/>
    <w:rsid w:val="00D851A4"/>
    <w:rsid w:val="00D8527E"/>
    <w:rsid w:val="00D858ED"/>
    <w:rsid w:val="00D859CA"/>
    <w:rsid w:val="00D85A9B"/>
    <w:rsid w:val="00D85E1F"/>
    <w:rsid w:val="00D860C5"/>
    <w:rsid w:val="00D860EB"/>
    <w:rsid w:val="00D861FD"/>
    <w:rsid w:val="00D862D2"/>
    <w:rsid w:val="00D864F8"/>
    <w:rsid w:val="00D86E32"/>
    <w:rsid w:val="00D87194"/>
    <w:rsid w:val="00D8734B"/>
    <w:rsid w:val="00D87547"/>
    <w:rsid w:val="00D875DF"/>
    <w:rsid w:val="00D87D99"/>
    <w:rsid w:val="00D87E16"/>
    <w:rsid w:val="00D90216"/>
    <w:rsid w:val="00D9043F"/>
    <w:rsid w:val="00D906D5"/>
    <w:rsid w:val="00D90CD7"/>
    <w:rsid w:val="00D915BB"/>
    <w:rsid w:val="00D9161A"/>
    <w:rsid w:val="00D91708"/>
    <w:rsid w:val="00D91FFF"/>
    <w:rsid w:val="00D9245F"/>
    <w:rsid w:val="00D92A27"/>
    <w:rsid w:val="00D92F67"/>
    <w:rsid w:val="00D93189"/>
    <w:rsid w:val="00D93871"/>
    <w:rsid w:val="00D939E9"/>
    <w:rsid w:val="00D93B8F"/>
    <w:rsid w:val="00D93E32"/>
    <w:rsid w:val="00D93EED"/>
    <w:rsid w:val="00D9416B"/>
    <w:rsid w:val="00D948C1"/>
    <w:rsid w:val="00D94CE5"/>
    <w:rsid w:val="00D953CA"/>
    <w:rsid w:val="00D958C5"/>
    <w:rsid w:val="00D95A0C"/>
    <w:rsid w:val="00D95ADF"/>
    <w:rsid w:val="00D95B1D"/>
    <w:rsid w:val="00D95CE5"/>
    <w:rsid w:val="00D95D26"/>
    <w:rsid w:val="00D95D75"/>
    <w:rsid w:val="00D960CB"/>
    <w:rsid w:val="00D960F5"/>
    <w:rsid w:val="00D96766"/>
    <w:rsid w:val="00D96A83"/>
    <w:rsid w:val="00D96FF4"/>
    <w:rsid w:val="00D97013"/>
    <w:rsid w:val="00D971F3"/>
    <w:rsid w:val="00D97641"/>
    <w:rsid w:val="00D977C7"/>
    <w:rsid w:val="00D97B98"/>
    <w:rsid w:val="00DA01E5"/>
    <w:rsid w:val="00DA01E9"/>
    <w:rsid w:val="00DA0484"/>
    <w:rsid w:val="00DA0887"/>
    <w:rsid w:val="00DA0A36"/>
    <w:rsid w:val="00DA0BB2"/>
    <w:rsid w:val="00DA0CC2"/>
    <w:rsid w:val="00DA0D0D"/>
    <w:rsid w:val="00DA0D6A"/>
    <w:rsid w:val="00DA0DF6"/>
    <w:rsid w:val="00DA106E"/>
    <w:rsid w:val="00DA116C"/>
    <w:rsid w:val="00DA13C4"/>
    <w:rsid w:val="00DA1583"/>
    <w:rsid w:val="00DA1667"/>
    <w:rsid w:val="00DA1A80"/>
    <w:rsid w:val="00DA1C03"/>
    <w:rsid w:val="00DA1C41"/>
    <w:rsid w:val="00DA24EA"/>
    <w:rsid w:val="00DA2506"/>
    <w:rsid w:val="00DA2AF3"/>
    <w:rsid w:val="00DA2C28"/>
    <w:rsid w:val="00DA2E2E"/>
    <w:rsid w:val="00DA2FB4"/>
    <w:rsid w:val="00DA3312"/>
    <w:rsid w:val="00DA34EC"/>
    <w:rsid w:val="00DA354C"/>
    <w:rsid w:val="00DA3694"/>
    <w:rsid w:val="00DA36CE"/>
    <w:rsid w:val="00DA3CBE"/>
    <w:rsid w:val="00DA432E"/>
    <w:rsid w:val="00DA46EE"/>
    <w:rsid w:val="00DA496C"/>
    <w:rsid w:val="00DA4B11"/>
    <w:rsid w:val="00DA4C83"/>
    <w:rsid w:val="00DA5022"/>
    <w:rsid w:val="00DA5036"/>
    <w:rsid w:val="00DA55C9"/>
    <w:rsid w:val="00DA5A57"/>
    <w:rsid w:val="00DA5EE4"/>
    <w:rsid w:val="00DA6710"/>
    <w:rsid w:val="00DA6CAA"/>
    <w:rsid w:val="00DA6F7F"/>
    <w:rsid w:val="00DA7072"/>
    <w:rsid w:val="00DA71B0"/>
    <w:rsid w:val="00DA7280"/>
    <w:rsid w:val="00DA768E"/>
    <w:rsid w:val="00DA7771"/>
    <w:rsid w:val="00DB0145"/>
    <w:rsid w:val="00DB0586"/>
    <w:rsid w:val="00DB0605"/>
    <w:rsid w:val="00DB0623"/>
    <w:rsid w:val="00DB1123"/>
    <w:rsid w:val="00DB122C"/>
    <w:rsid w:val="00DB2508"/>
    <w:rsid w:val="00DB25E9"/>
    <w:rsid w:val="00DB2D11"/>
    <w:rsid w:val="00DB2D8B"/>
    <w:rsid w:val="00DB3043"/>
    <w:rsid w:val="00DB331E"/>
    <w:rsid w:val="00DB3682"/>
    <w:rsid w:val="00DB3A80"/>
    <w:rsid w:val="00DB3CF5"/>
    <w:rsid w:val="00DB40DC"/>
    <w:rsid w:val="00DB413B"/>
    <w:rsid w:val="00DB41DD"/>
    <w:rsid w:val="00DB4A0F"/>
    <w:rsid w:val="00DB4CF4"/>
    <w:rsid w:val="00DB4E18"/>
    <w:rsid w:val="00DB4E57"/>
    <w:rsid w:val="00DB50A6"/>
    <w:rsid w:val="00DB50F7"/>
    <w:rsid w:val="00DB5296"/>
    <w:rsid w:val="00DB5C16"/>
    <w:rsid w:val="00DB6245"/>
    <w:rsid w:val="00DB6304"/>
    <w:rsid w:val="00DB64CC"/>
    <w:rsid w:val="00DB69E3"/>
    <w:rsid w:val="00DB6E16"/>
    <w:rsid w:val="00DB6EE2"/>
    <w:rsid w:val="00DB6F78"/>
    <w:rsid w:val="00DB72E6"/>
    <w:rsid w:val="00DB7AE4"/>
    <w:rsid w:val="00DB7F0F"/>
    <w:rsid w:val="00DC000A"/>
    <w:rsid w:val="00DC0061"/>
    <w:rsid w:val="00DC038F"/>
    <w:rsid w:val="00DC0AD9"/>
    <w:rsid w:val="00DC1077"/>
    <w:rsid w:val="00DC11DF"/>
    <w:rsid w:val="00DC1386"/>
    <w:rsid w:val="00DC19CA"/>
    <w:rsid w:val="00DC1F9E"/>
    <w:rsid w:val="00DC21FC"/>
    <w:rsid w:val="00DC2646"/>
    <w:rsid w:val="00DC298A"/>
    <w:rsid w:val="00DC2ACD"/>
    <w:rsid w:val="00DC2FCF"/>
    <w:rsid w:val="00DC3096"/>
    <w:rsid w:val="00DC3C76"/>
    <w:rsid w:val="00DC3E7F"/>
    <w:rsid w:val="00DC40FB"/>
    <w:rsid w:val="00DC4253"/>
    <w:rsid w:val="00DC4348"/>
    <w:rsid w:val="00DC45A2"/>
    <w:rsid w:val="00DC476C"/>
    <w:rsid w:val="00DC4CFF"/>
    <w:rsid w:val="00DC4EC3"/>
    <w:rsid w:val="00DC5145"/>
    <w:rsid w:val="00DC521F"/>
    <w:rsid w:val="00DC5C97"/>
    <w:rsid w:val="00DC5E1C"/>
    <w:rsid w:val="00DC65D4"/>
    <w:rsid w:val="00DC66ED"/>
    <w:rsid w:val="00DC68E5"/>
    <w:rsid w:val="00DC6A68"/>
    <w:rsid w:val="00DC6C97"/>
    <w:rsid w:val="00DC7A16"/>
    <w:rsid w:val="00DC7D93"/>
    <w:rsid w:val="00DD01EA"/>
    <w:rsid w:val="00DD01FE"/>
    <w:rsid w:val="00DD02AB"/>
    <w:rsid w:val="00DD0338"/>
    <w:rsid w:val="00DD04C3"/>
    <w:rsid w:val="00DD0665"/>
    <w:rsid w:val="00DD0BC5"/>
    <w:rsid w:val="00DD0CA9"/>
    <w:rsid w:val="00DD1118"/>
    <w:rsid w:val="00DD111C"/>
    <w:rsid w:val="00DD1121"/>
    <w:rsid w:val="00DD192D"/>
    <w:rsid w:val="00DD1A85"/>
    <w:rsid w:val="00DD2197"/>
    <w:rsid w:val="00DD254A"/>
    <w:rsid w:val="00DD27DD"/>
    <w:rsid w:val="00DD2894"/>
    <w:rsid w:val="00DD295E"/>
    <w:rsid w:val="00DD29F0"/>
    <w:rsid w:val="00DD2D1C"/>
    <w:rsid w:val="00DD3316"/>
    <w:rsid w:val="00DD3410"/>
    <w:rsid w:val="00DD37EC"/>
    <w:rsid w:val="00DD380F"/>
    <w:rsid w:val="00DD38ED"/>
    <w:rsid w:val="00DD3B3C"/>
    <w:rsid w:val="00DD3B97"/>
    <w:rsid w:val="00DD3DE8"/>
    <w:rsid w:val="00DD3E52"/>
    <w:rsid w:val="00DD40B2"/>
    <w:rsid w:val="00DD4812"/>
    <w:rsid w:val="00DD481C"/>
    <w:rsid w:val="00DD4F55"/>
    <w:rsid w:val="00DD5825"/>
    <w:rsid w:val="00DD5C4F"/>
    <w:rsid w:val="00DD616E"/>
    <w:rsid w:val="00DD63D7"/>
    <w:rsid w:val="00DD6895"/>
    <w:rsid w:val="00DD6FCC"/>
    <w:rsid w:val="00DD7210"/>
    <w:rsid w:val="00DD786D"/>
    <w:rsid w:val="00DD7C27"/>
    <w:rsid w:val="00DD7DC6"/>
    <w:rsid w:val="00DE019A"/>
    <w:rsid w:val="00DE0614"/>
    <w:rsid w:val="00DE08F9"/>
    <w:rsid w:val="00DE0901"/>
    <w:rsid w:val="00DE0ABE"/>
    <w:rsid w:val="00DE0F77"/>
    <w:rsid w:val="00DE15C2"/>
    <w:rsid w:val="00DE1927"/>
    <w:rsid w:val="00DE1A4B"/>
    <w:rsid w:val="00DE1AD5"/>
    <w:rsid w:val="00DE21A1"/>
    <w:rsid w:val="00DE22C7"/>
    <w:rsid w:val="00DE2A57"/>
    <w:rsid w:val="00DE2D78"/>
    <w:rsid w:val="00DE31A4"/>
    <w:rsid w:val="00DE360B"/>
    <w:rsid w:val="00DE3FCE"/>
    <w:rsid w:val="00DE407D"/>
    <w:rsid w:val="00DE4508"/>
    <w:rsid w:val="00DE45AC"/>
    <w:rsid w:val="00DE4694"/>
    <w:rsid w:val="00DE4CF6"/>
    <w:rsid w:val="00DE4D0C"/>
    <w:rsid w:val="00DE4DA7"/>
    <w:rsid w:val="00DE4F79"/>
    <w:rsid w:val="00DE58EF"/>
    <w:rsid w:val="00DE598C"/>
    <w:rsid w:val="00DE5BBF"/>
    <w:rsid w:val="00DE6095"/>
    <w:rsid w:val="00DE60DB"/>
    <w:rsid w:val="00DE6159"/>
    <w:rsid w:val="00DE6187"/>
    <w:rsid w:val="00DE638C"/>
    <w:rsid w:val="00DE66A6"/>
    <w:rsid w:val="00DE6E27"/>
    <w:rsid w:val="00DE72B1"/>
    <w:rsid w:val="00DE761A"/>
    <w:rsid w:val="00DE7862"/>
    <w:rsid w:val="00DE7AFA"/>
    <w:rsid w:val="00DE7C3B"/>
    <w:rsid w:val="00DE7C69"/>
    <w:rsid w:val="00DF01EE"/>
    <w:rsid w:val="00DF091F"/>
    <w:rsid w:val="00DF0E10"/>
    <w:rsid w:val="00DF12CD"/>
    <w:rsid w:val="00DF14A6"/>
    <w:rsid w:val="00DF1A01"/>
    <w:rsid w:val="00DF1F6B"/>
    <w:rsid w:val="00DF2334"/>
    <w:rsid w:val="00DF2934"/>
    <w:rsid w:val="00DF29F4"/>
    <w:rsid w:val="00DF2A24"/>
    <w:rsid w:val="00DF2B00"/>
    <w:rsid w:val="00DF2F91"/>
    <w:rsid w:val="00DF342D"/>
    <w:rsid w:val="00DF34A2"/>
    <w:rsid w:val="00DF3658"/>
    <w:rsid w:val="00DF3688"/>
    <w:rsid w:val="00DF39E9"/>
    <w:rsid w:val="00DF3DBC"/>
    <w:rsid w:val="00DF3E5F"/>
    <w:rsid w:val="00DF3FCE"/>
    <w:rsid w:val="00DF41AC"/>
    <w:rsid w:val="00DF4737"/>
    <w:rsid w:val="00DF479A"/>
    <w:rsid w:val="00DF4B1E"/>
    <w:rsid w:val="00DF4E87"/>
    <w:rsid w:val="00DF4F6B"/>
    <w:rsid w:val="00DF50A8"/>
    <w:rsid w:val="00DF5164"/>
    <w:rsid w:val="00DF5335"/>
    <w:rsid w:val="00DF5489"/>
    <w:rsid w:val="00DF581F"/>
    <w:rsid w:val="00DF5C98"/>
    <w:rsid w:val="00DF5D16"/>
    <w:rsid w:val="00DF646B"/>
    <w:rsid w:val="00DF6C93"/>
    <w:rsid w:val="00DF6DA6"/>
    <w:rsid w:val="00DF6E7C"/>
    <w:rsid w:val="00DF7342"/>
    <w:rsid w:val="00DF75A3"/>
    <w:rsid w:val="00DF770E"/>
    <w:rsid w:val="00DF7A01"/>
    <w:rsid w:val="00DF7ADC"/>
    <w:rsid w:val="00DF7EE8"/>
    <w:rsid w:val="00E0031C"/>
    <w:rsid w:val="00E006C9"/>
    <w:rsid w:val="00E009DA"/>
    <w:rsid w:val="00E00B93"/>
    <w:rsid w:val="00E01085"/>
    <w:rsid w:val="00E01209"/>
    <w:rsid w:val="00E01707"/>
    <w:rsid w:val="00E0179E"/>
    <w:rsid w:val="00E0192E"/>
    <w:rsid w:val="00E01B75"/>
    <w:rsid w:val="00E01CB7"/>
    <w:rsid w:val="00E01D3F"/>
    <w:rsid w:val="00E01DDA"/>
    <w:rsid w:val="00E02075"/>
    <w:rsid w:val="00E02D36"/>
    <w:rsid w:val="00E02D4F"/>
    <w:rsid w:val="00E032BC"/>
    <w:rsid w:val="00E03368"/>
    <w:rsid w:val="00E03435"/>
    <w:rsid w:val="00E034A4"/>
    <w:rsid w:val="00E03A7E"/>
    <w:rsid w:val="00E03B72"/>
    <w:rsid w:val="00E04240"/>
    <w:rsid w:val="00E0478E"/>
    <w:rsid w:val="00E04F3E"/>
    <w:rsid w:val="00E0547F"/>
    <w:rsid w:val="00E0550A"/>
    <w:rsid w:val="00E05566"/>
    <w:rsid w:val="00E057FC"/>
    <w:rsid w:val="00E05BDF"/>
    <w:rsid w:val="00E05D57"/>
    <w:rsid w:val="00E06554"/>
    <w:rsid w:val="00E0658E"/>
    <w:rsid w:val="00E065F6"/>
    <w:rsid w:val="00E0695E"/>
    <w:rsid w:val="00E06FCA"/>
    <w:rsid w:val="00E070F1"/>
    <w:rsid w:val="00E07325"/>
    <w:rsid w:val="00E07481"/>
    <w:rsid w:val="00E07C38"/>
    <w:rsid w:val="00E07D05"/>
    <w:rsid w:val="00E07D1C"/>
    <w:rsid w:val="00E07E0D"/>
    <w:rsid w:val="00E10317"/>
    <w:rsid w:val="00E107EE"/>
    <w:rsid w:val="00E10C1E"/>
    <w:rsid w:val="00E10D80"/>
    <w:rsid w:val="00E10F63"/>
    <w:rsid w:val="00E10F7F"/>
    <w:rsid w:val="00E11142"/>
    <w:rsid w:val="00E1146B"/>
    <w:rsid w:val="00E1174A"/>
    <w:rsid w:val="00E118D4"/>
    <w:rsid w:val="00E119A6"/>
    <w:rsid w:val="00E12206"/>
    <w:rsid w:val="00E12A31"/>
    <w:rsid w:val="00E12B11"/>
    <w:rsid w:val="00E12B17"/>
    <w:rsid w:val="00E12CE2"/>
    <w:rsid w:val="00E12DC5"/>
    <w:rsid w:val="00E13551"/>
    <w:rsid w:val="00E13EDD"/>
    <w:rsid w:val="00E1407A"/>
    <w:rsid w:val="00E1495C"/>
    <w:rsid w:val="00E149A6"/>
    <w:rsid w:val="00E14A79"/>
    <w:rsid w:val="00E14F22"/>
    <w:rsid w:val="00E15026"/>
    <w:rsid w:val="00E1551C"/>
    <w:rsid w:val="00E15C20"/>
    <w:rsid w:val="00E1625A"/>
    <w:rsid w:val="00E16986"/>
    <w:rsid w:val="00E16BEC"/>
    <w:rsid w:val="00E16D4F"/>
    <w:rsid w:val="00E17202"/>
    <w:rsid w:val="00E17716"/>
    <w:rsid w:val="00E177D8"/>
    <w:rsid w:val="00E17902"/>
    <w:rsid w:val="00E17992"/>
    <w:rsid w:val="00E17B88"/>
    <w:rsid w:val="00E20141"/>
    <w:rsid w:val="00E20219"/>
    <w:rsid w:val="00E2063B"/>
    <w:rsid w:val="00E2088C"/>
    <w:rsid w:val="00E20A1B"/>
    <w:rsid w:val="00E20E8B"/>
    <w:rsid w:val="00E211C9"/>
    <w:rsid w:val="00E214C0"/>
    <w:rsid w:val="00E216EE"/>
    <w:rsid w:val="00E2173F"/>
    <w:rsid w:val="00E22018"/>
    <w:rsid w:val="00E22413"/>
    <w:rsid w:val="00E22C8B"/>
    <w:rsid w:val="00E22DB7"/>
    <w:rsid w:val="00E22DDA"/>
    <w:rsid w:val="00E23121"/>
    <w:rsid w:val="00E23BD6"/>
    <w:rsid w:val="00E23C6E"/>
    <w:rsid w:val="00E2480A"/>
    <w:rsid w:val="00E24BF8"/>
    <w:rsid w:val="00E24DB1"/>
    <w:rsid w:val="00E25141"/>
    <w:rsid w:val="00E25179"/>
    <w:rsid w:val="00E251C3"/>
    <w:rsid w:val="00E25258"/>
    <w:rsid w:val="00E25396"/>
    <w:rsid w:val="00E253AB"/>
    <w:rsid w:val="00E253C6"/>
    <w:rsid w:val="00E2542F"/>
    <w:rsid w:val="00E2571A"/>
    <w:rsid w:val="00E25D1B"/>
    <w:rsid w:val="00E25D6F"/>
    <w:rsid w:val="00E25E2C"/>
    <w:rsid w:val="00E26229"/>
    <w:rsid w:val="00E26267"/>
    <w:rsid w:val="00E2639F"/>
    <w:rsid w:val="00E26C50"/>
    <w:rsid w:val="00E26CF9"/>
    <w:rsid w:val="00E2718C"/>
    <w:rsid w:val="00E271E0"/>
    <w:rsid w:val="00E276E7"/>
    <w:rsid w:val="00E30856"/>
    <w:rsid w:val="00E30C8D"/>
    <w:rsid w:val="00E31065"/>
    <w:rsid w:val="00E3108A"/>
    <w:rsid w:val="00E31F05"/>
    <w:rsid w:val="00E32273"/>
    <w:rsid w:val="00E32B51"/>
    <w:rsid w:val="00E32BD3"/>
    <w:rsid w:val="00E3319D"/>
    <w:rsid w:val="00E33849"/>
    <w:rsid w:val="00E33E84"/>
    <w:rsid w:val="00E34008"/>
    <w:rsid w:val="00E343A8"/>
    <w:rsid w:val="00E34AF9"/>
    <w:rsid w:val="00E34B83"/>
    <w:rsid w:val="00E34C15"/>
    <w:rsid w:val="00E34E93"/>
    <w:rsid w:val="00E35069"/>
    <w:rsid w:val="00E351F3"/>
    <w:rsid w:val="00E352D2"/>
    <w:rsid w:val="00E35581"/>
    <w:rsid w:val="00E3568F"/>
    <w:rsid w:val="00E35BBB"/>
    <w:rsid w:val="00E35BF5"/>
    <w:rsid w:val="00E35DFF"/>
    <w:rsid w:val="00E35FD0"/>
    <w:rsid w:val="00E36775"/>
    <w:rsid w:val="00E36782"/>
    <w:rsid w:val="00E36991"/>
    <w:rsid w:val="00E369C0"/>
    <w:rsid w:val="00E36F64"/>
    <w:rsid w:val="00E370AE"/>
    <w:rsid w:val="00E37834"/>
    <w:rsid w:val="00E400A2"/>
    <w:rsid w:val="00E40565"/>
    <w:rsid w:val="00E40961"/>
    <w:rsid w:val="00E411BE"/>
    <w:rsid w:val="00E413D2"/>
    <w:rsid w:val="00E41A68"/>
    <w:rsid w:val="00E41E0D"/>
    <w:rsid w:val="00E424D6"/>
    <w:rsid w:val="00E42625"/>
    <w:rsid w:val="00E42E0C"/>
    <w:rsid w:val="00E42FB2"/>
    <w:rsid w:val="00E4334F"/>
    <w:rsid w:val="00E435D1"/>
    <w:rsid w:val="00E439FD"/>
    <w:rsid w:val="00E43A75"/>
    <w:rsid w:val="00E43D1E"/>
    <w:rsid w:val="00E44496"/>
    <w:rsid w:val="00E44737"/>
    <w:rsid w:val="00E44810"/>
    <w:rsid w:val="00E4486D"/>
    <w:rsid w:val="00E44FB5"/>
    <w:rsid w:val="00E4520B"/>
    <w:rsid w:val="00E4524C"/>
    <w:rsid w:val="00E456F1"/>
    <w:rsid w:val="00E45DFD"/>
    <w:rsid w:val="00E46059"/>
    <w:rsid w:val="00E4632C"/>
    <w:rsid w:val="00E46514"/>
    <w:rsid w:val="00E467B5"/>
    <w:rsid w:val="00E469A6"/>
    <w:rsid w:val="00E46B41"/>
    <w:rsid w:val="00E476A2"/>
    <w:rsid w:val="00E47A63"/>
    <w:rsid w:val="00E47AD8"/>
    <w:rsid w:val="00E50104"/>
    <w:rsid w:val="00E50A38"/>
    <w:rsid w:val="00E50D2A"/>
    <w:rsid w:val="00E50F8C"/>
    <w:rsid w:val="00E51053"/>
    <w:rsid w:val="00E511CC"/>
    <w:rsid w:val="00E514C4"/>
    <w:rsid w:val="00E515E0"/>
    <w:rsid w:val="00E5161F"/>
    <w:rsid w:val="00E51D91"/>
    <w:rsid w:val="00E52FFF"/>
    <w:rsid w:val="00E53136"/>
    <w:rsid w:val="00E531DF"/>
    <w:rsid w:val="00E536BB"/>
    <w:rsid w:val="00E53BE3"/>
    <w:rsid w:val="00E53DEE"/>
    <w:rsid w:val="00E53F9C"/>
    <w:rsid w:val="00E541C1"/>
    <w:rsid w:val="00E54384"/>
    <w:rsid w:val="00E54413"/>
    <w:rsid w:val="00E54454"/>
    <w:rsid w:val="00E544C2"/>
    <w:rsid w:val="00E54A02"/>
    <w:rsid w:val="00E54BE5"/>
    <w:rsid w:val="00E54E31"/>
    <w:rsid w:val="00E5521B"/>
    <w:rsid w:val="00E55951"/>
    <w:rsid w:val="00E55956"/>
    <w:rsid w:val="00E55BA0"/>
    <w:rsid w:val="00E55CBB"/>
    <w:rsid w:val="00E564AB"/>
    <w:rsid w:val="00E56826"/>
    <w:rsid w:val="00E56AC3"/>
    <w:rsid w:val="00E56AF1"/>
    <w:rsid w:val="00E56E3A"/>
    <w:rsid w:val="00E570C3"/>
    <w:rsid w:val="00E5763A"/>
    <w:rsid w:val="00E576A4"/>
    <w:rsid w:val="00E579AF"/>
    <w:rsid w:val="00E57A93"/>
    <w:rsid w:val="00E601CF"/>
    <w:rsid w:val="00E605CB"/>
    <w:rsid w:val="00E60791"/>
    <w:rsid w:val="00E60826"/>
    <w:rsid w:val="00E60F94"/>
    <w:rsid w:val="00E61469"/>
    <w:rsid w:val="00E61A5C"/>
    <w:rsid w:val="00E61C13"/>
    <w:rsid w:val="00E61DAF"/>
    <w:rsid w:val="00E61EA6"/>
    <w:rsid w:val="00E61F37"/>
    <w:rsid w:val="00E61F7C"/>
    <w:rsid w:val="00E6227B"/>
    <w:rsid w:val="00E6228D"/>
    <w:rsid w:val="00E62389"/>
    <w:rsid w:val="00E6258C"/>
    <w:rsid w:val="00E626DB"/>
    <w:rsid w:val="00E62F89"/>
    <w:rsid w:val="00E62F8F"/>
    <w:rsid w:val="00E631A2"/>
    <w:rsid w:val="00E63397"/>
    <w:rsid w:val="00E63989"/>
    <w:rsid w:val="00E63B89"/>
    <w:rsid w:val="00E63C1C"/>
    <w:rsid w:val="00E63E6A"/>
    <w:rsid w:val="00E640C4"/>
    <w:rsid w:val="00E64448"/>
    <w:rsid w:val="00E645DF"/>
    <w:rsid w:val="00E64DF7"/>
    <w:rsid w:val="00E64FE2"/>
    <w:rsid w:val="00E65136"/>
    <w:rsid w:val="00E6543F"/>
    <w:rsid w:val="00E655F0"/>
    <w:rsid w:val="00E65A9A"/>
    <w:rsid w:val="00E65C4A"/>
    <w:rsid w:val="00E66115"/>
    <w:rsid w:val="00E66348"/>
    <w:rsid w:val="00E6647E"/>
    <w:rsid w:val="00E667A9"/>
    <w:rsid w:val="00E667AB"/>
    <w:rsid w:val="00E668C3"/>
    <w:rsid w:val="00E669B4"/>
    <w:rsid w:val="00E66AC4"/>
    <w:rsid w:val="00E66DE8"/>
    <w:rsid w:val="00E673FB"/>
    <w:rsid w:val="00E674B4"/>
    <w:rsid w:val="00E67AF6"/>
    <w:rsid w:val="00E67C47"/>
    <w:rsid w:val="00E67C4C"/>
    <w:rsid w:val="00E67FA6"/>
    <w:rsid w:val="00E70077"/>
    <w:rsid w:val="00E700C0"/>
    <w:rsid w:val="00E703AD"/>
    <w:rsid w:val="00E70BEE"/>
    <w:rsid w:val="00E70C47"/>
    <w:rsid w:val="00E70EB9"/>
    <w:rsid w:val="00E71A1E"/>
    <w:rsid w:val="00E71CB7"/>
    <w:rsid w:val="00E72199"/>
    <w:rsid w:val="00E721E9"/>
    <w:rsid w:val="00E726FB"/>
    <w:rsid w:val="00E72758"/>
    <w:rsid w:val="00E728EF"/>
    <w:rsid w:val="00E72D41"/>
    <w:rsid w:val="00E7335C"/>
    <w:rsid w:val="00E736CD"/>
    <w:rsid w:val="00E73B6F"/>
    <w:rsid w:val="00E73CB1"/>
    <w:rsid w:val="00E742A9"/>
    <w:rsid w:val="00E7435D"/>
    <w:rsid w:val="00E74D01"/>
    <w:rsid w:val="00E750B8"/>
    <w:rsid w:val="00E750E5"/>
    <w:rsid w:val="00E75463"/>
    <w:rsid w:val="00E755A2"/>
    <w:rsid w:val="00E75C3E"/>
    <w:rsid w:val="00E7631F"/>
    <w:rsid w:val="00E76A63"/>
    <w:rsid w:val="00E76B67"/>
    <w:rsid w:val="00E77AA4"/>
    <w:rsid w:val="00E77CBF"/>
    <w:rsid w:val="00E8038D"/>
    <w:rsid w:val="00E8084B"/>
    <w:rsid w:val="00E80BC6"/>
    <w:rsid w:val="00E80D62"/>
    <w:rsid w:val="00E80E31"/>
    <w:rsid w:val="00E81104"/>
    <w:rsid w:val="00E81143"/>
    <w:rsid w:val="00E81298"/>
    <w:rsid w:val="00E8129C"/>
    <w:rsid w:val="00E81440"/>
    <w:rsid w:val="00E815CF"/>
    <w:rsid w:val="00E816EE"/>
    <w:rsid w:val="00E82249"/>
    <w:rsid w:val="00E823CE"/>
    <w:rsid w:val="00E82566"/>
    <w:rsid w:val="00E82860"/>
    <w:rsid w:val="00E82B6C"/>
    <w:rsid w:val="00E82BB9"/>
    <w:rsid w:val="00E82BDE"/>
    <w:rsid w:val="00E82DE1"/>
    <w:rsid w:val="00E82DF7"/>
    <w:rsid w:val="00E83380"/>
    <w:rsid w:val="00E83832"/>
    <w:rsid w:val="00E839B3"/>
    <w:rsid w:val="00E842F5"/>
    <w:rsid w:val="00E8451F"/>
    <w:rsid w:val="00E8539B"/>
    <w:rsid w:val="00E859F6"/>
    <w:rsid w:val="00E85AE1"/>
    <w:rsid w:val="00E85BCE"/>
    <w:rsid w:val="00E85BE8"/>
    <w:rsid w:val="00E85E6A"/>
    <w:rsid w:val="00E860A8"/>
    <w:rsid w:val="00E86313"/>
    <w:rsid w:val="00E8643E"/>
    <w:rsid w:val="00E864C6"/>
    <w:rsid w:val="00E86640"/>
    <w:rsid w:val="00E870F9"/>
    <w:rsid w:val="00E871B6"/>
    <w:rsid w:val="00E873FE"/>
    <w:rsid w:val="00E874AD"/>
    <w:rsid w:val="00E87849"/>
    <w:rsid w:val="00E87D23"/>
    <w:rsid w:val="00E87D43"/>
    <w:rsid w:val="00E87D8D"/>
    <w:rsid w:val="00E87DB3"/>
    <w:rsid w:val="00E90347"/>
    <w:rsid w:val="00E9038E"/>
    <w:rsid w:val="00E90991"/>
    <w:rsid w:val="00E90E7B"/>
    <w:rsid w:val="00E90E87"/>
    <w:rsid w:val="00E910F9"/>
    <w:rsid w:val="00E9113B"/>
    <w:rsid w:val="00E91290"/>
    <w:rsid w:val="00E91302"/>
    <w:rsid w:val="00E91938"/>
    <w:rsid w:val="00E91AD2"/>
    <w:rsid w:val="00E91F43"/>
    <w:rsid w:val="00E91FB1"/>
    <w:rsid w:val="00E9272C"/>
    <w:rsid w:val="00E933A8"/>
    <w:rsid w:val="00E93544"/>
    <w:rsid w:val="00E9377F"/>
    <w:rsid w:val="00E93CB4"/>
    <w:rsid w:val="00E93FC1"/>
    <w:rsid w:val="00E948F0"/>
    <w:rsid w:val="00E949AD"/>
    <w:rsid w:val="00E94DD4"/>
    <w:rsid w:val="00E9500B"/>
    <w:rsid w:val="00E952A1"/>
    <w:rsid w:val="00E9563D"/>
    <w:rsid w:val="00E95779"/>
    <w:rsid w:val="00E95EA9"/>
    <w:rsid w:val="00E963C6"/>
    <w:rsid w:val="00E96793"/>
    <w:rsid w:val="00E96C22"/>
    <w:rsid w:val="00E96F49"/>
    <w:rsid w:val="00E97866"/>
    <w:rsid w:val="00E97873"/>
    <w:rsid w:val="00E97CE0"/>
    <w:rsid w:val="00E97DEF"/>
    <w:rsid w:val="00EA0137"/>
    <w:rsid w:val="00EA0739"/>
    <w:rsid w:val="00EA07D4"/>
    <w:rsid w:val="00EA0A38"/>
    <w:rsid w:val="00EA0D78"/>
    <w:rsid w:val="00EA0EAE"/>
    <w:rsid w:val="00EA10ED"/>
    <w:rsid w:val="00EA1127"/>
    <w:rsid w:val="00EA1200"/>
    <w:rsid w:val="00EA168B"/>
    <w:rsid w:val="00EA1FA4"/>
    <w:rsid w:val="00EA22CF"/>
    <w:rsid w:val="00EA22EA"/>
    <w:rsid w:val="00EA2AA6"/>
    <w:rsid w:val="00EA2C2C"/>
    <w:rsid w:val="00EA2C47"/>
    <w:rsid w:val="00EA2D6F"/>
    <w:rsid w:val="00EA2EB9"/>
    <w:rsid w:val="00EA300A"/>
    <w:rsid w:val="00EA382D"/>
    <w:rsid w:val="00EA38E2"/>
    <w:rsid w:val="00EA399C"/>
    <w:rsid w:val="00EA3A0D"/>
    <w:rsid w:val="00EA3B32"/>
    <w:rsid w:val="00EA3D61"/>
    <w:rsid w:val="00EA3EB8"/>
    <w:rsid w:val="00EA413F"/>
    <w:rsid w:val="00EA4724"/>
    <w:rsid w:val="00EA489C"/>
    <w:rsid w:val="00EA53D9"/>
    <w:rsid w:val="00EA54AA"/>
    <w:rsid w:val="00EA5689"/>
    <w:rsid w:val="00EA5CDC"/>
    <w:rsid w:val="00EA62F2"/>
    <w:rsid w:val="00EA6C6C"/>
    <w:rsid w:val="00EA7109"/>
    <w:rsid w:val="00EA7432"/>
    <w:rsid w:val="00EA751E"/>
    <w:rsid w:val="00EA7552"/>
    <w:rsid w:val="00EA7607"/>
    <w:rsid w:val="00EA77B0"/>
    <w:rsid w:val="00EA79D7"/>
    <w:rsid w:val="00EA7EDE"/>
    <w:rsid w:val="00EA7FA7"/>
    <w:rsid w:val="00EB07CD"/>
    <w:rsid w:val="00EB086D"/>
    <w:rsid w:val="00EB0C40"/>
    <w:rsid w:val="00EB122C"/>
    <w:rsid w:val="00EB128F"/>
    <w:rsid w:val="00EB190F"/>
    <w:rsid w:val="00EB1947"/>
    <w:rsid w:val="00EB1CEF"/>
    <w:rsid w:val="00EB2AA0"/>
    <w:rsid w:val="00EB2ABE"/>
    <w:rsid w:val="00EB2B5B"/>
    <w:rsid w:val="00EB3118"/>
    <w:rsid w:val="00EB3363"/>
    <w:rsid w:val="00EB3593"/>
    <w:rsid w:val="00EB38C3"/>
    <w:rsid w:val="00EB4048"/>
    <w:rsid w:val="00EB4813"/>
    <w:rsid w:val="00EB49AF"/>
    <w:rsid w:val="00EB4B3B"/>
    <w:rsid w:val="00EB4DCC"/>
    <w:rsid w:val="00EB4DD9"/>
    <w:rsid w:val="00EB5102"/>
    <w:rsid w:val="00EB5502"/>
    <w:rsid w:val="00EB5F9A"/>
    <w:rsid w:val="00EB62B2"/>
    <w:rsid w:val="00EB6680"/>
    <w:rsid w:val="00EB691E"/>
    <w:rsid w:val="00EB695E"/>
    <w:rsid w:val="00EB6A78"/>
    <w:rsid w:val="00EB6B6A"/>
    <w:rsid w:val="00EB6FA4"/>
    <w:rsid w:val="00EB70E8"/>
    <w:rsid w:val="00EB769A"/>
    <w:rsid w:val="00EB78D3"/>
    <w:rsid w:val="00EB7909"/>
    <w:rsid w:val="00EB7CCB"/>
    <w:rsid w:val="00EC0274"/>
    <w:rsid w:val="00EC0422"/>
    <w:rsid w:val="00EC0A8A"/>
    <w:rsid w:val="00EC0C46"/>
    <w:rsid w:val="00EC0CEB"/>
    <w:rsid w:val="00EC0E31"/>
    <w:rsid w:val="00EC0E6D"/>
    <w:rsid w:val="00EC0F92"/>
    <w:rsid w:val="00EC0FBF"/>
    <w:rsid w:val="00EC0FF9"/>
    <w:rsid w:val="00EC10DF"/>
    <w:rsid w:val="00EC11E7"/>
    <w:rsid w:val="00EC1933"/>
    <w:rsid w:val="00EC1B44"/>
    <w:rsid w:val="00EC218A"/>
    <w:rsid w:val="00EC2353"/>
    <w:rsid w:val="00EC2438"/>
    <w:rsid w:val="00EC32CE"/>
    <w:rsid w:val="00EC3487"/>
    <w:rsid w:val="00EC3885"/>
    <w:rsid w:val="00EC3B90"/>
    <w:rsid w:val="00EC4589"/>
    <w:rsid w:val="00EC4AE7"/>
    <w:rsid w:val="00EC4D4C"/>
    <w:rsid w:val="00EC521E"/>
    <w:rsid w:val="00EC5AA8"/>
    <w:rsid w:val="00EC5AC1"/>
    <w:rsid w:val="00EC5B80"/>
    <w:rsid w:val="00EC5E10"/>
    <w:rsid w:val="00EC6098"/>
    <w:rsid w:val="00EC6111"/>
    <w:rsid w:val="00EC6828"/>
    <w:rsid w:val="00EC6982"/>
    <w:rsid w:val="00EC6A9F"/>
    <w:rsid w:val="00EC6B36"/>
    <w:rsid w:val="00EC73DE"/>
    <w:rsid w:val="00EC7A43"/>
    <w:rsid w:val="00EC7C79"/>
    <w:rsid w:val="00ED0584"/>
    <w:rsid w:val="00ED08AA"/>
    <w:rsid w:val="00ED0A56"/>
    <w:rsid w:val="00ED0B84"/>
    <w:rsid w:val="00ED0B88"/>
    <w:rsid w:val="00ED0BEC"/>
    <w:rsid w:val="00ED0D94"/>
    <w:rsid w:val="00ED136C"/>
    <w:rsid w:val="00ED1C6E"/>
    <w:rsid w:val="00ED1F3A"/>
    <w:rsid w:val="00ED21C2"/>
    <w:rsid w:val="00ED2987"/>
    <w:rsid w:val="00ED2F11"/>
    <w:rsid w:val="00ED310B"/>
    <w:rsid w:val="00ED3118"/>
    <w:rsid w:val="00ED32C6"/>
    <w:rsid w:val="00ED35A7"/>
    <w:rsid w:val="00ED456C"/>
    <w:rsid w:val="00ED4699"/>
    <w:rsid w:val="00ED48BE"/>
    <w:rsid w:val="00ED49A1"/>
    <w:rsid w:val="00ED4BBE"/>
    <w:rsid w:val="00ED56B5"/>
    <w:rsid w:val="00ED5832"/>
    <w:rsid w:val="00ED5AC2"/>
    <w:rsid w:val="00ED5CA6"/>
    <w:rsid w:val="00ED5DAA"/>
    <w:rsid w:val="00ED5DAD"/>
    <w:rsid w:val="00ED5E38"/>
    <w:rsid w:val="00ED621F"/>
    <w:rsid w:val="00ED6834"/>
    <w:rsid w:val="00ED6929"/>
    <w:rsid w:val="00ED69D0"/>
    <w:rsid w:val="00ED6CC8"/>
    <w:rsid w:val="00ED6F5F"/>
    <w:rsid w:val="00ED74C0"/>
    <w:rsid w:val="00ED76A1"/>
    <w:rsid w:val="00EE0145"/>
    <w:rsid w:val="00EE01AB"/>
    <w:rsid w:val="00EE035A"/>
    <w:rsid w:val="00EE0423"/>
    <w:rsid w:val="00EE0E08"/>
    <w:rsid w:val="00EE1303"/>
    <w:rsid w:val="00EE15F7"/>
    <w:rsid w:val="00EE17A6"/>
    <w:rsid w:val="00EE1B33"/>
    <w:rsid w:val="00EE1CA4"/>
    <w:rsid w:val="00EE1D91"/>
    <w:rsid w:val="00EE1D9D"/>
    <w:rsid w:val="00EE2290"/>
    <w:rsid w:val="00EE27ED"/>
    <w:rsid w:val="00EE30B2"/>
    <w:rsid w:val="00EE35BA"/>
    <w:rsid w:val="00EE3789"/>
    <w:rsid w:val="00EE3B9E"/>
    <w:rsid w:val="00EE3C93"/>
    <w:rsid w:val="00EE40E2"/>
    <w:rsid w:val="00EE43B1"/>
    <w:rsid w:val="00EE5090"/>
    <w:rsid w:val="00EE50E6"/>
    <w:rsid w:val="00EE5263"/>
    <w:rsid w:val="00EE5730"/>
    <w:rsid w:val="00EE58CF"/>
    <w:rsid w:val="00EE653C"/>
    <w:rsid w:val="00EE671A"/>
    <w:rsid w:val="00EE694C"/>
    <w:rsid w:val="00EE6ABD"/>
    <w:rsid w:val="00EE6B7D"/>
    <w:rsid w:val="00EE6E47"/>
    <w:rsid w:val="00EE710D"/>
    <w:rsid w:val="00EE71C2"/>
    <w:rsid w:val="00EE7733"/>
    <w:rsid w:val="00EE7746"/>
    <w:rsid w:val="00EE79C6"/>
    <w:rsid w:val="00EF0A14"/>
    <w:rsid w:val="00EF0C7E"/>
    <w:rsid w:val="00EF0ED9"/>
    <w:rsid w:val="00EF11E4"/>
    <w:rsid w:val="00EF1661"/>
    <w:rsid w:val="00EF1ADA"/>
    <w:rsid w:val="00EF1CEF"/>
    <w:rsid w:val="00EF1D0E"/>
    <w:rsid w:val="00EF20A0"/>
    <w:rsid w:val="00EF2251"/>
    <w:rsid w:val="00EF26ED"/>
    <w:rsid w:val="00EF293F"/>
    <w:rsid w:val="00EF2943"/>
    <w:rsid w:val="00EF2D5E"/>
    <w:rsid w:val="00EF30E5"/>
    <w:rsid w:val="00EF32D5"/>
    <w:rsid w:val="00EF343B"/>
    <w:rsid w:val="00EF344A"/>
    <w:rsid w:val="00EF3528"/>
    <w:rsid w:val="00EF3EC9"/>
    <w:rsid w:val="00EF3ECA"/>
    <w:rsid w:val="00EF4270"/>
    <w:rsid w:val="00EF43A9"/>
    <w:rsid w:val="00EF46AF"/>
    <w:rsid w:val="00EF497C"/>
    <w:rsid w:val="00EF4EB8"/>
    <w:rsid w:val="00EF5290"/>
    <w:rsid w:val="00EF534A"/>
    <w:rsid w:val="00EF54CB"/>
    <w:rsid w:val="00EF55F8"/>
    <w:rsid w:val="00EF5ADF"/>
    <w:rsid w:val="00EF5D8C"/>
    <w:rsid w:val="00EF6071"/>
    <w:rsid w:val="00EF7C0A"/>
    <w:rsid w:val="00EF7C58"/>
    <w:rsid w:val="00F00483"/>
    <w:rsid w:val="00F004B0"/>
    <w:rsid w:val="00F00A14"/>
    <w:rsid w:val="00F00AF3"/>
    <w:rsid w:val="00F00D7F"/>
    <w:rsid w:val="00F01109"/>
    <w:rsid w:val="00F0198B"/>
    <w:rsid w:val="00F01FB2"/>
    <w:rsid w:val="00F01FD9"/>
    <w:rsid w:val="00F01FF2"/>
    <w:rsid w:val="00F02059"/>
    <w:rsid w:val="00F020A7"/>
    <w:rsid w:val="00F031E0"/>
    <w:rsid w:val="00F03726"/>
    <w:rsid w:val="00F0402A"/>
    <w:rsid w:val="00F0422F"/>
    <w:rsid w:val="00F04272"/>
    <w:rsid w:val="00F05086"/>
    <w:rsid w:val="00F05180"/>
    <w:rsid w:val="00F056FB"/>
    <w:rsid w:val="00F05A94"/>
    <w:rsid w:val="00F05F09"/>
    <w:rsid w:val="00F05FF0"/>
    <w:rsid w:val="00F06699"/>
    <w:rsid w:val="00F066B7"/>
    <w:rsid w:val="00F06846"/>
    <w:rsid w:val="00F06DCC"/>
    <w:rsid w:val="00F06E9F"/>
    <w:rsid w:val="00F06F0B"/>
    <w:rsid w:val="00F07499"/>
    <w:rsid w:val="00F07716"/>
    <w:rsid w:val="00F07820"/>
    <w:rsid w:val="00F078DA"/>
    <w:rsid w:val="00F07954"/>
    <w:rsid w:val="00F07D9F"/>
    <w:rsid w:val="00F10912"/>
    <w:rsid w:val="00F10A12"/>
    <w:rsid w:val="00F11298"/>
    <w:rsid w:val="00F1136A"/>
    <w:rsid w:val="00F11382"/>
    <w:rsid w:val="00F114EA"/>
    <w:rsid w:val="00F11903"/>
    <w:rsid w:val="00F11E15"/>
    <w:rsid w:val="00F12204"/>
    <w:rsid w:val="00F1261A"/>
    <w:rsid w:val="00F12792"/>
    <w:rsid w:val="00F12C77"/>
    <w:rsid w:val="00F13069"/>
    <w:rsid w:val="00F13168"/>
    <w:rsid w:val="00F1383B"/>
    <w:rsid w:val="00F13910"/>
    <w:rsid w:val="00F14212"/>
    <w:rsid w:val="00F1429E"/>
    <w:rsid w:val="00F14715"/>
    <w:rsid w:val="00F14AC9"/>
    <w:rsid w:val="00F14D57"/>
    <w:rsid w:val="00F151F2"/>
    <w:rsid w:val="00F1523F"/>
    <w:rsid w:val="00F1557B"/>
    <w:rsid w:val="00F15668"/>
    <w:rsid w:val="00F1593F"/>
    <w:rsid w:val="00F15966"/>
    <w:rsid w:val="00F15D60"/>
    <w:rsid w:val="00F15F28"/>
    <w:rsid w:val="00F16018"/>
    <w:rsid w:val="00F1613B"/>
    <w:rsid w:val="00F161B3"/>
    <w:rsid w:val="00F169FC"/>
    <w:rsid w:val="00F16B34"/>
    <w:rsid w:val="00F16F33"/>
    <w:rsid w:val="00F1707A"/>
    <w:rsid w:val="00F170A4"/>
    <w:rsid w:val="00F17315"/>
    <w:rsid w:val="00F17527"/>
    <w:rsid w:val="00F17AA9"/>
    <w:rsid w:val="00F20094"/>
    <w:rsid w:val="00F20377"/>
    <w:rsid w:val="00F203AD"/>
    <w:rsid w:val="00F205CD"/>
    <w:rsid w:val="00F205F2"/>
    <w:rsid w:val="00F20660"/>
    <w:rsid w:val="00F20C0E"/>
    <w:rsid w:val="00F21447"/>
    <w:rsid w:val="00F217B8"/>
    <w:rsid w:val="00F21C74"/>
    <w:rsid w:val="00F21D91"/>
    <w:rsid w:val="00F21EAE"/>
    <w:rsid w:val="00F22036"/>
    <w:rsid w:val="00F220F4"/>
    <w:rsid w:val="00F22EAB"/>
    <w:rsid w:val="00F23123"/>
    <w:rsid w:val="00F2325E"/>
    <w:rsid w:val="00F2344C"/>
    <w:rsid w:val="00F238F2"/>
    <w:rsid w:val="00F238FE"/>
    <w:rsid w:val="00F239FE"/>
    <w:rsid w:val="00F23BA7"/>
    <w:rsid w:val="00F23D2F"/>
    <w:rsid w:val="00F23D5F"/>
    <w:rsid w:val="00F23D8F"/>
    <w:rsid w:val="00F2427E"/>
    <w:rsid w:val="00F24A4B"/>
    <w:rsid w:val="00F24B89"/>
    <w:rsid w:val="00F24C65"/>
    <w:rsid w:val="00F24DCB"/>
    <w:rsid w:val="00F24E98"/>
    <w:rsid w:val="00F24F1F"/>
    <w:rsid w:val="00F252BC"/>
    <w:rsid w:val="00F2551B"/>
    <w:rsid w:val="00F256C8"/>
    <w:rsid w:val="00F25A7C"/>
    <w:rsid w:val="00F25BA8"/>
    <w:rsid w:val="00F25CDD"/>
    <w:rsid w:val="00F25CF1"/>
    <w:rsid w:val="00F25D02"/>
    <w:rsid w:val="00F25F77"/>
    <w:rsid w:val="00F26246"/>
    <w:rsid w:val="00F2656A"/>
    <w:rsid w:val="00F267AA"/>
    <w:rsid w:val="00F26A44"/>
    <w:rsid w:val="00F27104"/>
    <w:rsid w:val="00F2720F"/>
    <w:rsid w:val="00F27922"/>
    <w:rsid w:val="00F27F81"/>
    <w:rsid w:val="00F304D4"/>
    <w:rsid w:val="00F307A3"/>
    <w:rsid w:val="00F308C1"/>
    <w:rsid w:val="00F309AD"/>
    <w:rsid w:val="00F30B01"/>
    <w:rsid w:val="00F30B3F"/>
    <w:rsid w:val="00F30CB6"/>
    <w:rsid w:val="00F30E14"/>
    <w:rsid w:val="00F3127A"/>
    <w:rsid w:val="00F3131E"/>
    <w:rsid w:val="00F317A3"/>
    <w:rsid w:val="00F31C2F"/>
    <w:rsid w:val="00F31C56"/>
    <w:rsid w:val="00F31E2D"/>
    <w:rsid w:val="00F323E0"/>
    <w:rsid w:val="00F32423"/>
    <w:rsid w:val="00F33172"/>
    <w:rsid w:val="00F331C6"/>
    <w:rsid w:val="00F332DF"/>
    <w:rsid w:val="00F3332E"/>
    <w:rsid w:val="00F33340"/>
    <w:rsid w:val="00F333FC"/>
    <w:rsid w:val="00F335C6"/>
    <w:rsid w:val="00F33788"/>
    <w:rsid w:val="00F3388F"/>
    <w:rsid w:val="00F33F06"/>
    <w:rsid w:val="00F347BC"/>
    <w:rsid w:val="00F34B6D"/>
    <w:rsid w:val="00F34B80"/>
    <w:rsid w:val="00F34E79"/>
    <w:rsid w:val="00F34EAC"/>
    <w:rsid w:val="00F3597B"/>
    <w:rsid w:val="00F35C91"/>
    <w:rsid w:val="00F35DC8"/>
    <w:rsid w:val="00F36402"/>
    <w:rsid w:val="00F3645F"/>
    <w:rsid w:val="00F365FB"/>
    <w:rsid w:val="00F36760"/>
    <w:rsid w:val="00F36A06"/>
    <w:rsid w:val="00F36B18"/>
    <w:rsid w:val="00F36C55"/>
    <w:rsid w:val="00F36D69"/>
    <w:rsid w:val="00F36DDE"/>
    <w:rsid w:val="00F36EE4"/>
    <w:rsid w:val="00F372FF"/>
    <w:rsid w:val="00F3758F"/>
    <w:rsid w:val="00F376C8"/>
    <w:rsid w:val="00F37A83"/>
    <w:rsid w:val="00F37C6E"/>
    <w:rsid w:val="00F4045C"/>
    <w:rsid w:val="00F405A8"/>
    <w:rsid w:val="00F407B9"/>
    <w:rsid w:val="00F40AE4"/>
    <w:rsid w:val="00F40C6E"/>
    <w:rsid w:val="00F40D4B"/>
    <w:rsid w:val="00F40EDD"/>
    <w:rsid w:val="00F412B6"/>
    <w:rsid w:val="00F41515"/>
    <w:rsid w:val="00F41582"/>
    <w:rsid w:val="00F4183A"/>
    <w:rsid w:val="00F419E7"/>
    <w:rsid w:val="00F41CB4"/>
    <w:rsid w:val="00F42A02"/>
    <w:rsid w:val="00F42D2F"/>
    <w:rsid w:val="00F42FA8"/>
    <w:rsid w:val="00F433C8"/>
    <w:rsid w:val="00F433E7"/>
    <w:rsid w:val="00F43405"/>
    <w:rsid w:val="00F439AD"/>
    <w:rsid w:val="00F43EC4"/>
    <w:rsid w:val="00F44519"/>
    <w:rsid w:val="00F44719"/>
    <w:rsid w:val="00F449EB"/>
    <w:rsid w:val="00F44C95"/>
    <w:rsid w:val="00F44D46"/>
    <w:rsid w:val="00F45195"/>
    <w:rsid w:val="00F4566D"/>
    <w:rsid w:val="00F4593A"/>
    <w:rsid w:val="00F45BA0"/>
    <w:rsid w:val="00F45EDA"/>
    <w:rsid w:val="00F462D1"/>
    <w:rsid w:val="00F46570"/>
    <w:rsid w:val="00F46A9B"/>
    <w:rsid w:val="00F46B17"/>
    <w:rsid w:val="00F46C8D"/>
    <w:rsid w:val="00F46FC1"/>
    <w:rsid w:val="00F47080"/>
    <w:rsid w:val="00F473C0"/>
    <w:rsid w:val="00F47C87"/>
    <w:rsid w:val="00F500D6"/>
    <w:rsid w:val="00F50151"/>
    <w:rsid w:val="00F50250"/>
    <w:rsid w:val="00F50304"/>
    <w:rsid w:val="00F5063A"/>
    <w:rsid w:val="00F50CF3"/>
    <w:rsid w:val="00F514A3"/>
    <w:rsid w:val="00F517E3"/>
    <w:rsid w:val="00F5199F"/>
    <w:rsid w:val="00F519EE"/>
    <w:rsid w:val="00F51AA8"/>
    <w:rsid w:val="00F51C1A"/>
    <w:rsid w:val="00F51FCD"/>
    <w:rsid w:val="00F52038"/>
    <w:rsid w:val="00F5240C"/>
    <w:rsid w:val="00F5271F"/>
    <w:rsid w:val="00F5289E"/>
    <w:rsid w:val="00F52BEE"/>
    <w:rsid w:val="00F52EA2"/>
    <w:rsid w:val="00F52F42"/>
    <w:rsid w:val="00F53DA4"/>
    <w:rsid w:val="00F54058"/>
    <w:rsid w:val="00F54197"/>
    <w:rsid w:val="00F54377"/>
    <w:rsid w:val="00F546C5"/>
    <w:rsid w:val="00F5537D"/>
    <w:rsid w:val="00F556BC"/>
    <w:rsid w:val="00F557EC"/>
    <w:rsid w:val="00F55B1C"/>
    <w:rsid w:val="00F5636E"/>
    <w:rsid w:val="00F56673"/>
    <w:rsid w:val="00F5711D"/>
    <w:rsid w:val="00F57D13"/>
    <w:rsid w:val="00F60655"/>
    <w:rsid w:val="00F607D8"/>
    <w:rsid w:val="00F60A77"/>
    <w:rsid w:val="00F60ADD"/>
    <w:rsid w:val="00F60BFF"/>
    <w:rsid w:val="00F60C3E"/>
    <w:rsid w:val="00F60E97"/>
    <w:rsid w:val="00F61286"/>
    <w:rsid w:val="00F619A5"/>
    <w:rsid w:val="00F61D67"/>
    <w:rsid w:val="00F61F3E"/>
    <w:rsid w:val="00F62371"/>
    <w:rsid w:val="00F625B2"/>
    <w:rsid w:val="00F62943"/>
    <w:rsid w:val="00F62A75"/>
    <w:rsid w:val="00F62C4E"/>
    <w:rsid w:val="00F62D7F"/>
    <w:rsid w:val="00F63872"/>
    <w:rsid w:val="00F641AC"/>
    <w:rsid w:val="00F64614"/>
    <w:rsid w:val="00F64B0C"/>
    <w:rsid w:val="00F64D1B"/>
    <w:rsid w:val="00F65025"/>
    <w:rsid w:val="00F65220"/>
    <w:rsid w:val="00F65D59"/>
    <w:rsid w:val="00F65E1F"/>
    <w:rsid w:val="00F6611B"/>
    <w:rsid w:val="00F663CF"/>
    <w:rsid w:val="00F66519"/>
    <w:rsid w:val="00F66811"/>
    <w:rsid w:val="00F66BFF"/>
    <w:rsid w:val="00F66CC5"/>
    <w:rsid w:val="00F66F10"/>
    <w:rsid w:val="00F67520"/>
    <w:rsid w:val="00F6778C"/>
    <w:rsid w:val="00F67817"/>
    <w:rsid w:val="00F6785E"/>
    <w:rsid w:val="00F67B62"/>
    <w:rsid w:val="00F67BAF"/>
    <w:rsid w:val="00F700AA"/>
    <w:rsid w:val="00F7028B"/>
    <w:rsid w:val="00F7046C"/>
    <w:rsid w:val="00F70717"/>
    <w:rsid w:val="00F70902"/>
    <w:rsid w:val="00F70A87"/>
    <w:rsid w:val="00F70B51"/>
    <w:rsid w:val="00F70C45"/>
    <w:rsid w:val="00F715E7"/>
    <w:rsid w:val="00F71C0E"/>
    <w:rsid w:val="00F71D8C"/>
    <w:rsid w:val="00F72714"/>
    <w:rsid w:val="00F7299E"/>
    <w:rsid w:val="00F72DA7"/>
    <w:rsid w:val="00F73020"/>
    <w:rsid w:val="00F732E5"/>
    <w:rsid w:val="00F73537"/>
    <w:rsid w:val="00F736CD"/>
    <w:rsid w:val="00F737DE"/>
    <w:rsid w:val="00F73C58"/>
    <w:rsid w:val="00F73C99"/>
    <w:rsid w:val="00F73CED"/>
    <w:rsid w:val="00F745B6"/>
    <w:rsid w:val="00F747CC"/>
    <w:rsid w:val="00F7488B"/>
    <w:rsid w:val="00F748EB"/>
    <w:rsid w:val="00F74A0A"/>
    <w:rsid w:val="00F74CEC"/>
    <w:rsid w:val="00F74E7D"/>
    <w:rsid w:val="00F750C2"/>
    <w:rsid w:val="00F75565"/>
    <w:rsid w:val="00F755B5"/>
    <w:rsid w:val="00F756D5"/>
    <w:rsid w:val="00F76234"/>
    <w:rsid w:val="00F763E7"/>
    <w:rsid w:val="00F76FD4"/>
    <w:rsid w:val="00F7719A"/>
    <w:rsid w:val="00F771B5"/>
    <w:rsid w:val="00F77632"/>
    <w:rsid w:val="00F77A71"/>
    <w:rsid w:val="00F77E2E"/>
    <w:rsid w:val="00F800C7"/>
    <w:rsid w:val="00F80187"/>
    <w:rsid w:val="00F80385"/>
    <w:rsid w:val="00F8038A"/>
    <w:rsid w:val="00F80878"/>
    <w:rsid w:val="00F81B8E"/>
    <w:rsid w:val="00F81DCC"/>
    <w:rsid w:val="00F82251"/>
    <w:rsid w:val="00F828BE"/>
    <w:rsid w:val="00F82964"/>
    <w:rsid w:val="00F82D93"/>
    <w:rsid w:val="00F82E2E"/>
    <w:rsid w:val="00F83004"/>
    <w:rsid w:val="00F830C1"/>
    <w:rsid w:val="00F8358A"/>
    <w:rsid w:val="00F8374B"/>
    <w:rsid w:val="00F83F3A"/>
    <w:rsid w:val="00F84253"/>
    <w:rsid w:val="00F8446F"/>
    <w:rsid w:val="00F8450C"/>
    <w:rsid w:val="00F845AF"/>
    <w:rsid w:val="00F84668"/>
    <w:rsid w:val="00F848F0"/>
    <w:rsid w:val="00F8493A"/>
    <w:rsid w:val="00F84C36"/>
    <w:rsid w:val="00F84CA8"/>
    <w:rsid w:val="00F84CF8"/>
    <w:rsid w:val="00F84DA3"/>
    <w:rsid w:val="00F84E19"/>
    <w:rsid w:val="00F84F85"/>
    <w:rsid w:val="00F85425"/>
    <w:rsid w:val="00F85854"/>
    <w:rsid w:val="00F859A3"/>
    <w:rsid w:val="00F860B4"/>
    <w:rsid w:val="00F8632E"/>
    <w:rsid w:val="00F86378"/>
    <w:rsid w:val="00F86399"/>
    <w:rsid w:val="00F863B0"/>
    <w:rsid w:val="00F86436"/>
    <w:rsid w:val="00F864B9"/>
    <w:rsid w:val="00F869CC"/>
    <w:rsid w:val="00F87449"/>
    <w:rsid w:val="00F87596"/>
    <w:rsid w:val="00F87BFA"/>
    <w:rsid w:val="00F87CC0"/>
    <w:rsid w:val="00F87E85"/>
    <w:rsid w:val="00F901A9"/>
    <w:rsid w:val="00F903C0"/>
    <w:rsid w:val="00F90672"/>
    <w:rsid w:val="00F9069F"/>
    <w:rsid w:val="00F9124F"/>
    <w:rsid w:val="00F91480"/>
    <w:rsid w:val="00F91927"/>
    <w:rsid w:val="00F91931"/>
    <w:rsid w:val="00F91C43"/>
    <w:rsid w:val="00F91FEC"/>
    <w:rsid w:val="00F922E8"/>
    <w:rsid w:val="00F929AB"/>
    <w:rsid w:val="00F92C1C"/>
    <w:rsid w:val="00F92DFE"/>
    <w:rsid w:val="00F9328B"/>
    <w:rsid w:val="00F939E4"/>
    <w:rsid w:val="00F93F5A"/>
    <w:rsid w:val="00F94088"/>
    <w:rsid w:val="00F943CF"/>
    <w:rsid w:val="00F94712"/>
    <w:rsid w:val="00F94AEE"/>
    <w:rsid w:val="00F94C05"/>
    <w:rsid w:val="00F94D2E"/>
    <w:rsid w:val="00F957C2"/>
    <w:rsid w:val="00F95EF0"/>
    <w:rsid w:val="00F95F57"/>
    <w:rsid w:val="00F95FD8"/>
    <w:rsid w:val="00F962C6"/>
    <w:rsid w:val="00F963C6"/>
    <w:rsid w:val="00F9665F"/>
    <w:rsid w:val="00F96776"/>
    <w:rsid w:val="00F969E9"/>
    <w:rsid w:val="00F96C8B"/>
    <w:rsid w:val="00F9728C"/>
    <w:rsid w:val="00F9739A"/>
    <w:rsid w:val="00F974A1"/>
    <w:rsid w:val="00F97567"/>
    <w:rsid w:val="00FA0495"/>
    <w:rsid w:val="00FA0933"/>
    <w:rsid w:val="00FA0C0D"/>
    <w:rsid w:val="00FA0DA5"/>
    <w:rsid w:val="00FA0F33"/>
    <w:rsid w:val="00FA1523"/>
    <w:rsid w:val="00FA18E2"/>
    <w:rsid w:val="00FA1B8F"/>
    <w:rsid w:val="00FA22B6"/>
    <w:rsid w:val="00FA2535"/>
    <w:rsid w:val="00FA2AA9"/>
    <w:rsid w:val="00FA3213"/>
    <w:rsid w:val="00FA36CC"/>
    <w:rsid w:val="00FA37C6"/>
    <w:rsid w:val="00FA39EA"/>
    <w:rsid w:val="00FA3B40"/>
    <w:rsid w:val="00FA3CBD"/>
    <w:rsid w:val="00FA3F1D"/>
    <w:rsid w:val="00FA4A6B"/>
    <w:rsid w:val="00FA4C0B"/>
    <w:rsid w:val="00FA5176"/>
    <w:rsid w:val="00FA54E3"/>
    <w:rsid w:val="00FA63BE"/>
    <w:rsid w:val="00FA6629"/>
    <w:rsid w:val="00FA670C"/>
    <w:rsid w:val="00FA683F"/>
    <w:rsid w:val="00FA6DF1"/>
    <w:rsid w:val="00FA6F1C"/>
    <w:rsid w:val="00FA71D8"/>
    <w:rsid w:val="00FA761E"/>
    <w:rsid w:val="00FA769B"/>
    <w:rsid w:val="00FB0700"/>
    <w:rsid w:val="00FB096A"/>
    <w:rsid w:val="00FB0ED5"/>
    <w:rsid w:val="00FB1082"/>
    <w:rsid w:val="00FB1A89"/>
    <w:rsid w:val="00FB1DA8"/>
    <w:rsid w:val="00FB2403"/>
    <w:rsid w:val="00FB247F"/>
    <w:rsid w:val="00FB26EB"/>
    <w:rsid w:val="00FB3341"/>
    <w:rsid w:val="00FB34E7"/>
    <w:rsid w:val="00FB3503"/>
    <w:rsid w:val="00FB3CCD"/>
    <w:rsid w:val="00FB4046"/>
    <w:rsid w:val="00FB4297"/>
    <w:rsid w:val="00FB42CA"/>
    <w:rsid w:val="00FB43E5"/>
    <w:rsid w:val="00FB4A4D"/>
    <w:rsid w:val="00FB4E78"/>
    <w:rsid w:val="00FB50BC"/>
    <w:rsid w:val="00FB50F3"/>
    <w:rsid w:val="00FB542B"/>
    <w:rsid w:val="00FB5AD0"/>
    <w:rsid w:val="00FB5B80"/>
    <w:rsid w:val="00FB606A"/>
    <w:rsid w:val="00FB612E"/>
    <w:rsid w:val="00FB620A"/>
    <w:rsid w:val="00FB6BD0"/>
    <w:rsid w:val="00FB73E5"/>
    <w:rsid w:val="00FB766E"/>
    <w:rsid w:val="00FB7C73"/>
    <w:rsid w:val="00FB7E28"/>
    <w:rsid w:val="00FC0284"/>
    <w:rsid w:val="00FC051A"/>
    <w:rsid w:val="00FC0571"/>
    <w:rsid w:val="00FC0A02"/>
    <w:rsid w:val="00FC185C"/>
    <w:rsid w:val="00FC1C84"/>
    <w:rsid w:val="00FC1E16"/>
    <w:rsid w:val="00FC1F47"/>
    <w:rsid w:val="00FC240C"/>
    <w:rsid w:val="00FC269A"/>
    <w:rsid w:val="00FC28EE"/>
    <w:rsid w:val="00FC29AC"/>
    <w:rsid w:val="00FC3461"/>
    <w:rsid w:val="00FC354E"/>
    <w:rsid w:val="00FC3EE1"/>
    <w:rsid w:val="00FC47A7"/>
    <w:rsid w:val="00FC4B5C"/>
    <w:rsid w:val="00FC4BB0"/>
    <w:rsid w:val="00FC4BBC"/>
    <w:rsid w:val="00FC5329"/>
    <w:rsid w:val="00FC54D4"/>
    <w:rsid w:val="00FC5CB4"/>
    <w:rsid w:val="00FC6203"/>
    <w:rsid w:val="00FC626B"/>
    <w:rsid w:val="00FC6525"/>
    <w:rsid w:val="00FC66E0"/>
    <w:rsid w:val="00FC692C"/>
    <w:rsid w:val="00FC6CDC"/>
    <w:rsid w:val="00FC7250"/>
    <w:rsid w:val="00FC7285"/>
    <w:rsid w:val="00FC76B2"/>
    <w:rsid w:val="00FC7AF7"/>
    <w:rsid w:val="00FC7BFF"/>
    <w:rsid w:val="00FC7C99"/>
    <w:rsid w:val="00FC7E63"/>
    <w:rsid w:val="00FC7F4B"/>
    <w:rsid w:val="00FD0B0E"/>
    <w:rsid w:val="00FD0D8D"/>
    <w:rsid w:val="00FD0EBB"/>
    <w:rsid w:val="00FD10DD"/>
    <w:rsid w:val="00FD1B16"/>
    <w:rsid w:val="00FD1BF4"/>
    <w:rsid w:val="00FD1CEC"/>
    <w:rsid w:val="00FD1DF8"/>
    <w:rsid w:val="00FD2000"/>
    <w:rsid w:val="00FD216A"/>
    <w:rsid w:val="00FD22F4"/>
    <w:rsid w:val="00FD242B"/>
    <w:rsid w:val="00FD24EB"/>
    <w:rsid w:val="00FD256D"/>
    <w:rsid w:val="00FD2698"/>
    <w:rsid w:val="00FD2937"/>
    <w:rsid w:val="00FD2E92"/>
    <w:rsid w:val="00FD308D"/>
    <w:rsid w:val="00FD33DB"/>
    <w:rsid w:val="00FD3445"/>
    <w:rsid w:val="00FD3897"/>
    <w:rsid w:val="00FD389F"/>
    <w:rsid w:val="00FD393B"/>
    <w:rsid w:val="00FD3E57"/>
    <w:rsid w:val="00FD41CC"/>
    <w:rsid w:val="00FD458C"/>
    <w:rsid w:val="00FD459B"/>
    <w:rsid w:val="00FD477A"/>
    <w:rsid w:val="00FD490F"/>
    <w:rsid w:val="00FD4E64"/>
    <w:rsid w:val="00FD5A53"/>
    <w:rsid w:val="00FD5CCE"/>
    <w:rsid w:val="00FD5DC0"/>
    <w:rsid w:val="00FD5FAB"/>
    <w:rsid w:val="00FD64A6"/>
    <w:rsid w:val="00FD6D45"/>
    <w:rsid w:val="00FD6D55"/>
    <w:rsid w:val="00FD6DAB"/>
    <w:rsid w:val="00FD7A76"/>
    <w:rsid w:val="00FD7B39"/>
    <w:rsid w:val="00FD7EEA"/>
    <w:rsid w:val="00FE0112"/>
    <w:rsid w:val="00FE0533"/>
    <w:rsid w:val="00FE06B3"/>
    <w:rsid w:val="00FE0932"/>
    <w:rsid w:val="00FE0A37"/>
    <w:rsid w:val="00FE0A63"/>
    <w:rsid w:val="00FE0F87"/>
    <w:rsid w:val="00FE14CD"/>
    <w:rsid w:val="00FE20FC"/>
    <w:rsid w:val="00FE20FE"/>
    <w:rsid w:val="00FE2441"/>
    <w:rsid w:val="00FE256C"/>
    <w:rsid w:val="00FE27D4"/>
    <w:rsid w:val="00FE2B2D"/>
    <w:rsid w:val="00FE2DA0"/>
    <w:rsid w:val="00FE38E8"/>
    <w:rsid w:val="00FE39D8"/>
    <w:rsid w:val="00FE4E7B"/>
    <w:rsid w:val="00FE4E9F"/>
    <w:rsid w:val="00FE51B1"/>
    <w:rsid w:val="00FE55C0"/>
    <w:rsid w:val="00FE5644"/>
    <w:rsid w:val="00FE5775"/>
    <w:rsid w:val="00FE577E"/>
    <w:rsid w:val="00FE5821"/>
    <w:rsid w:val="00FE64D9"/>
    <w:rsid w:val="00FE6CCB"/>
    <w:rsid w:val="00FE6E51"/>
    <w:rsid w:val="00FE77ED"/>
    <w:rsid w:val="00FE7DAA"/>
    <w:rsid w:val="00FE7E65"/>
    <w:rsid w:val="00FF0080"/>
    <w:rsid w:val="00FF0123"/>
    <w:rsid w:val="00FF0A47"/>
    <w:rsid w:val="00FF0AB3"/>
    <w:rsid w:val="00FF0AB6"/>
    <w:rsid w:val="00FF0BCB"/>
    <w:rsid w:val="00FF0C65"/>
    <w:rsid w:val="00FF1803"/>
    <w:rsid w:val="00FF21F0"/>
    <w:rsid w:val="00FF24FB"/>
    <w:rsid w:val="00FF2667"/>
    <w:rsid w:val="00FF26F2"/>
    <w:rsid w:val="00FF3060"/>
    <w:rsid w:val="00FF3099"/>
    <w:rsid w:val="00FF31A4"/>
    <w:rsid w:val="00FF3599"/>
    <w:rsid w:val="00FF3BEF"/>
    <w:rsid w:val="00FF3D02"/>
    <w:rsid w:val="00FF3DF0"/>
    <w:rsid w:val="00FF4100"/>
    <w:rsid w:val="00FF43EE"/>
    <w:rsid w:val="00FF4487"/>
    <w:rsid w:val="00FF4578"/>
    <w:rsid w:val="00FF4667"/>
    <w:rsid w:val="00FF4A9F"/>
    <w:rsid w:val="00FF4BCA"/>
    <w:rsid w:val="00FF4F5D"/>
    <w:rsid w:val="00FF5118"/>
    <w:rsid w:val="00FF5272"/>
    <w:rsid w:val="00FF565F"/>
    <w:rsid w:val="00FF5A25"/>
    <w:rsid w:val="00FF5B29"/>
    <w:rsid w:val="00FF5FDE"/>
    <w:rsid w:val="00FF6158"/>
    <w:rsid w:val="00FF64AE"/>
    <w:rsid w:val="00FF67CA"/>
    <w:rsid w:val="00FF68C7"/>
    <w:rsid w:val="00FF75A5"/>
    <w:rsid w:val="00FF7770"/>
    <w:rsid w:val="00FF7CB8"/>
    <w:rsid w:val="013D17CA"/>
    <w:rsid w:val="0195EEBE"/>
    <w:rsid w:val="01C724F7"/>
    <w:rsid w:val="01F8D7DE"/>
    <w:rsid w:val="01F96A94"/>
    <w:rsid w:val="02EAD685"/>
    <w:rsid w:val="02F81957"/>
    <w:rsid w:val="03DD3371"/>
    <w:rsid w:val="045FF49E"/>
    <w:rsid w:val="05775BD0"/>
    <w:rsid w:val="059A33AF"/>
    <w:rsid w:val="061FF6CF"/>
    <w:rsid w:val="077BF90B"/>
    <w:rsid w:val="07B22003"/>
    <w:rsid w:val="07D2BD5F"/>
    <w:rsid w:val="08016813"/>
    <w:rsid w:val="0919AEC3"/>
    <w:rsid w:val="094D1461"/>
    <w:rsid w:val="095637AE"/>
    <w:rsid w:val="09D5A940"/>
    <w:rsid w:val="0A3DC9E8"/>
    <w:rsid w:val="0B612C8E"/>
    <w:rsid w:val="0BC0F368"/>
    <w:rsid w:val="0C82A35C"/>
    <w:rsid w:val="0D4E4ECA"/>
    <w:rsid w:val="0E01B65E"/>
    <w:rsid w:val="0E7CC21F"/>
    <w:rsid w:val="0EB90F0A"/>
    <w:rsid w:val="0FD0DB96"/>
    <w:rsid w:val="0FE1D2C8"/>
    <w:rsid w:val="10271499"/>
    <w:rsid w:val="10279B03"/>
    <w:rsid w:val="10EC702D"/>
    <w:rsid w:val="110244DF"/>
    <w:rsid w:val="112DCD94"/>
    <w:rsid w:val="11CF462E"/>
    <w:rsid w:val="11F7D8ED"/>
    <w:rsid w:val="122B90F1"/>
    <w:rsid w:val="1336E6CA"/>
    <w:rsid w:val="13A46D37"/>
    <w:rsid w:val="153F3393"/>
    <w:rsid w:val="1561E10D"/>
    <w:rsid w:val="15C29628"/>
    <w:rsid w:val="15D5148E"/>
    <w:rsid w:val="15F0A0F3"/>
    <w:rsid w:val="160A68DA"/>
    <w:rsid w:val="162C428D"/>
    <w:rsid w:val="177BA1BC"/>
    <w:rsid w:val="17B6E0DA"/>
    <w:rsid w:val="17E99982"/>
    <w:rsid w:val="18028BBF"/>
    <w:rsid w:val="18187E4D"/>
    <w:rsid w:val="1931174A"/>
    <w:rsid w:val="195FB76D"/>
    <w:rsid w:val="196BAFBF"/>
    <w:rsid w:val="1995DE3E"/>
    <w:rsid w:val="19FF87FA"/>
    <w:rsid w:val="1A6E8A2D"/>
    <w:rsid w:val="1A7F21F1"/>
    <w:rsid w:val="1AABA95A"/>
    <w:rsid w:val="1AE086A2"/>
    <w:rsid w:val="1BDB2C7D"/>
    <w:rsid w:val="1C851DAD"/>
    <w:rsid w:val="1C981C18"/>
    <w:rsid w:val="1D1A6642"/>
    <w:rsid w:val="1D340289"/>
    <w:rsid w:val="1E6457EE"/>
    <w:rsid w:val="1EE52E06"/>
    <w:rsid w:val="1EE77366"/>
    <w:rsid w:val="1EEB1450"/>
    <w:rsid w:val="1F67FF72"/>
    <w:rsid w:val="1F772757"/>
    <w:rsid w:val="204EADB9"/>
    <w:rsid w:val="210CFCBF"/>
    <w:rsid w:val="21522934"/>
    <w:rsid w:val="229BDAF1"/>
    <w:rsid w:val="229D2212"/>
    <w:rsid w:val="22A8723D"/>
    <w:rsid w:val="22FF31C3"/>
    <w:rsid w:val="233AFD40"/>
    <w:rsid w:val="23ACCD73"/>
    <w:rsid w:val="23D0E53B"/>
    <w:rsid w:val="24539564"/>
    <w:rsid w:val="246612D0"/>
    <w:rsid w:val="246840B3"/>
    <w:rsid w:val="24938923"/>
    <w:rsid w:val="249AE6B0"/>
    <w:rsid w:val="24B911F4"/>
    <w:rsid w:val="258DE6A3"/>
    <w:rsid w:val="259FAA53"/>
    <w:rsid w:val="261F2EC8"/>
    <w:rsid w:val="2693FC52"/>
    <w:rsid w:val="27AC2A67"/>
    <w:rsid w:val="27FD5757"/>
    <w:rsid w:val="285A42F1"/>
    <w:rsid w:val="285C1ED5"/>
    <w:rsid w:val="28A975A0"/>
    <w:rsid w:val="28DAF2BC"/>
    <w:rsid w:val="29CF967C"/>
    <w:rsid w:val="29FFE4D1"/>
    <w:rsid w:val="2A5DB6DE"/>
    <w:rsid w:val="2A7B7938"/>
    <w:rsid w:val="2ACD0911"/>
    <w:rsid w:val="2B501F8B"/>
    <w:rsid w:val="2B5A2469"/>
    <w:rsid w:val="2D6E0112"/>
    <w:rsid w:val="2D7934F3"/>
    <w:rsid w:val="2DB0F06C"/>
    <w:rsid w:val="2DBB6997"/>
    <w:rsid w:val="2DC75B51"/>
    <w:rsid w:val="2DDE738B"/>
    <w:rsid w:val="2E0ABF7F"/>
    <w:rsid w:val="2E86AA38"/>
    <w:rsid w:val="2ECB63CD"/>
    <w:rsid w:val="2ED3EEB5"/>
    <w:rsid w:val="2EFCD686"/>
    <w:rsid w:val="2EFEF32E"/>
    <w:rsid w:val="2F59AC06"/>
    <w:rsid w:val="2F602FC1"/>
    <w:rsid w:val="2F71668D"/>
    <w:rsid w:val="2FA79221"/>
    <w:rsid w:val="30558790"/>
    <w:rsid w:val="31984F4C"/>
    <w:rsid w:val="3269D549"/>
    <w:rsid w:val="32CD93E1"/>
    <w:rsid w:val="3406221A"/>
    <w:rsid w:val="34178460"/>
    <w:rsid w:val="345AEDD5"/>
    <w:rsid w:val="34ABC75A"/>
    <w:rsid w:val="355A9EE8"/>
    <w:rsid w:val="372ACD3F"/>
    <w:rsid w:val="3754D491"/>
    <w:rsid w:val="375C082A"/>
    <w:rsid w:val="37944FDC"/>
    <w:rsid w:val="37D48D17"/>
    <w:rsid w:val="383643EF"/>
    <w:rsid w:val="383A6149"/>
    <w:rsid w:val="383B0F31"/>
    <w:rsid w:val="38711D38"/>
    <w:rsid w:val="3886AEF0"/>
    <w:rsid w:val="38B493A7"/>
    <w:rsid w:val="39284E8C"/>
    <w:rsid w:val="3954B78F"/>
    <w:rsid w:val="3A3F18C6"/>
    <w:rsid w:val="3A4D08BC"/>
    <w:rsid w:val="3AD29827"/>
    <w:rsid w:val="3BCD14AD"/>
    <w:rsid w:val="3C0639B8"/>
    <w:rsid w:val="3D3157E7"/>
    <w:rsid w:val="3D4D077A"/>
    <w:rsid w:val="3D8F56E2"/>
    <w:rsid w:val="3DD27406"/>
    <w:rsid w:val="3DEC2B09"/>
    <w:rsid w:val="3DF6A212"/>
    <w:rsid w:val="3F7EE64A"/>
    <w:rsid w:val="3FD0052B"/>
    <w:rsid w:val="3FEA2827"/>
    <w:rsid w:val="402478FF"/>
    <w:rsid w:val="40346CFE"/>
    <w:rsid w:val="40AE98F6"/>
    <w:rsid w:val="40AF78E6"/>
    <w:rsid w:val="413366D6"/>
    <w:rsid w:val="413391F9"/>
    <w:rsid w:val="41AE981C"/>
    <w:rsid w:val="4230FE38"/>
    <w:rsid w:val="42562761"/>
    <w:rsid w:val="438FBC27"/>
    <w:rsid w:val="43BE0B6B"/>
    <w:rsid w:val="445BCA36"/>
    <w:rsid w:val="44B46EE9"/>
    <w:rsid w:val="44EFCDA0"/>
    <w:rsid w:val="451F2B4C"/>
    <w:rsid w:val="45709312"/>
    <w:rsid w:val="459D04AD"/>
    <w:rsid w:val="4636983F"/>
    <w:rsid w:val="46FEFF8A"/>
    <w:rsid w:val="471DAB92"/>
    <w:rsid w:val="47CA742E"/>
    <w:rsid w:val="483A66E1"/>
    <w:rsid w:val="48C6AF17"/>
    <w:rsid w:val="49586E4A"/>
    <w:rsid w:val="49C54CC7"/>
    <w:rsid w:val="49F72A8B"/>
    <w:rsid w:val="4A2A02D5"/>
    <w:rsid w:val="4A3BE2FA"/>
    <w:rsid w:val="4A7AA92A"/>
    <w:rsid w:val="4ABB77C1"/>
    <w:rsid w:val="4ACC38D3"/>
    <w:rsid w:val="4B316778"/>
    <w:rsid w:val="4B4AB2F0"/>
    <w:rsid w:val="4C01A79A"/>
    <w:rsid w:val="4C3F2C68"/>
    <w:rsid w:val="4C99DC06"/>
    <w:rsid w:val="4CCEC0A7"/>
    <w:rsid w:val="4D0B6D53"/>
    <w:rsid w:val="4DF76B8B"/>
    <w:rsid w:val="4DF9027D"/>
    <w:rsid w:val="4E2EDB4F"/>
    <w:rsid w:val="4EB5C59E"/>
    <w:rsid w:val="4EBABB2C"/>
    <w:rsid w:val="4EBCD01E"/>
    <w:rsid w:val="4F54A1C4"/>
    <w:rsid w:val="4FFF47D9"/>
    <w:rsid w:val="5078C3A9"/>
    <w:rsid w:val="50B0D0BC"/>
    <w:rsid w:val="50BFD965"/>
    <w:rsid w:val="50C12F87"/>
    <w:rsid w:val="50CF5874"/>
    <w:rsid w:val="50E87671"/>
    <w:rsid w:val="510AD179"/>
    <w:rsid w:val="51328C97"/>
    <w:rsid w:val="51559C8F"/>
    <w:rsid w:val="51F33FE3"/>
    <w:rsid w:val="5233F90A"/>
    <w:rsid w:val="53263761"/>
    <w:rsid w:val="538F463E"/>
    <w:rsid w:val="5394775D"/>
    <w:rsid w:val="539597F3"/>
    <w:rsid w:val="53B594C3"/>
    <w:rsid w:val="53C436C8"/>
    <w:rsid w:val="54B1575C"/>
    <w:rsid w:val="55842147"/>
    <w:rsid w:val="55E37597"/>
    <w:rsid w:val="56133C4A"/>
    <w:rsid w:val="563B0103"/>
    <w:rsid w:val="566A38F1"/>
    <w:rsid w:val="567E4872"/>
    <w:rsid w:val="56D13D89"/>
    <w:rsid w:val="572DA8A0"/>
    <w:rsid w:val="57531610"/>
    <w:rsid w:val="58658481"/>
    <w:rsid w:val="58D5EC59"/>
    <w:rsid w:val="5A15A0CC"/>
    <w:rsid w:val="5A36D332"/>
    <w:rsid w:val="5A5E548F"/>
    <w:rsid w:val="5A8CD76E"/>
    <w:rsid w:val="5AC45737"/>
    <w:rsid w:val="5ACC9103"/>
    <w:rsid w:val="5B075439"/>
    <w:rsid w:val="5B496716"/>
    <w:rsid w:val="5B5E3480"/>
    <w:rsid w:val="5C546DD6"/>
    <w:rsid w:val="5D4E894B"/>
    <w:rsid w:val="5D791619"/>
    <w:rsid w:val="5DBB95D6"/>
    <w:rsid w:val="5E017D4F"/>
    <w:rsid w:val="5E14CFF5"/>
    <w:rsid w:val="5E671611"/>
    <w:rsid w:val="5E9807F6"/>
    <w:rsid w:val="5EC7657A"/>
    <w:rsid w:val="5F23DC5A"/>
    <w:rsid w:val="5F493D23"/>
    <w:rsid w:val="5F79115A"/>
    <w:rsid w:val="5FD6E4C8"/>
    <w:rsid w:val="6023CB76"/>
    <w:rsid w:val="60705D9A"/>
    <w:rsid w:val="6085D69B"/>
    <w:rsid w:val="60D63803"/>
    <w:rsid w:val="60DF3C2D"/>
    <w:rsid w:val="61210DEE"/>
    <w:rsid w:val="61ECFB83"/>
    <w:rsid w:val="6214E7E2"/>
    <w:rsid w:val="62A5CC1D"/>
    <w:rsid w:val="631660E4"/>
    <w:rsid w:val="63926665"/>
    <w:rsid w:val="64122F21"/>
    <w:rsid w:val="64925876"/>
    <w:rsid w:val="6498351E"/>
    <w:rsid w:val="64C5F17B"/>
    <w:rsid w:val="6625738B"/>
    <w:rsid w:val="66A5857D"/>
    <w:rsid w:val="6711D19F"/>
    <w:rsid w:val="671B1AD7"/>
    <w:rsid w:val="672BFCC3"/>
    <w:rsid w:val="676E9418"/>
    <w:rsid w:val="68926461"/>
    <w:rsid w:val="68F98C57"/>
    <w:rsid w:val="6911B069"/>
    <w:rsid w:val="698813FB"/>
    <w:rsid w:val="6A8E6017"/>
    <w:rsid w:val="6AF3546B"/>
    <w:rsid w:val="6B27F126"/>
    <w:rsid w:val="6C17F847"/>
    <w:rsid w:val="6CC81A75"/>
    <w:rsid w:val="6CD646BC"/>
    <w:rsid w:val="6CF14E56"/>
    <w:rsid w:val="6D0AD7E7"/>
    <w:rsid w:val="6D1BC62E"/>
    <w:rsid w:val="6D4AECC0"/>
    <w:rsid w:val="6D571FB0"/>
    <w:rsid w:val="6DA92B02"/>
    <w:rsid w:val="6DAA9A67"/>
    <w:rsid w:val="6E0A9979"/>
    <w:rsid w:val="6EC4ADCD"/>
    <w:rsid w:val="6EC4DC6A"/>
    <w:rsid w:val="6F4225AD"/>
    <w:rsid w:val="6FA2D4AF"/>
    <w:rsid w:val="6FB0BB59"/>
    <w:rsid w:val="6FC75162"/>
    <w:rsid w:val="6FD5946A"/>
    <w:rsid w:val="70725731"/>
    <w:rsid w:val="70F9064E"/>
    <w:rsid w:val="717A7770"/>
    <w:rsid w:val="72688A4A"/>
    <w:rsid w:val="72F63AA5"/>
    <w:rsid w:val="7352143F"/>
    <w:rsid w:val="738C7B73"/>
    <w:rsid w:val="73CB50E4"/>
    <w:rsid w:val="742F73D9"/>
    <w:rsid w:val="74797877"/>
    <w:rsid w:val="74C897B2"/>
    <w:rsid w:val="7553DA21"/>
    <w:rsid w:val="7625F991"/>
    <w:rsid w:val="769AE676"/>
    <w:rsid w:val="77119DA7"/>
    <w:rsid w:val="7803DA62"/>
    <w:rsid w:val="7886E3E5"/>
    <w:rsid w:val="791B5660"/>
    <w:rsid w:val="791CFE0D"/>
    <w:rsid w:val="791D2128"/>
    <w:rsid w:val="79AA5BEA"/>
    <w:rsid w:val="79B6CB56"/>
    <w:rsid w:val="7A03B390"/>
    <w:rsid w:val="7A1692A4"/>
    <w:rsid w:val="7A17B3BD"/>
    <w:rsid w:val="7AE31136"/>
    <w:rsid w:val="7B3DAE32"/>
    <w:rsid w:val="7BE5E958"/>
    <w:rsid w:val="7C049D64"/>
    <w:rsid w:val="7C161B78"/>
    <w:rsid w:val="7C6E0937"/>
    <w:rsid w:val="7C80211C"/>
    <w:rsid w:val="7C91F3C5"/>
    <w:rsid w:val="7D015F5B"/>
    <w:rsid w:val="7D1C0761"/>
    <w:rsid w:val="7D72473F"/>
    <w:rsid w:val="7E0CDFA4"/>
    <w:rsid w:val="7E115479"/>
    <w:rsid w:val="7E876DA5"/>
    <w:rsid w:val="7F6C1D31"/>
    <w:rsid w:val="7F833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1DD62"/>
  <w15:docId w15:val="{AED0012D-4496-4427-9008-A51A6CDA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29B"/>
    <w:rPr>
      <w:rFonts w:ascii="Arial" w:hAnsi="Arial"/>
      <w:sz w:val="24"/>
      <w:lang w:eastAsia="en-US"/>
    </w:rPr>
  </w:style>
  <w:style w:type="paragraph" w:styleId="Heading1">
    <w:name w:val="heading 1"/>
    <w:aliases w:val="RR level 1"/>
    <w:basedOn w:val="Normal"/>
    <w:next w:val="Normal"/>
    <w:link w:val="Heading1Char"/>
    <w:qFormat/>
    <w:pPr>
      <w:keepNext/>
      <w:outlineLvl w:val="0"/>
    </w:pPr>
    <w:rPr>
      <w:b/>
    </w:rPr>
  </w:style>
  <w:style w:type="paragraph" w:styleId="Heading2">
    <w:name w:val="heading 2"/>
    <w:basedOn w:val="Normal"/>
    <w:next w:val="Normal"/>
    <w:qFormat/>
    <w:pPr>
      <w:keepNext/>
      <w:ind w:right="-331"/>
      <w:jc w:val="center"/>
      <w:outlineLvl w:val="1"/>
    </w:pPr>
    <w:rPr>
      <w:b/>
      <w:sz w:val="28"/>
    </w:rPr>
  </w:style>
  <w:style w:type="paragraph" w:styleId="Heading3">
    <w:name w:val="heading 3"/>
    <w:basedOn w:val="Normal"/>
    <w:next w:val="Normal"/>
    <w:qFormat/>
    <w:pPr>
      <w:keepNext/>
      <w:ind w:right="-331"/>
      <w:outlineLvl w:val="2"/>
    </w:pPr>
    <w:rPr>
      <w:b/>
    </w:rPr>
  </w:style>
  <w:style w:type="paragraph" w:styleId="Heading4">
    <w:name w:val="heading 4"/>
    <w:basedOn w:val="Normal"/>
    <w:next w:val="Normal"/>
    <w:qFormat/>
    <w:pPr>
      <w:keepNext/>
      <w:spacing w:after="120"/>
      <w:outlineLvl w:val="3"/>
    </w:pPr>
    <w:rPr>
      <w:b/>
      <w:sz w:val="18"/>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tabs>
        <w:tab w:val="left" w:pos="720"/>
        <w:tab w:val="left" w:pos="1422"/>
        <w:tab w:val="right" w:pos="7920"/>
      </w:tabs>
      <w:ind w:left="1422"/>
      <w:outlineLvl w:val="6"/>
    </w:pPr>
    <w:rPr>
      <w:b/>
    </w:rPr>
  </w:style>
  <w:style w:type="paragraph" w:styleId="Heading8">
    <w:name w:val="heading 8"/>
    <w:basedOn w:val="Normal"/>
    <w:next w:val="Normal"/>
    <w:qFormat/>
    <w:pPr>
      <w:keepNext/>
      <w:jc w:val="center"/>
      <w:outlineLvl w:val="7"/>
    </w:pPr>
    <w:rPr>
      <w:sz w:val="18"/>
      <w:u w:val="single"/>
    </w:rPr>
  </w:style>
  <w:style w:type="paragraph" w:styleId="Heading9">
    <w:name w:val="heading 9"/>
    <w:basedOn w:val="Normal"/>
    <w:next w:val="Normal"/>
    <w:qFormat/>
    <w:pPr>
      <w:keepNex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lang w:val="en-US"/>
    </w:rPr>
  </w:style>
  <w:style w:type="paragraph" w:styleId="BodyTextIndent2">
    <w:name w:val="Body Text Indent 2"/>
    <w:basedOn w:val="Normal"/>
    <w:pPr>
      <w:ind w:left="720" w:hanging="720"/>
    </w:pPr>
  </w:style>
  <w:style w:type="paragraph" w:styleId="BlockText">
    <w:name w:val="Block Text"/>
    <w:basedOn w:val="Normal"/>
    <w:pPr>
      <w:ind w:left="720" w:right="-331"/>
    </w:pPr>
  </w:style>
  <w:style w:type="paragraph" w:styleId="BodyText">
    <w:name w:val="Body Text"/>
    <w:basedOn w:val="Normal"/>
    <w:pPr>
      <w:spacing w:after="240"/>
      <w:jc w:val="center"/>
    </w:pPr>
    <w:rPr>
      <w:sz w:val="20"/>
    </w:rPr>
  </w:style>
  <w:style w:type="paragraph" w:styleId="BodyTextIndent3">
    <w:name w:val="Body Text Indent 3"/>
    <w:basedOn w:val="Normal"/>
    <w:pPr>
      <w:spacing w:after="240"/>
      <w:ind w:left="1440"/>
    </w:pPr>
  </w:style>
  <w:style w:type="paragraph" w:styleId="Caption">
    <w:name w:val="caption"/>
    <w:basedOn w:val="Normal"/>
    <w:next w:val="Normal"/>
    <w:qFormat/>
    <w:pPr>
      <w:jc w:val="center"/>
    </w:pPr>
    <w:rPr>
      <w:b/>
      <w:sz w:val="28"/>
    </w:rPr>
  </w:style>
  <w:style w:type="paragraph" w:styleId="BodyText2">
    <w:name w:val="Body Text 2"/>
    <w:basedOn w:val="Normal"/>
    <w:rPr>
      <w:color w:val="FF0000"/>
    </w:rPr>
  </w:style>
  <w:style w:type="paragraph" w:styleId="BodyText3">
    <w:name w:val="Body Text 3"/>
    <w:basedOn w:val="Normal"/>
    <w:pPr>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customStyle="1" w:styleId="Bodyindent">
    <w:name w:val="Body indent"/>
    <w:basedOn w:val="Normal"/>
    <w:pPr>
      <w:widowControl w:val="0"/>
      <w:spacing w:before="140" w:line="290" w:lineRule="atLeast"/>
      <w:ind w:left="680"/>
    </w:pPr>
    <w:rPr>
      <w:rFonts w:ascii="Sabon" w:hAnsi="Sabon"/>
      <w:color w:val="000000"/>
      <w:sz w:val="21"/>
      <w:lang w:val="en-US"/>
    </w:rPr>
  </w:style>
  <w:style w:type="paragraph" w:customStyle="1" w:styleId="Bullets">
    <w:name w:val="Bullets"/>
    <w:basedOn w:val="Normal"/>
    <w:pPr>
      <w:numPr>
        <w:numId w:val="2"/>
      </w:numPr>
      <w:tabs>
        <w:tab w:val="left" w:pos="3062"/>
      </w:tabs>
      <w:spacing w:before="30" w:line="264" w:lineRule="auto"/>
    </w:pPr>
    <w:rPr>
      <w:rFonts w:ascii="Times" w:hAnsi="Times"/>
      <w:sz w:val="21"/>
    </w:rPr>
  </w:style>
  <w:style w:type="paragraph" w:customStyle="1" w:styleId="Body">
    <w:name w:val="Body"/>
    <w:basedOn w:val="Normal"/>
    <w:pPr>
      <w:widowControl w:val="0"/>
      <w:spacing w:before="140" w:line="290" w:lineRule="atLeast"/>
      <w:ind w:left="680" w:hanging="454"/>
    </w:pPr>
    <w:rPr>
      <w:rFonts w:ascii="Sabon" w:hAnsi="Sabon"/>
      <w:color w:val="000000"/>
      <w:sz w:val="21"/>
      <w:lang w:val="en-US"/>
    </w:rPr>
  </w:style>
  <w:style w:type="paragraph" w:customStyle="1" w:styleId="BodyText1">
    <w:name w:val="Body Text1"/>
    <w:basedOn w:val="Normal"/>
    <w:link w:val="BodytextChar"/>
    <w:pPr>
      <w:spacing w:before="140" w:after="140"/>
      <w:ind w:left="397"/>
    </w:pPr>
  </w:style>
  <w:style w:type="character" w:customStyle="1" w:styleId="Bodytextemphasised">
    <w:name w:val="Body text (emphasised)"/>
    <w:rPr>
      <w:rFonts w:ascii="Arial" w:hAnsi="Arial"/>
      <w:b/>
      <w:noProof w:val="0"/>
      <w:sz w:val="24"/>
      <w:szCs w:val="24"/>
      <w:lang w:val="en-GB" w:eastAsia="en-GB" w:bidi="ar-SA"/>
    </w:rPr>
  </w:style>
  <w:style w:type="paragraph" w:customStyle="1" w:styleId="Bodytextnumbered">
    <w:name w:val="Body text (numbered)"/>
    <w:basedOn w:val="BodyText1"/>
    <w:pPr>
      <w:numPr>
        <w:numId w:val="3"/>
      </w:numPr>
    </w:pPr>
  </w:style>
  <w:style w:type="paragraph" w:customStyle="1" w:styleId="Bullet1">
    <w:name w:val="Bullet 1"/>
    <w:basedOn w:val="Normal"/>
    <w:link w:val="Bullet1CharChar"/>
    <w:pPr>
      <w:numPr>
        <w:numId w:val="4"/>
      </w:numPr>
      <w:spacing w:before="100"/>
    </w:pPr>
  </w:style>
  <w:style w:type="paragraph" w:styleId="BalloonText">
    <w:name w:val="Balloon Text"/>
    <w:basedOn w:val="Normal"/>
    <w:rPr>
      <w:rFonts w:ascii="Tahoma" w:hAnsi="Tahoma"/>
      <w:sz w:val="16"/>
    </w:rPr>
  </w:style>
  <w:style w:type="paragraph" w:styleId="CommentSubject">
    <w:name w:val="annotation subject"/>
    <w:basedOn w:val="CommentText"/>
    <w:next w:val="CommentText"/>
    <w:rPr>
      <w:rFonts w:ascii="Times New Roman" w:hAnsi="Times New Roman"/>
      <w:b/>
    </w:rPr>
  </w:style>
  <w:style w:type="paragraph" w:styleId="CommentText">
    <w:name w:val="annotation text"/>
    <w:basedOn w:val="Normal"/>
    <w:link w:val="CommentTextChar"/>
    <w:uiPriority w:val="99"/>
    <w:semiHidden/>
    <w:rPr>
      <w:sz w:val="20"/>
    </w:rPr>
  </w:style>
  <w:style w:type="paragraph" w:styleId="NormalWeb">
    <w:name w:val="Normal (Web)"/>
    <w:basedOn w:val="Normal"/>
    <w:uiPriority w:val="99"/>
    <w:pPr>
      <w:spacing w:before="100" w:after="100"/>
    </w:pPr>
    <w:rPr>
      <w:rFonts w:ascii="Times New Roman" w:hAnsi="Times New Roman"/>
    </w:rPr>
  </w:style>
  <w:style w:type="paragraph" w:customStyle="1" w:styleId="ReportHeading">
    <w:name w:val="Report Heading"/>
    <w:basedOn w:val="Normal"/>
    <w:rsid w:val="005B07C9"/>
    <w:pPr>
      <w:overflowPunct w:val="0"/>
      <w:autoSpaceDE w:val="0"/>
      <w:autoSpaceDN w:val="0"/>
      <w:adjustRightInd w:val="0"/>
      <w:jc w:val="center"/>
      <w:textAlignment w:val="baseline"/>
    </w:pPr>
    <w:rPr>
      <w:b/>
      <w:color w:val="000000"/>
      <w:u w:val="single"/>
      <w:lang w:val="en-US"/>
    </w:rPr>
  </w:style>
  <w:style w:type="table" w:styleId="TableGrid">
    <w:name w:val="Table Grid"/>
    <w:basedOn w:val="TableNormal"/>
    <w:rsid w:val="00AF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Char">
    <w:name w:val="Bullet 1 Char Char"/>
    <w:link w:val="Bullet1"/>
    <w:rsid w:val="00462F54"/>
    <w:rPr>
      <w:rFonts w:ascii="Arial" w:hAnsi="Arial"/>
      <w:sz w:val="24"/>
      <w:lang w:eastAsia="en-US"/>
    </w:rPr>
  </w:style>
  <w:style w:type="character" w:styleId="Hyperlink">
    <w:name w:val="Hyperlink"/>
    <w:uiPriority w:val="99"/>
    <w:rsid w:val="00D0270D"/>
    <w:rPr>
      <w:color w:val="0000FF"/>
      <w:u w:val="single"/>
    </w:rPr>
  </w:style>
  <w:style w:type="table" w:styleId="TableGrid8">
    <w:name w:val="Table Grid 8"/>
    <w:basedOn w:val="TableNormal"/>
    <w:rsid w:val="00B404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
    <w:name w:val="Body text Char"/>
    <w:link w:val="BodyText1"/>
    <w:rsid w:val="006F63AC"/>
    <w:rPr>
      <w:rFonts w:ascii="Arial" w:hAnsi="Arial"/>
      <w:sz w:val="24"/>
      <w:lang w:val="en-GB" w:eastAsia="en-US" w:bidi="ar-SA"/>
    </w:rPr>
  </w:style>
  <w:style w:type="character" w:styleId="Strong">
    <w:name w:val="Strong"/>
    <w:qFormat/>
    <w:rsid w:val="008C5921"/>
    <w:rPr>
      <w:rFonts w:cs="Times New Roman"/>
      <w:b/>
      <w:bCs/>
    </w:rPr>
  </w:style>
  <w:style w:type="paragraph" w:customStyle="1" w:styleId="00-Normal-BB">
    <w:name w:val="00-Normal-BB"/>
    <w:rsid w:val="008C5921"/>
    <w:pPr>
      <w:jc w:val="both"/>
    </w:pPr>
    <w:rPr>
      <w:rFonts w:ascii="Arial" w:eastAsia="Calibri" w:hAnsi="Arial"/>
      <w:sz w:val="22"/>
      <w:lang w:eastAsia="en-US"/>
    </w:rPr>
  </w:style>
  <w:style w:type="paragraph" w:customStyle="1" w:styleId="01-NormInd1-BB">
    <w:name w:val="01-NormInd1-BB"/>
    <w:basedOn w:val="00-Normal-BB"/>
    <w:rsid w:val="008C5921"/>
    <w:pPr>
      <w:ind w:left="720"/>
    </w:pPr>
  </w:style>
  <w:style w:type="table" w:styleId="TableProfessional">
    <w:name w:val="Table Professional"/>
    <w:basedOn w:val="TableNormal"/>
    <w:rsid w:val="009C691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inlinenormal">
    <w:name w:val="inlinenormal"/>
    <w:basedOn w:val="Normal"/>
    <w:rsid w:val="00935F51"/>
    <w:pPr>
      <w:autoSpaceDN w:val="0"/>
      <w:spacing w:before="120" w:after="60" w:line="264" w:lineRule="auto"/>
    </w:pPr>
    <w:rPr>
      <w:rFonts w:cs="Arial"/>
      <w:szCs w:val="24"/>
      <w:lang w:eastAsia="en-GB"/>
    </w:rPr>
  </w:style>
  <w:style w:type="character" w:styleId="Emphasis">
    <w:name w:val="Emphasis"/>
    <w:uiPriority w:val="20"/>
    <w:qFormat/>
    <w:rsid w:val="00935F51"/>
    <w:rPr>
      <w:i/>
      <w:iCs/>
    </w:rPr>
  </w:style>
  <w:style w:type="character" w:styleId="FollowedHyperlink">
    <w:name w:val="FollowedHyperlink"/>
    <w:rsid w:val="0035771D"/>
    <w:rPr>
      <w:color w:val="800080"/>
      <w:u w:val="single"/>
    </w:rPr>
  </w:style>
  <w:style w:type="character" w:customStyle="1" w:styleId="FooterChar">
    <w:name w:val="Footer Char"/>
    <w:link w:val="Footer"/>
    <w:locked/>
    <w:rsid w:val="00F96776"/>
    <w:rPr>
      <w:rFonts w:ascii="Arial" w:hAnsi="Arial"/>
      <w:sz w:val="24"/>
      <w:lang w:val="en-GB" w:eastAsia="en-US" w:bidi="ar-SA"/>
    </w:rPr>
  </w:style>
  <w:style w:type="paragraph" w:styleId="ListParagraph">
    <w:name w:val="List Paragraph"/>
    <w:basedOn w:val="Normal"/>
    <w:link w:val="ListParagraphChar"/>
    <w:uiPriority w:val="34"/>
    <w:qFormat/>
    <w:rsid w:val="00F96776"/>
    <w:pPr>
      <w:ind w:left="720"/>
      <w:contextualSpacing/>
    </w:pPr>
    <w:rPr>
      <w:rFonts w:eastAsia="Calibri"/>
    </w:rPr>
  </w:style>
  <w:style w:type="paragraph" w:styleId="NoSpacing">
    <w:name w:val="No Spacing"/>
    <w:uiPriority w:val="1"/>
    <w:qFormat/>
    <w:rsid w:val="0008007D"/>
    <w:rPr>
      <w:rFonts w:ascii="Arial" w:hAnsi="Arial"/>
      <w:sz w:val="24"/>
      <w:lang w:eastAsia="en-US"/>
    </w:rPr>
  </w:style>
  <w:style w:type="character" w:customStyle="1" w:styleId="Heading1Char">
    <w:name w:val="Heading 1 Char"/>
    <w:aliases w:val="RR level 1 Char"/>
    <w:basedOn w:val="DefaultParagraphFont"/>
    <w:link w:val="Heading1"/>
    <w:rsid w:val="00E07E0D"/>
    <w:rPr>
      <w:rFonts w:ascii="Arial" w:hAnsi="Arial"/>
      <w:b/>
      <w:sz w:val="24"/>
      <w:lang w:eastAsia="en-US"/>
    </w:rPr>
  </w:style>
  <w:style w:type="character" w:styleId="CommentReference">
    <w:name w:val="annotation reference"/>
    <w:basedOn w:val="DefaultParagraphFont"/>
    <w:uiPriority w:val="99"/>
    <w:rsid w:val="006B4BE1"/>
    <w:rPr>
      <w:sz w:val="16"/>
      <w:szCs w:val="16"/>
    </w:rPr>
  </w:style>
  <w:style w:type="paragraph" w:styleId="Revision">
    <w:name w:val="Revision"/>
    <w:hidden/>
    <w:uiPriority w:val="99"/>
    <w:semiHidden/>
    <w:rsid w:val="00F27922"/>
    <w:rPr>
      <w:rFonts w:ascii="Arial" w:hAnsi="Arial"/>
      <w:sz w:val="24"/>
      <w:lang w:eastAsia="en-US"/>
    </w:rPr>
  </w:style>
  <w:style w:type="paragraph" w:customStyle="1" w:styleId="Default">
    <w:name w:val="Default"/>
    <w:rsid w:val="00BD0E3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rsid w:val="00EF26ED"/>
    <w:rPr>
      <w:rFonts w:ascii="Arial" w:hAnsi="Arial"/>
      <w:lang w:eastAsia="en-US"/>
    </w:rPr>
  </w:style>
  <w:style w:type="paragraph" w:styleId="ListBullet">
    <w:name w:val="List Bullet"/>
    <w:basedOn w:val="Normal"/>
    <w:uiPriority w:val="1"/>
    <w:unhideWhenUsed/>
    <w:qFormat/>
    <w:rsid w:val="005E2D14"/>
    <w:pPr>
      <w:numPr>
        <w:numId w:val="39"/>
      </w:numPr>
      <w:spacing w:after="120" w:line="240" w:lineRule="atLeast"/>
    </w:pPr>
    <w:rPr>
      <w:rFonts w:ascii="Times New Roman" w:hAnsi="Times New Roman"/>
      <w:sz w:val="20"/>
      <w:lang w:eastAsia="en-GB"/>
    </w:rPr>
  </w:style>
  <w:style w:type="paragraph" w:styleId="ListBullet2">
    <w:name w:val="List Bullet 2"/>
    <w:basedOn w:val="Normal"/>
    <w:uiPriority w:val="1"/>
    <w:unhideWhenUsed/>
    <w:qFormat/>
    <w:rsid w:val="005E2D14"/>
    <w:pPr>
      <w:numPr>
        <w:ilvl w:val="1"/>
        <w:numId w:val="39"/>
      </w:numPr>
      <w:spacing w:after="120" w:line="240" w:lineRule="atLeast"/>
    </w:pPr>
    <w:rPr>
      <w:rFonts w:asciiTheme="minorHAnsi" w:hAnsiTheme="minorHAnsi"/>
      <w:sz w:val="18"/>
      <w:szCs w:val="18"/>
    </w:rPr>
  </w:style>
  <w:style w:type="paragraph" w:styleId="ListBullet3">
    <w:name w:val="List Bullet 3"/>
    <w:basedOn w:val="Normal"/>
    <w:uiPriority w:val="1"/>
    <w:unhideWhenUsed/>
    <w:qFormat/>
    <w:rsid w:val="005E2D14"/>
    <w:pPr>
      <w:numPr>
        <w:ilvl w:val="2"/>
        <w:numId w:val="39"/>
      </w:numPr>
      <w:spacing w:after="120" w:line="240" w:lineRule="atLeast"/>
    </w:pPr>
    <w:rPr>
      <w:rFonts w:asciiTheme="minorHAnsi" w:hAnsiTheme="minorHAnsi"/>
      <w:sz w:val="18"/>
      <w:szCs w:val="18"/>
    </w:rPr>
  </w:style>
  <w:style w:type="numbering" w:customStyle="1" w:styleId="GTListBullet">
    <w:name w:val="GT List Bullet"/>
    <w:uiPriority w:val="99"/>
    <w:rsid w:val="005E2D14"/>
    <w:pPr>
      <w:numPr>
        <w:numId w:val="39"/>
      </w:numPr>
    </w:pPr>
  </w:style>
  <w:style w:type="character" w:styleId="UnresolvedMention">
    <w:name w:val="Unresolved Mention"/>
    <w:basedOn w:val="DefaultParagraphFont"/>
    <w:uiPriority w:val="99"/>
    <w:semiHidden/>
    <w:unhideWhenUsed/>
    <w:rsid w:val="005E2D14"/>
    <w:rPr>
      <w:color w:val="605E5C"/>
      <w:shd w:val="clear" w:color="auto" w:fill="E1DFDD"/>
    </w:rPr>
  </w:style>
  <w:style w:type="character" w:customStyle="1" w:styleId="ListParagraphChar">
    <w:name w:val="List Paragraph Char"/>
    <w:link w:val="ListParagraph"/>
    <w:uiPriority w:val="34"/>
    <w:locked/>
    <w:rsid w:val="0077530B"/>
    <w:rPr>
      <w:rFonts w:ascii="Arial" w:eastAsia="Calibri" w:hAnsi="Arial"/>
      <w:sz w:val="24"/>
      <w:lang w:eastAsia="en-US"/>
    </w:rPr>
  </w:style>
  <w:style w:type="paragraph" w:styleId="TOCHeading">
    <w:name w:val="TOC Heading"/>
    <w:basedOn w:val="Heading1"/>
    <w:next w:val="Normal"/>
    <w:uiPriority w:val="39"/>
    <w:unhideWhenUsed/>
    <w:qFormat/>
    <w:rsid w:val="005A3C76"/>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EA5689"/>
    <w:pPr>
      <w:spacing w:after="100"/>
    </w:pPr>
  </w:style>
  <w:style w:type="paragraph" w:styleId="TOC2">
    <w:name w:val="toc 2"/>
    <w:basedOn w:val="Normal"/>
    <w:next w:val="Normal"/>
    <w:autoRedefine/>
    <w:uiPriority w:val="39"/>
    <w:unhideWhenUsed/>
    <w:rsid w:val="00BE3374"/>
    <w:pPr>
      <w:spacing w:after="100"/>
      <w:ind w:left="240"/>
    </w:pPr>
  </w:style>
  <w:style w:type="paragraph" w:styleId="TOC3">
    <w:name w:val="toc 3"/>
    <w:basedOn w:val="Normal"/>
    <w:next w:val="Normal"/>
    <w:autoRedefine/>
    <w:uiPriority w:val="39"/>
    <w:unhideWhenUsed/>
    <w:rsid w:val="00BE3374"/>
    <w:pPr>
      <w:spacing w:after="100"/>
      <w:ind w:left="480"/>
    </w:pPr>
  </w:style>
  <w:style w:type="character" w:styleId="Mention">
    <w:name w:val="Mention"/>
    <w:basedOn w:val="DefaultParagraphFont"/>
    <w:uiPriority w:val="99"/>
    <w:unhideWhenUsed/>
    <w:rsid w:val="00BA60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60">
      <w:bodyDiv w:val="1"/>
      <w:marLeft w:val="0"/>
      <w:marRight w:val="0"/>
      <w:marTop w:val="0"/>
      <w:marBottom w:val="0"/>
      <w:divBdr>
        <w:top w:val="none" w:sz="0" w:space="0" w:color="auto"/>
        <w:left w:val="none" w:sz="0" w:space="0" w:color="auto"/>
        <w:bottom w:val="none" w:sz="0" w:space="0" w:color="auto"/>
        <w:right w:val="none" w:sz="0" w:space="0" w:color="auto"/>
      </w:divBdr>
    </w:div>
    <w:div w:id="13383782">
      <w:bodyDiv w:val="1"/>
      <w:marLeft w:val="0"/>
      <w:marRight w:val="0"/>
      <w:marTop w:val="0"/>
      <w:marBottom w:val="0"/>
      <w:divBdr>
        <w:top w:val="none" w:sz="0" w:space="0" w:color="auto"/>
        <w:left w:val="none" w:sz="0" w:space="0" w:color="auto"/>
        <w:bottom w:val="none" w:sz="0" w:space="0" w:color="auto"/>
        <w:right w:val="none" w:sz="0" w:space="0" w:color="auto"/>
      </w:divBdr>
    </w:div>
    <w:div w:id="183788838">
      <w:bodyDiv w:val="1"/>
      <w:marLeft w:val="0"/>
      <w:marRight w:val="0"/>
      <w:marTop w:val="0"/>
      <w:marBottom w:val="0"/>
      <w:divBdr>
        <w:top w:val="none" w:sz="0" w:space="0" w:color="auto"/>
        <w:left w:val="none" w:sz="0" w:space="0" w:color="auto"/>
        <w:bottom w:val="none" w:sz="0" w:space="0" w:color="auto"/>
        <w:right w:val="none" w:sz="0" w:space="0" w:color="auto"/>
      </w:divBdr>
    </w:div>
    <w:div w:id="217789227">
      <w:bodyDiv w:val="1"/>
      <w:marLeft w:val="0"/>
      <w:marRight w:val="0"/>
      <w:marTop w:val="0"/>
      <w:marBottom w:val="0"/>
      <w:divBdr>
        <w:top w:val="none" w:sz="0" w:space="0" w:color="auto"/>
        <w:left w:val="none" w:sz="0" w:space="0" w:color="auto"/>
        <w:bottom w:val="none" w:sz="0" w:space="0" w:color="auto"/>
        <w:right w:val="none" w:sz="0" w:space="0" w:color="auto"/>
      </w:divBdr>
    </w:div>
    <w:div w:id="229775449">
      <w:bodyDiv w:val="1"/>
      <w:marLeft w:val="0"/>
      <w:marRight w:val="0"/>
      <w:marTop w:val="0"/>
      <w:marBottom w:val="0"/>
      <w:divBdr>
        <w:top w:val="none" w:sz="0" w:space="0" w:color="auto"/>
        <w:left w:val="none" w:sz="0" w:space="0" w:color="auto"/>
        <w:bottom w:val="none" w:sz="0" w:space="0" w:color="auto"/>
        <w:right w:val="none" w:sz="0" w:space="0" w:color="auto"/>
      </w:divBdr>
    </w:div>
    <w:div w:id="239946874">
      <w:bodyDiv w:val="1"/>
      <w:marLeft w:val="0"/>
      <w:marRight w:val="0"/>
      <w:marTop w:val="0"/>
      <w:marBottom w:val="0"/>
      <w:divBdr>
        <w:top w:val="none" w:sz="0" w:space="0" w:color="auto"/>
        <w:left w:val="none" w:sz="0" w:space="0" w:color="auto"/>
        <w:bottom w:val="none" w:sz="0" w:space="0" w:color="auto"/>
        <w:right w:val="none" w:sz="0" w:space="0" w:color="auto"/>
      </w:divBdr>
    </w:div>
    <w:div w:id="253366966">
      <w:bodyDiv w:val="1"/>
      <w:marLeft w:val="0"/>
      <w:marRight w:val="0"/>
      <w:marTop w:val="0"/>
      <w:marBottom w:val="0"/>
      <w:divBdr>
        <w:top w:val="none" w:sz="0" w:space="0" w:color="auto"/>
        <w:left w:val="none" w:sz="0" w:space="0" w:color="auto"/>
        <w:bottom w:val="none" w:sz="0" w:space="0" w:color="auto"/>
        <w:right w:val="none" w:sz="0" w:space="0" w:color="auto"/>
      </w:divBdr>
    </w:div>
    <w:div w:id="283582808">
      <w:bodyDiv w:val="1"/>
      <w:marLeft w:val="0"/>
      <w:marRight w:val="0"/>
      <w:marTop w:val="0"/>
      <w:marBottom w:val="0"/>
      <w:divBdr>
        <w:top w:val="none" w:sz="0" w:space="0" w:color="auto"/>
        <w:left w:val="none" w:sz="0" w:space="0" w:color="auto"/>
        <w:bottom w:val="none" w:sz="0" w:space="0" w:color="auto"/>
        <w:right w:val="none" w:sz="0" w:space="0" w:color="auto"/>
      </w:divBdr>
    </w:div>
    <w:div w:id="479926902">
      <w:bodyDiv w:val="1"/>
      <w:marLeft w:val="0"/>
      <w:marRight w:val="0"/>
      <w:marTop w:val="0"/>
      <w:marBottom w:val="0"/>
      <w:divBdr>
        <w:top w:val="none" w:sz="0" w:space="0" w:color="auto"/>
        <w:left w:val="none" w:sz="0" w:space="0" w:color="auto"/>
        <w:bottom w:val="none" w:sz="0" w:space="0" w:color="auto"/>
        <w:right w:val="none" w:sz="0" w:space="0" w:color="auto"/>
      </w:divBdr>
    </w:div>
    <w:div w:id="519390715">
      <w:bodyDiv w:val="1"/>
      <w:marLeft w:val="0"/>
      <w:marRight w:val="0"/>
      <w:marTop w:val="0"/>
      <w:marBottom w:val="0"/>
      <w:divBdr>
        <w:top w:val="none" w:sz="0" w:space="0" w:color="auto"/>
        <w:left w:val="none" w:sz="0" w:space="0" w:color="auto"/>
        <w:bottom w:val="none" w:sz="0" w:space="0" w:color="auto"/>
        <w:right w:val="none" w:sz="0" w:space="0" w:color="auto"/>
      </w:divBdr>
    </w:div>
    <w:div w:id="545332960">
      <w:bodyDiv w:val="1"/>
      <w:marLeft w:val="0"/>
      <w:marRight w:val="0"/>
      <w:marTop w:val="0"/>
      <w:marBottom w:val="0"/>
      <w:divBdr>
        <w:top w:val="none" w:sz="0" w:space="0" w:color="auto"/>
        <w:left w:val="none" w:sz="0" w:space="0" w:color="auto"/>
        <w:bottom w:val="none" w:sz="0" w:space="0" w:color="auto"/>
        <w:right w:val="none" w:sz="0" w:space="0" w:color="auto"/>
      </w:divBdr>
    </w:div>
    <w:div w:id="553395427">
      <w:bodyDiv w:val="1"/>
      <w:marLeft w:val="0"/>
      <w:marRight w:val="0"/>
      <w:marTop w:val="0"/>
      <w:marBottom w:val="0"/>
      <w:divBdr>
        <w:top w:val="none" w:sz="0" w:space="0" w:color="auto"/>
        <w:left w:val="none" w:sz="0" w:space="0" w:color="auto"/>
        <w:bottom w:val="none" w:sz="0" w:space="0" w:color="auto"/>
        <w:right w:val="none" w:sz="0" w:space="0" w:color="auto"/>
      </w:divBdr>
    </w:div>
    <w:div w:id="583148100">
      <w:bodyDiv w:val="1"/>
      <w:marLeft w:val="0"/>
      <w:marRight w:val="0"/>
      <w:marTop w:val="0"/>
      <w:marBottom w:val="0"/>
      <w:divBdr>
        <w:top w:val="none" w:sz="0" w:space="0" w:color="auto"/>
        <w:left w:val="none" w:sz="0" w:space="0" w:color="auto"/>
        <w:bottom w:val="none" w:sz="0" w:space="0" w:color="auto"/>
        <w:right w:val="none" w:sz="0" w:space="0" w:color="auto"/>
      </w:divBdr>
    </w:div>
    <w:div w:id="597370310">
      <w:bodyDiv w:val="1"/>
      <w:marLeft w:val="0"/>
      <w:marRight w:val="0"/>
      <w:marTop w:val="0"/>
      <w:marBottom w:val="0"/>
      <w:divBdr>
        <w:top w:val="none" w:sz="0" w:space="0" w:color="auto"/>
        <w:left w:val="none" w:sz="0" w:space="0" w:color="auto"/>
        <w:bottom w:val="none" w:sz="0" w:space="0" w:color="auto"/>
        <w:right w:val="none" w:sz="0" w:space="0" w:color="auto"/>
      </w:divBdr>
    </w:div>
    <w:div w:id="659239871">
      <w:bodyDiv w:val="1"/>
      <w:marLeft w:val="0"/>
      <w:marRight w:val="0"/>
      <w:marTop w:val="0"/>
      <w:marBottom w:val="0"/>
      <w:divBdr>
        <w:top w:val="none" w:sz="0" w:space="0" w:color="auto"/>
        <w:left w:val="none" w:sz="0" w:space="0" w:color="auto"/>
        <w:bottom w:val="none" w:sz="0" w:space="0" w:color="auto"/>
        <w:right w:val="none" w:sz="0" w:space="0" w:color="auto"/>
      </w:divBdr>
    </w:div>
    <w:div w:id="689768704">
      <w:bodyDiv w:val="1"/>
      <w:marLeft w:val="0"/>
      <w:marRight w:val="0"/>
      <w:marTop w:val="0"/>
      <w:marBottom w:val="0"/>
      <w:divBdr>
        <w:top w:val="none" w:sz="0" w:space="0" w:color="auto"/>
        <w:left w:val="none" w:sz="0" w:space="0" w:color="auto"/>
        <w:bottom w:val="none" w:sz="0" w:space="0" w:color="auto"/>
        <w:right w:val="none" w:sz="0" w:space="0" w:color="auto"/>
      </w:divBdr>
    </w:div>
    <w:div w:id="694306354">
      <w:bodyDiv w:val="1"/>
      <w:marLeft w:val="0"/>
      <w:marRight w:val="0"/>
      <w:marTop w:val="0"/>
      <w:marBottom w:val="0"/>
      <w:divBdr>
        <w:top w:val="none" w:sz="0" w:space="0" w:color="auto"/>
        <w:left w:val="none" w:sz="0" w:space="0" w:color="auto"/>
        <w:bottom w:val="none" w:sz="0" w:space="0" w:color="auto"/>
        <w:right w:val="none" w:sz="0" w:space="0" w:color="auto"/>
      </w:divBdr>
    </w:div>
    <w:div w:id="730614933">
      <w:bodyDiv w:val="1"/>
      <w:marLeft w:val="0"/>
      <w:marRight w:val="0"/>
      <w:marTop w:val="0"/>
      <w:marBottom w:val="0"/>
      <w:divBdr>
        <w:top w:val="none" w:sz="0" w:space="0" w:color="auto"/>
        <w:left w:val="none" w:sz="0" w:space="0" w:color="auto"/>
        <w:bottom w:val="none" w:sz="0" w:space="0" w:color="auto"/>
        <w:right w:val="none" w:sz="0" w:space="0" w:color="auto"/>
      </w:divBdr>
    </w:div>
    <w:div w:id="779304556">
      <w:bodyDiv w:val="1"/>
      <w:marLeft w:val="0"/>
      <w:marRight w:val="0"/>
      <w:marTop w:val="0"/>
      <w:marBottom w:val="0"/>
      <w:divBdr>
        <w:top w:val="none" w:sz="0" w:space="0" w:color="auto"/>
        <w:left w:val="none" w:sz="0" w:space="0" w:color="auto"/>
        <w:bottom w:val="none" w:sz="0" w:space="0" w:color="auto"/>
        <w:right w:val="none" w:sz="0" w:space="0" w:color="auto"/>
      </w:divBdr>
    </w:div>
    <w:div w:id="787969580">
      <w:bodyDiv w:val="1"/>
      <w:marLeft w:val="0"/>
      <w:marRight w:val="0"/>
      <w:marTop w:val="0"/>
      <w:marBottom w:val="0"/>
      <w:divBdr>
        <w:top w:val="none" w:sz="0" w:space="0" w:color="auto"/>
        <w:left w:val="none" w:sz="0" w:space="0" w:color="auto"/>
        <w:bottom w:val="none" w:sz="0" w:space="0" w:color="auto"/>
        <w:right w:val="none" w:sz="0" w:space="0" w:color="auto"/>
      </w:divBdr>
    </w:div>
    <w:div w:id="840586717">
      <w:bodyDiv w:val="1"/>
      <w:marLeft w:val="0"/>
      <w:marRight w:val="0"/>
      <w:marTop w:val="0"/>
      <w:marBottom w:val="0"/>
      <w:divBdr>
        <w:top w:val="none" w:sz="0" w:space="0" w:color="auto"/>
        <w:left w:val="none" w:sz="0" w:space="0" w:color="auto"/>
        <w:bottom w:val="none" w:sz="0" w:space="0" w:color="auto"/>
        <w:right w:val="none" w:sz="0" w:space="0" w:color="auto"/>
      </w:divBdr>
    </w:div>
    <w:div w:id="845290201">
      <w:bodyDiv w:val="1"/>
      <w:marLeft w:val="0"/>
      <w:marRight w:val="0"/>
      <w:marTop w:val="0"/>
      <w:marBottom w:val="0"/>
      <w:divBdr>
        <w:top w:val="none" w:sz="0" w:space="0" w:color="auto"/>
        <w:left w:val="none" w:sz="0" w:space="0" w:color="auto"/>
        <w:bottom w:val="none" w:sz="0" w:space="0" w:color="auto"/>
        <w:right w:val="none" w:sz="0" w:space="0" w:color="auto"/>
      </w:divBdr>
    </w:div>
    <w:div w:id="899755122">
      <w:bodyDiv w:val="1"/>
      <w:marLeft w:val="0"/>
      <w:marRight w:val="0"/>
      <w:marTop w:val="0"/>
      <w:marBottom w:val="0"/>
      <w:divBdr>
        <w:top w:val="none" w:sz="0" w:space="0" w:color="auto"/>
        <w:left w:val="none" w:sz="0" w:space="0" w:color="auto"/>
        <w:bottom w:val="none" w:sz="0" w:space="0" w:color="auto"/>
        <w:right w:val="none" w:sz="0" w:space="0" w:color="auto"/>
      </w:divBdr>
    </w:div>
    <w:div w:id="911280008">
      <w:bodyDiv w:val="1"/>
      <w:marLeft w:val="0"/>
      <w:marRight w:val="0"/>
      <w:marTop w:val="0"/>
      <w:marBottom w:val="0"/>
      <w:divBdr>
        <w:top w:val="none" w:sz="0" w:space="0" w:color="auto"/>
        <w:left w:val="none" w:sz="0" w:space="0" w:color="auto"/>
        <w:bottom w:val="none" w:sz="0" w:space="0" w:color="auto"/>
        <w:right w:val="none" w:sz="0" w:space="0" w:color="auto"/>
      </w:divBdr>
    </w:div>
    <w:div w:id="919561059">
      <w:bodyDiv w:val="1"/>
      <w:marLeft w:val="0"/>
      <w:marRight w:val="0"/>
      <w:marTop w:val="0"/>
      <w:marBottom w:val="0"/>
      <w:divBdr>
        <w:top w:val="none" w:sz="0" w:space="0" w:color="auto"/>
        <w:left w:val="none" w:sz="0" w:space="0" w:color="auto"/>
        <w:bottom w:val="none" w:sz="0" w:space="0" w:color="auto"/>
        <w:right w:val="none" w:sz="0" w:space="0" w:color="auto"/>
      </w:divBdr>
    </w:div>
    <w:div w:id="921374219">
      <w:bodyDiv w:val="1"/>
      <w:marLeft w:val="0"/>
      <w:marRight w:val="0"/>
      <w:marTop w:val="0"/>
      <w:marBottom w:val="0"/>
      <w:divBdr>
        <w:top w:val="none" w:sz="0" w:space="0" w:color="auto"/>
        <w:left w:val="none" w:sz="0" w:space="0" w:color="auto"/>
        <w:bottom w:val="none" w:sz="0" w:space="0" w:color="auto"/>
        <w:right w:val="none" w:sz="0" w:space="0" w:color="auto"/>
      </w:divBdr>
    </w:div>
    <w:div w:id="926228685">
      <w:bodyDiv w:val="1"/>
      <w:marLeft w:val="0"/>
      <w:marRight w:val="0"/>
      <w:marTop w:val="0"/>
      <w:marBottom w:val="0"/>
      <w:divBdr>
        <w:top w:val="none" w:sz="0" w:space="0" w:color="auto"/>
        <w:left w:val="none" w:sz="0" w:space="0" w:color="auto"/>
        <w:bottom w:val="none" w:sz="0" w:space="0" w:color="auto"/>
        <w:right w:val="none" w:sz="0" w:space="0" w:color="auto"/>
      </w:divBdr>
    </w:div>
    <w:div w:id="932007430">
      <w:bodyDiv w:val="1"/>
      <w:marLeft w:val="0"/>
      <w:marRight w:val="0"/>
      <w:marTop w:val="0"/>
      <w:marBottom w:val="0"/>
      <w:divBdr>
        <w:top w:val="none" w:sz="0" w:space="0" w:color="auto"/>
        <w:left w:val="none" w:sz="0" w:space="0" w:color="auto"/>
        <w:bottom w:val="none" w:sz="0" w:space="0" w:color="auto"/>
        <w:right w:val="none" w:sz="0" w:space="0" w:color="auto"/>
      </w:divBdr>
    </w:div>
    <w:div w:id="992833591">
      <w:bodyDiv w:val="1"/>
      <w:marLeft w:val="0"/>
      <w:marRight w:val="0"/>
      <w:marTop w:val="0"/>
      <w:marBottom w:val="0"/>
      <w:divBdr>
        <w:top w:val="none" w:sz="0" w:space="0" w:color="auto"/>
        <w:left w:val="none" w:sz="0" w:space="0" w:color="auto"/>
        <w:bottom w:val="none" w:sz="0" w:space="0" w:color="auto"/>
        <w:right w:val="none" w:sz="0" w:space="0" w:color="auto"/>
      </w:divBdr>
    </w:div>
    <w:div w:id="1021398007">
      <w:bodyDiv w:val="1"/>
      <w:marLeft w:val="0"/>
      <w:marRight w:val="0"/>
      <w:marTop w:val="0"/>
      <w:marBottom w:val="0"/>
      <w:divBdr>
        <w:top w:val="none" w:sz="0" w:space="0" w:color="auto"/>
        <w:left w:val="none" w:sz="0" w:space="0" w:color="auto"/>
        <w:bottom w:val="none" w:sz="0" w:space="0" w:color="auto"/>
        <w:right w:val="none" w:sz="0" w:space="0" w:color="auto"/>
      </w:divBdr>
    </w:div>
    <w:div w:id="1109470796">
      <w:bodyDiv w:val="1"/>
      <w:marLeft w:val="0"/>
      <w:marRight w:val="0"/>
      <w:marTop w:val="0"/>
      <w:marBottom w:val="0"/>
      <w:divBdr>
        <w:top w:val="none" w:sz="0" w:space="0" w:color="auto"/>
        <w:left w:val="none" w:sz="0" w:space="0" w:color="auto"/>
        <w:bottom w:val="none" w:sz="0" w:space="0" w:color="auto"/>
        <w:right w:val="none" w:sz="0" w:space="0" w:color="auto"/>
      </w:divBdr>
    </w:div>
    <w:div w:id="1120880607">
      <w:bodyDiv w:val="1"/>
      <w:marLeft w:val="0"/>
      <w:marRight w:val="0"/>
      <w:marTop w:val="0"/>
      <w:marBottom w:val="0"/>
      <w:divBdr>
        <w:top w:val="none" w:sz="0" w:space="0" w:color="auto"/>
        <w:left w:val="none" w:sz="0" w:space="0" w:color="auto"/>
        <w:bottom w:val="none" w:sz="0" w:space="0" w:color="auto"/>
        <w:right w:val="none" w:sz="0" w:space="0" w:color="auto"/>
      </w:divBdr>
    </w:div>
    <w:div w:id="1127889184">
      <w:bodyDiv w:val="1"/>
      <w:marLeft w:val="0"/>
      <w:marRight w:val="0"/>
      <w:marTop w:val="0"/>
      <w:marBottom w:val="0"/>
      <w:divBdr>
        <w:top w:val="none" w:sz="0" w:space="0" w:color="auto"/>
        <w:left w:val="none" w:sz="0" w:space="0" w:color="auto"/>
        <w:bottom w:val="none" w:sz="0" w:space="0" w:color="auto"/>
        <w:right w:val="none" w:sz="0" w:space="0" w:color="auto"/>
      </w:divBdr>
    </w:div>
    <w:div w:id="1167743119">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245409338">
      <w:bodyDiv w:val="1"/>
      <w:marLeft w:val="0"/>
      <w:marRight w:val="0"/>
      <w:marTop w:val="0"/>
      <w:marBottom w:val="0"/>
      <w:divBdr>
        <w:top w:val="none" w:sz="0" w:space="0" w:color="auto"/>
        <w:left w:val="none" w:sz="0" w:space="0" w:color="auto"/>
        <w:bottom w:val="none" w:sz="0" w:space="0" w:color="auto"/>
        <w:right w:val="none" w:sz="0" w:space="0" w:color="auto"/>
      </w:divBdr>
      <w:divsChild>
        <w:div w:id="194319120">
          <w:marLeft w:val="0"/>
          <w:marRight w:val="0"/>
          <w:marTop w:val="0"/>
          <w:marBottom w:val="0"/>
          <w:divBdr>
            <w:top w:val="none" w:sz="0" w:space="0" w:color="auto"/>
            <w:left w:val="none" w:sz="0" w:space="0" w:color="auto"/>
            <w:bottom w:val="none" w:sz="0" w:space="0" w:color="auto"/>
            <w:right w:val="none" w:sz="0" w:space="0" w:color="auto"/>
          </w:divBdr>
        </w:div>
      </w:divsChild>
    </w:div>
    <w:div w:id="1312060529">
      <w:bodyDiv w:val="1"/>
      <w:marLeft w:val="0"/>
      <w:marRight w:val="0"/>
      <w:marTop w:val="0"/>
      <w:marBottom w:val="0"/>
      <w:divBdr>
        <w:top w:val="none" w:sz="0" w:space="0" w:color="auto"/>
        <w:left w:val="none" w:sz="0" w:space="0" w:color="auto"/>
        <w:bottom w:val="none" w:sz="0" w:space="0" w:color="auto"/>
        <w:right w:val="none" w:sz="0" w:space="0" w:color="auto"/>
      </w:divBdr>
    </w:div>
    <w:div w:id="1319307303">
      <w:bodyDiv w:val="1"/>
      <w:marLeft w:val="0"/>
      <w:marRight w:val="0"/>
      <w:marTop w:val="0"/>
      <w:marBottom w:val="0"/>
      <w:divBdr>
        <w:top w:val="none" w:sz="0" w:space="0" w:color="auto"/>
        <w:left w:val="none" w:sz="0" w:space="0" w:color="auto"/>
        <w:bottom w:val="none" w:sz="0" w:space="0" w:color="auto"/>
        <w:right w:val="none" w:sz="0" w:space="0" w:color="auto"/>
      </w:divBdr>
    </w:div>
    <w:div w:id="1342973032">
      <w:bodyDiv w:val="1"/>
      <w:marLeft w:val="0"/>
      <w:marRight w:val="0"/>
      <w:marTop w:val="0"/>
      <w:marBottom w:val="0"/>
      <w:divBdr>
        <w:top w:val="none" w:sz="0" w:space="0" w:color="auto"/>
        <w:left w:val="none" w:sz="0" w:space="0" w:color="auto"/>
        <w:bottom w:val="none" w:sz="0" w:space="0" w:color="auto"/>
        <w:right w:val="none" w:sz="0" w:space="0" w:color="auto"/>
      </w:divBdr>
    </w:div>
    <w:div w:id="1369257920">
      <w:bodyDiv w:val="1"/>
      <w:marLeft w:val="0"/>
      <w:marRight w:val="0"/>
      <w:marTop w:val="0"/>
      <w:marBottom w:val="0"/>
      <w:divBdr>
        <w:top w:val="none" w:sz="0" w:space="0" w:color="auto"/>
        <w:left w:val="none" w:sz="0" w:space="0" w:color="auto"/>
        <w:bottom w:val="none" w:sz="0" w:space="0" w:color="auto"/>
        <w:right w:val="none" w:sz="0" w:space="0" w:color="auto"/>
      </w:divBdr>
    </w:div>
    <w:div w:id="1388337695">
      <w:bodyDiv w:val="1"/>
      <w:marLeft w:val="0"/>
      <w:marRight w:val="0"/>
      <w:marTop w:val="0"/>
      <w:marBottom w:val="0"/>
      <w:divBdr>
        <w:top w:val="none" w:sz="0" w:space="0" w:color="auto"/>
        <w:left w:val="none" w:sz="0" w:space="0" w:color="auto"/>
        <w:bottom w:val="none" w:sz="0" w:space="0" w:color="auto"/>
        <w:right w:val="none" w:sz="0" w:space="0" w:color="auto"/>
      </w:divBdr>
    </w:div>
    <w:div w:id="1388725305">
      <w:bodyDiv w:val="1"/>
      <w:marLeft w:val="0"/>
      <w:marRight w:val="0"/>
      <w:marTop w:val="0"/>
      <w:marBottom w:val="0"/>
      <w:divBdr>
        <w:top w:val="none" w:sz="0" w:space="0" w:color="auto"/>
        <w:left w:val="none" w:sz="0" w:space="0" w:color="auto"/>
        <w:bottom w:val="none" w:sz="0" w:space="0" w:color="auto"/>
        <w:right w:val="none" w:sz="0" w:space="0" w:color="auto"/>
      </w:divBdr>
    </w:div>
    <w:div w:id="1423840254">
      <w:bodyDiv w:val="1"/>
      <w:marLeft w:val="0"/>
      <w:marRight w:val="0"/>
      <w:marTop w:val="0"/>
      <w:marBottom w:val="0"/>
      <w:divBdr>
        <w:top w:val="none" w:sz="0" w:space="0" w:color="auto"/>
        <w:left w:val="none" w:sz="0" w:space="0" w:color="auto"/>
        <w:bottom w:val="none" w:sz="0" w:space="0" w:color="auto"/>
        <w:right w:val="none" w:sz="0" w:space="0" w:color="auto"/>
      </w:divBdr>
    </w:div>
    <w:div w:id="1470634422">
      <w:bodyDiv w:val="1"/>
      <w:marLeft w:val="0"/>
      <w:marRight w:val="0"/>
      <w:marTop w:val="0"/>
      <w:marBottom w:val="0"/>
      <w:divBdr>
        <w:top w:val="none" w:sz="0" w:space="0" w:color="auto"/>
        <w:left w:val="none" w:sz="0" w:space="0" w:color="auto"/>
        <w:bottom w:val="none" w:sz="0" w:space="0" w:color="auto"/>
        <w:right w:val="none" w:sz="0" w:space="0" w:color="auto"/>
      </w:divBdr>
    </w:div>
    <w:div w:id="1474446323">
      <w:bodyDiv w:val="1"/>
      <w:marLeft w:val="0"/>
      <w:marRight w:val="0"/>
      <w:marTop w:val="0"/>
      <w:marBottom w:val="0"/>
      <w:divBdr>
        <w:top w:val="none" w:sz="0" w:space="0" w:color="auto"/>
        <w:left w:val="none" w:sz="0" w:space="0" w:color="auto"/>
        <w:bottom w:val="none" w:sz="0" w:space="0" w:color="auto"/>
        <w:right w:val="none" w:sz="0" w:space="0" w:color="auto"/>
      </w:divBdr>
    </w:div>
    <w:div w:id="1477457285">
      <w:bodyDiv w:val="1"/>
      <w:marLeft w:val="0"/>
      <w:marRight w:val="0"/>
      <w:marTop w:val="0"/>
      <w:marBottom w:val="0"/>
      <w:divBdr>
        <w:top w:val="none" w:sz="0" w:space="0" w:color="auto"/>
        <w:left w:val="none" w:sz="0" w:space="0" w:color="auto"/>
        <w:bottom w:val="none" w:sz="0" w:space="0" w:color="auto"/>
        <w:right w:val="none" w:sz="0" w:space="0" w:color="auto"/>
      </w:divBdr>
    </w:div>
    <w:div w:id="1518077533">
      <w:bodyDiv w:val="1"/>
      <w:marLeft w:val="0"/>
      <w:marRight w:val="0"/>
      <w:marTop w:val="0"/>
      <w:marBottom w:val="0"/>
      <w:divBdr>
        <w:top w:val="none" w:sz="0" w:space="0" w:color="auto"/>
        <w:left w:val="none" w:sz="0" w:space="0" w:color="auto"/>
        <w:bottom w:val="none" w:sz="0" w:space="0" w:color="auto"/>
        <w:right w:val="none" w:sz="0" w:space="0" w:color="auto"/>
      </w:divBdr>
    </w:div>
    <w:div w:id="1551577621">
      <w:bodyDiv w:val="1"/>
      <w:marLeft w:val="0"/>
      <w:marRight w:val="0"/>
      <w:marTop w:val="0"/>
      <w:marBottom w:val="0"/>
      <w:divBdr>
        <w:top w:val="none" w:sz="0" w:space="0" w:color="auto"/>
        <w:left w:val="none" w:sz="0" w:space="0" w:color="auto"/>
        <w:bottom w:val="none" w:sz="0" w:space="0" w:color="auto"/>
        <w:right w:val="none" w:sz="0" w:space="0" w:color="auto"/>
      </w:divBdr>
    </w:div>
    <w:div w:id="1612130230">
      <w:bodyDiv w:val="1"/>
      <w:marLeft w:val="0"/>
      <w:marRight w:val="0"/>
      <w:marTop w:val="0"/>
      <w:marBottom w:val="0"/>
      <w:divBdr>
        <w:top w:val="none" w:sz="0" w:space="0" w:color="auto"/>
        <w:left w:val="none" w:sz="0" w:space="0" w:color="auto"/>
        <w:bottom w:val="none" w:sz="0" w:space="0" w:color="auto"/>
        <w:right w:val="none" w:sz="0" w:space="0" w:color="auto"/>
      </w:divBdr>
    </w:div>
    <w:div w:id="1643387827">
      <w:bodyDiv w:val="1"/>
      <w:marLeft w:val="0"/>
      <w:marRight w:val="0"/>
      <w:marTop w:val="0"/>
      <w:marBottom w:val="0"/>
      <w:divBdr>
        <w:top w:val="none" w:sz="0" w:space="0" w:color="auto"/>
        <w:left w:val="none" w:sz="0" w:space="0" w:color="auto"/>
        <w:bottom w:val="none" w:sz="0" w:space="0" w:color="auto"/>
        <w:right w:val="none" w:sz="0" w:space="0" w:color="auto"/>
      </w:divBdr>
    </w:div>
    <w:div w:id="1673799274">
      <w:bodyDiv w:val="1"/>
      <w:marLeft w:val="0"/>
      <w:marRight w:val="0"/>
      <w:marTop w:val="0"/>
      <w:marBottom w:val="0"/>
      <w:divBdr>
        <w:top w:val="none" w:sz="0" w:space="0" w:color="auto"/>
        <w:left w:val="none" w:sz="0" w:space="0" w:color="auto"/>
        <w:bottom w:val="none" w:sz="0" w:space="0" w:color="auto"/>
        <w:right w:val="none" w:sz="0" w:space="0" w:color="auto"/>
      </w:divBdr>
      <w:divsChild>
        <w:div w:id="1774326778">
          <w:marLeft w:val="0"/>
          <w:marRight w:val="0"/>
          <w:marTop w:val="0"/>
          <w:marBottom w:val="0"/>
          <w:divBdr>
            <w:top w:val="none" w:sz="0" w:space="0" w:color="auto"/>
            <w:left w:val="none" w:sz="0" w:space="0" w:color="auto"/>
            <w:bottom w:val="none" w:sz="0" w:space="0" w:color="auto"/>
            <w:right w:val="none" w:sz="0" w:space="0" w:color="auto"/>
          </w:divBdr>
          <w:divsChild>
            <w:div w:id="1081371114">
              <w:marLeft w:val="0"/>
              <w:marRight w:val="0"/>
              <w:marTop w:val="0"/>
              <w:marBottom w:val="0"/>
              <w:divBdr>
                <w:top w:val="none" w:sz="0" w:space="0" w:color="auto"/>
                <w:left w:val="none" w:sz="0" w:space="0" w:color="auto"/>
                <w:bottom w:val="none" w:sz="0" w:space="0" w:color="auto"/>
                <w:right w:val="none" w:sz="0" w:space="0" w:color="auto"/>
              </w:divBdr>
              <w:divsChild>
                <w:div w:id="19459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9899">
      <w:bodyDiv w:val="1"/>
      <w:marLeft w:val="0"/>
      <w:marRight w:val="0"/>
      <w:marTop w:val="0"/>
      <w:marBottom w:val="0"/>
      <w:divBdr>
        <w:top w:val="none" w:sz="0" w:space="0" w:color="auto"/>
        <w:left w:val="none" w:sz="0" w:space="0" w:color="auto"/>
        <w:bottom w:val="none" w:sz="0" w:space="0" w:color="auto"/>
        <w:right w:val="none" w:sz="0" w:space="0" w:color="auto"/>
      </w:divBdr>
    </w:div>
    <w:div w:id="1677876496">
      <w:bodyDiv w:val="1"/>
      <w:marLeft w:val="0"/>
      <w:marRight w:val="0"/>
      <w:marTop w:val="0"/>
      <w:marBottom w:val="0"/>
      <w:divBdr>
        <w:top w:val="none" w:sz="0" w:space="0" w:color="auto"/>
        <w:left w:val="none" w:sz="0" w:space="0" w:color="auto"/>
        <w:bottom w:val="none" w:sz="0" w:space="0" w:color="auto"/>
        <w:right w:val="none" w:sz="0" w:space="0" w:color="auto"/>
      </w:divBdr>
    </w:div>
    <w:div w:id="1722973078">
      <w:bodyDiv w:val="1"/>
      <w:marLeft w:val="0"/>
      <w:marRight w:val="0"/>
      <w:marTop w:val="0"/>
      <w:marBottom w:val="0"/>
      <w:divBdr>
        <w:top w:val="none" w:sz="0" w:space="0" w:color="auto"/>
        <w:left w:val="none" w:sz="0" w:space="0" w:color="auto"/>
        <w:bottom w:val="none" w:sz="0" w:space="0" w:color="auto"/>
        <w:right w:val="none" w:sz="0" w:space="0" w:color="auto"/>
      </w:divBdr>
    </w:div>
    <w:div w:id="1732271268">
      <w:bodyDiv w:val="1"/>
      <w:marLeft w:val="0"/>
      <w:marRight w:val="0"/>
      <w:marTop w:val="0"/>
      <w:marBottom w:val="0"/>
      <w:divBdr>
        <w:top w:val="none" w:sz="0" w:space="0" w:color="auto"/>
        <w:left w:val="none" w:sz="0" w:space="0" w:color="auto"/>
        <w:bottom w:val="none" w:sz="0" w:space="0" w:color="auto"/>
        <w:right w:val="none" w:sz="0" w:space="0" w:color="auto"/>
      </w:divBdr>
    </w:div>
    <w:div w:id="1798252226">
      <w:bodyDiv w:val="1"/>
      <w:marLeft w:val="0"/>
      <w:marRight w:val="0"/>
      <w:marTop w:val="0"/>
      <w:marBottom w:val="0"/>
      <w:divBdr>
        <w:top w:val="none" w:sz="0" w:space="0" w:color="auto"/>
        <w:left w:val="none" w:sz="0" w:space="0" w:color="auto"/>
        <w:bottom w:val="none" w:sz="0" w:space="0" w:color="auto"/>
        <w:right w:val="none" w:sz="0" w:space="0" w:color="auto"/>
      </w:divBdr>
      <w:divsChild>
        <w:div w:id="1263609217">
          <w:marLeft w:val="0"/>
          <w:marRight w:val="0"/>
          <w:marTop w:val="0"/>
          <w:marBottom w:val="0"/>
          <w:divBdr>
            <w:top w:val="none" w:sz="0" w:space="0" w:color="auto"/>
            <w:left w:val="none" w:sz="0" w:space="0" w:color="auto"/>
            <w:bottom w:val="none" w:sz="0" w:space="0" w:color="auto"/>
            <w:right w:val="none" w:sz="0" w:space="0" w:color="auto"/>
          </w:divBdr>
        </w:div>
      </w:divsChild>
    </w:div>
    <w:div w:id="1832019441">
      <w:bodyDiv w:val="1"/>
      <w:marLeft w:val="0"/>
      <w:marRight w:val="0"/>
      <w:marTop w:val="0"/>
      <w:marBottom w:val="0"/>
      <w:divBdr>
        <w:top w:val="none" w:sz="0" w:space="0" w:color="auto"/>
        <w:left w:val="none" w:sz="0" w:space="0" w:color="auto"/>
        <w:bottom w:val="none" w:sz="0" w:space="0" w:color="auto"/>
        <w:right w:val="none" w:sz="0" w:space="0" w:color="auto"/>
      </w:divBdr>
    </w:div>
    <w:div w:id="1835535374">
      <w:bodyDiv w:val="1"/>
      <w:marLeft w:val="0"/>
      <w:marRight w:val="0"/>
      <w:marTop w:val="0"/>
      <w:marBottom w:val="0"/>
      <w:divBdr>
        <w:top w:val="none" w:sz="0" w:space="0" w:color="auto"/>
        <w:left w:val="none" w:sz="0" w:space="0" w:color="auto"/>
        <w:bottom w:val="none" w:sz="0" w:space="0" w:color="auto"/>
        <w:right w:val="none" w:sz="0" w:space="0" w:color="auto"/>
      </w:divBdr>
    </w:div>
    <w:div w:id="1856993657">
      <w:bodyDiv w:val="1"/>
      <w:marLeft w:val="0"/>
      <w:marRight w:val="0"/>
      <w:marTop w:val="0"/>
      <w:marBottom w:val="0"/>
      <w:divBdr>
        <w:top w:val="none" w:sz="0" w:space="0" w:color="auto"/>
        <w:left w:val="none" w:sz="0" w:space="0" w:color="auto"/>
        <w:bottom w:val="none" w:sz="0" w:space="0" w:color="auto"/>
        <w:right w:val="none" w:sz="0" w:space="0" w:color="auto"/>
      </w:divBdr>
    </w:div>
    <w:div w:id="1860389515">
      <w:bodyDiv w:val="1"/>
      <w:marLeft w:val="0"/>
      <w:marRight w:val="0"/>
      <w:marTop w:val="0"/>
      <w:marBottom w:val="0"/>
      <w:divBdr>
        <w:top w:val="none" w:sz="0" w:space="0" w:color="auto"/>
        <w:left w:val="none" w:sz="0" w:space="0" w:color="auto"/>
        <w:bottom w:val="none" w:sz="0" w:space="0" w:color="auto"/>
        <w:right w:val="none" w:sz="0" w:space="0" w:color="auto"/>
      </w:divBdr>
    </w:div>
    <w:div w:id="1900549444">
      <w:bodyDiv w:val="1"/>
      <w:marLeft w:val="0"/>
      <w:marRight w:val="0"/>
      <w:marTop w:val="0"/>
      <w:marBottom w:val="0"/>
      <w:divBdr>
        <w:top w:val="none" w:sz="0" w:space="0" w:color="auto"/>
        <w:left w:val="none" w:sz="0" w:space="0" w:color="auto"/>
        <w:bottom w:val="none" w:sz="0" w:space="0" w:color="auto"/>
        <w:right w:val="none" w:sz="0" w:space="0" w:color="auto"/>
      </w:divBdr>
    </w:div>
    <w:div w:id="1942488787">
      <w:bodyDiv w:val="1"/>
      <w:marLeft w:val="0"/>
      <w:marRight w:val="0"/>
      <w:marTop w:val="0"/>
      <w:marBottom w:val="0"/>
      <w:divBdr>
        <w:top w:val="none" w:sz="0" w:space="0" w:color="auto"/>
        <w:left w:val="none" w:sz="0" w:space="0" w:color="auto"/>
        <w:bottom w:val="none" w:sz="0" w:space="0" w:color="auto"/>
        <w:right w:val="none" w:sz="0" w:space="0" w:color="auto"/>
      </w:divBdr>
    </w:div>
    <w:div w:id="2096585595">
      <w:bodyDiv w:val="1"/>
      <w:marLeft w:val="0"/>
      <w:marRight w:val="0"/>
      <w:marTop w:val="0"/>
      <w:marBottom w:val="0"/>
      <w:divBdr>
        <w:top w:val="none" w:sz="0" w:space="0" w:color="auto"/>
        <w:left w:val="none" w:sz="0" w:space="0" w:color="auto"/>
        <w:bottom w:val="none" w:sz="0" w:space="0" w:color="auto"/>
        <w:right w:val="none" w:sz="0" w:space="0" w:color="auto"/>
      </w:divBdr>
    </w:div>
    <w:div w:id="21082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ancsfirerescue.org.uk/about/publications/code-of-corporate-governance"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lancsfirerescue.org.uk/about/publications/annual-service-plan-2026-202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lancsfirerescue.org.uk/about/publications/strategic-assessment-of-risk-2025-2026v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ancsfirerescue.org.uk/about/publications/community-risk-management-plan-2022-20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ancsfirerescue.org.uk/about/publications/consultation-strategy"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lfrsict.sharepoint.com/sites/SDEP-Finance/Shared%20Documents/2025-26/Year%20End/Accounts%20Workings/Main%20Statements%2025-26%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frsict.sharepoint.com/sites/SDEP-Finance/Shared%20Documents/2025-26/Year%20End/Accounts%20Workings/Main%20Statements%2025-26%20v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cap="none"/>
              <a:t>Expenditure Analysis </a:t>
            </a:r>
            <a:r>
              <a:rPr lang="en-US" sz="1600" b="1" i="0" u="none" strike="noStrike" kern="1200" cap="none" baseline="0">
                <a:solidFill>
                  <a:sysClr val="windowText" lastClr="000000">
                    <a:lumMod val="65000"/>
                    <a:lumOff val="35000"/>
                  </a:sysClr>
                </a:solidFill>
                <a:latin typeface="+mn-lt"/>
                <a:ea typeface="+mn-ea"/>
                <a:cs typeface="+mn-cs"/>
              </a:rPr>
              <a:t>2025-26</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1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Narrative!$D$4</c:f>
              <c:strCache>
                <c:ptCount val="1"/>
                <c:pt idx="0">
                  <c:v>Spend</c:v>
                </c:pt>
              </c:strCache>
            </c:strRef>
          </c:tx>
          <c:explosion val="8"/>
          <c:dPt>
            <c:idx val="0"/>
            <c:bubble3D val="0"/>
            <c:explosion val="28"/>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E78-4F7E-B93A-73F72A4852F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E78-4F7E-B93A-73F72A4852F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E78-4F7E-B93A-73F72A4852F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E78-4F7E-B93A-73F72A4852F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E78-4F7E-B93A-73F72A4852F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E78-4F7E-B93A-73F72A4852F7}"/>
              </c:ext>
            </c:extLst>
          </c:dPt>
          <c:dLbls>
            <c:dLbl>
              <c:idx val="0"/>
              <c:layout>
                <c:manualLayout>
                  <c:x val="0"/>
                  <c:y val="6.1974942488746049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78-4F7E-B93A-73F72A4852F7}"/>
                </c:ext>
              </c:extLst>
            </c:dLbl>
            <c:dLbl>
              <c:idx val="1"/>
              <c:layout>
                <c:manualLayout>
                  <c:x val="2.1277351283973955E-2"/>
                  <c:y val="0.22286852594842388"/>
                </c:manualLayout>
              </c:layout>
              <c:spPr>
                <a:noFill/>
                <a:ln>
                  <a:solidFill>
                    <a:schemeClr val="tx1"/>
                  </a:solid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17171274443695211"/>
                      <c:h val="0.21721636085626914"/>
                    </c:manualLayout>
                  </c15:layout>
                </c:ext>
                <c:ext xmlns:c16="http://schemas.microsoft.com/office/drawing/2014/chart" uri="{C3380CC4-5D6E-409C-BE32-E72D297353CC}">
                  <c16:uniqueId val="{00000003-AE78-4F7E-B93A-73F72A4852F7}"/>
                </c:ext>
              </c:extLst>
            </c:dLbl>
            <c:dLbl>
              <c:idx val="2"/>
              <c:layout>
                <c:manualLayout>
                  <c:x val="-5.0679451495635887E-2"/>
                  <c:y val="9.7305477434043129E-3"/>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78-4F7E-B93A-73F72A4852F7}"/>
                </c:ext>
              </c:extLst>
            </c:dLbl>
            <c:dLbl>
              <c:idx val="3"/>
              <c:layout>
                <c:manualLayout>
                  <c:x val="-1.535658681765799E-2"/>
                  <c:y val="-3.2796571581625848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78-4F7E-B93A-73F72A4852F7}"/>
                </c:ext>
              </c:extLst>
            </c:dLbl>
            <c:dLbl>
              <c:idx val="4"/>
              <c:layout>
                <c:manualLayout>
                  <c:x val="1.0578753179589563E-2"/>
                  <c:y val="-5.7827775545734567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78-4F7E-B93A-73F72A4852F7}"/>
                </c:ext>
              </c:extLst>
            </c:dLbl>
            <c:dLbl>
              <c:idx val="5"/>
              <c:layout>
                <c:manualLayout>
                  <c:x val="2.5317818527703741E-2"/>
                  <c:y val="-1.0204901566894352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78-4F7E-B93A-73F72A4852F7}"/>
                </c:ext>
              </c:extLst>
            </c:dLbl>
            <c:spPr>
              <a:ln>
                <a:solidFill>
                  <a:schemeClr val="tx1"/>
                </a:solidFill>
              </a:ln>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Narrative!$B$5:$B$10</c:f>
              <c:strCache>
                <c:ptCount val="6"/>
                <c:pt idx="0">
                  <c:v>Employees: pay costs</c:v>
                </c:pt>
                <c:pt idx="1">
                  <c:v>Other employee related costs</c:v>
                </c:pt>
                <c:pt idx="2">
                  <c:v>Premises</c:v>
                </c:pt>
                <c:pt idx="3">
                  <c:v>Transport</c:v>
                </c:pt>
                <c:pt idx="4">
                  <c:v>Supplies &amp; services</c:v>
                </c:pt>
                <c:pt idx="5">
                  <c:v>Capital financing costs &amp; other items</c:v>
                </c:pt>
              </c:strCache>
            </c:strRef>
          </c:cat>
          <c:val>
            <c:numRef>
              <c:f>Narrative!$D$5:$D$10</c:f>
              <c:numCache>
                <c:formatCode>#,##0\ ;\(#,##0\)</c:formatCode>
                <c:ptCount val="6"/>
                <c:pt idx="0">
                  <c:v>60684.03588999997</c:v>
                </c:pt>
                <c:pt idx="1">
                  <c:v>1889.0081300000013</c:v>
                </c:pt>
                <c:pt idx="2">
                  <c:v>4101.2010300000002</c:v>
                </c:pt>
                <c:pt idx="3">
                  <c:v>2366.5820399999993</c:v>
                </c:pt>
                <c:pt idx="4">
                  <c:v>11198.338220000009</c:v>
                </c:pt>
                <c:pt idx="5">
                  <c:v>5640.0535199999995</c:v>
                </c:pt>
              </c:numCache>
            </c:numRef>
          </c:val>
          <c:extLst>
            <c:ext xmlns:c16="http://schemas.microsoft.com/office/drawing/2014/chart" uri="{C3380CC4-5D6E-409C-BE32-E72D297353CC}">
              <c16:uniqueId val="{0000000C-AE78-4F7E-B93A-73F72A4852F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cap="none"/>
              <a:t>Income Analysis </a:t>
            </a:r>
            <a:r>
              <a:rPr lang="en-US" sz="1600" b="1" i="0" u="none" strike="noStrike" kern="1200" cap="none" baseline="0">
                <a:solidFill>
                  <a:sysClr val="windowText" lastClr="000000">
                    <a:lumMod val="65000"/>
                    <a:lumOff val="35000"/>
                  </a:sysClr>
                </a:solidFill>
                <a:latin typeface="+mn-lt"/>
                <a:ea typeface="+mn-ea"/>
                <a:cs typeface="+mn-cs"/>
              </a:rPr>
              <a:t>2025-26</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1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Narrative!$D$4</c:f>
              <c:strCache>
                <c:ptCount val="1"/>
                <c:pt idx="0">
                  <c:v>Spend</c:v>
                </c:pt>
              </c:strCache>
            </c:strRef>
          </c:tx>
          <c:explosion val="8"/>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71A-402C-BE57-C505859713A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71A-402C-BE57-C505859713A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71A-402C-BE57-C505859713A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71A-402C-BE57-C505859713A1}"/>
              </c:ext>
            </c:extLst>
          </c:dPt>
          <c:dLbls>
            <c:dLbl>
              <c:idx val="0"/>
              <c:layout>
                <c:manualLayout>
                  <c:x val="7.1436506586080292E-2"/>
                  <c:y val="-1.8227924261395897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1A-402C-BE57-C505859713A1}"/>
                </c:ext>
              </c:extLst>
            </c:dLbl>
            <c:dLbl>
              <c:idx val="1"/>
              <c:layout>
                <c:manualLayout>
                  <c:x val="1.0205215226582898E-2"/>
                  <c:y val="5.4683772784187692E-2"/>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1A-402C-BE57-C505859713A1}"/>
                </c:ext>
              </c:extLst>
            </c:dLbl>
            <c:dLbl>
              <c:idx val="2"/>
              <c:layout>
                <c:manualLayout>
                  <c:x val="2.8709880062650905E-2"/>
                  <c:y val="-0.2738775647268209"/>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1A-402C-BE57-C505859713A1}"/>
                </c:ext>
              </c:extLst>
            </c:dLbl>
            <c:dLbl>
              <c:idx val="3"/>
              <c:layout>
                <c:manualLayout>
                  <c:x val="6.9778802611265747E-2"/>
                  <c:y val="-2.1873635783605898E-2"/>
                </c:manualLayout>
              </c:layout>
              <c:spPr>
                <a:noFill/>
                <a:ln>
                  <a:solidFill>
                    <a:schemeClr val="tx1"/>
                  </a:solid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0763796074889404"/>
                      <c:h val="7.8051971687297231E-2"/>
                    </c:manualLayout>
                  </c15:layout>
                </c:ext>
                <c:ext xmlns:c16="http://schemas.microsoft.com/office/drawing/2014/chart" uri="{C3380CC4-5D6E-409C-BE32-E72D297353CC}">
                  <c16:uniqueId val="{00000007-171A-402C-BE57-C505859713A1}"/>
                </c:ext>
              </c:extLst>
            </c:dLbl>
            <c:spPr>
              <a:ln>
                <a:solidFill>
                  <a:schemeClr val="tx1"/>
                </a:solidFill>
              </a:ln>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(Narrative!$B$12,Narrative!$B$15:$B$17)</c:f>
              <c:strCache>
                <c:ptCount val="4"/>
                <c:pt idx="0">
                  <c:v>Other Income</c:v>
                </c:pt>
                <c:pt idx="1">
                  <c:v>Council tax</c:v>
                </c:pt>
                <c:pt idx="2">
                  <c:v>Business rates</c:v>
                </c:pt>
                <c:pt idx="3">
                  <c:v>Government grant</c:v>
                </c:pt>
              </c:strCache>
            </c:strRef>
          </c:cat>
          <c:val>
            <c:numRef>
              <c:f>(Narrative!$D$12,Narrative!$D$15:$D$17)</c:f>
              <c:numCache>
                <c:formatCode>#,##0\ ;\(#,##0\)</c:formatCode>
                <c:ptCount val="4"/>
                <c:pt idx="0">
                  <c:v>-8632.6624300000021</c:v>
                </c:pt>
                <c:pt idx="1">
                  <c:v>-42992.553749999999</c:v>
                </c:pt>
                <c:pt idx="2">
                  <c:v>-21675.984179999999</c:v>
                </c:pt>
                <c:pt idx="3">
                  <c:v>-12912.94025</c:v>
                </c:pt>
              </c:numCache>
            </c:numRef>
          </c:val>
          <c:extLst>
            <c:ext xmlns:c16="http://schemas.microsoft.com/office/drawing/2014/chart" uri="{C3380CC4-5D6E-409C-BE32-E72D297353CC}">
              <c16:uniqueId val="{00000008-171A-402C-BE57-C505859713A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40F4E2DC8946B491E00B713C6592" ma:contentTypeVersion="14" ma:contentTypeDescription="Create a new document." ma:contentTypeScope="" ma:versionID="8e38e30b04879419aa65367449547b94">
  <xsd:schema xmlns:xsd="http://www.w3.org/2001/XMLSchema" xmlns:xs="http://www.w3.org/2001/XMLSchema" xmlns:p="http://schemas.microsoft.com/office/2006/metadata/properties" xmlns:ns2="8045da27-7bcf-4150-8e82-71b46f84ffac" xmlns:ns3="6c41f56c-e7af-43bb-a133-6deb2041e9af" targetNamespace="http://schemas.microsoft.com/office/2006/metadata/properties" ma:root="true" ma:fieldsID="32682b4125265088498f3e73e3c0b95a" ns2:_="" ns3:_="">
    <xsd:import namespace="8045da27-7bcf-4150-8e82-71b46f84ffac"/>
    <xsd:import namespace="6c41f56c-e7af-43bb-a133-6deb2041e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da27-7bcf-4150-8e82-71b46f84f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1f56c-e7af-43bb-a133-6deb2041e9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99ebd8-4278-45f7-a1bf-548b18c36915}" ma:internalName="TaxCatchAll" ma:showField="CatchAllData" ma:web="6c41f56c-e7af-43bb-a133-6deb2041e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1f56c-e7af-43bb-a133-6deb2041e9af" xsi:nil="true"/>
    <lcf76f155ced4ddcb4097134ff3c332f xmlns="8045da27-7bcf-4150-8e82-71b46f84f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EEC7FB-661F-4C95-8F8D-24B886F21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da27-7bcf-4150-8e82-71b46f84ffac"/>
    <ds:schemaRef ds:uri="6c41f56c-e7af-43bb-a133-6deb2041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84587-5344-4572-98AD-E79F924A9154}">
  <ds:schemaRefs>
    <ds:schemaRef ds:uri="http://schemas.openxmlformats.org/officeDocument/2006/bibliography"/>
  </ds:schemaRefs>
</ds:datastoreItem>
</file>

<file path=customXml/itemProps3.xml><?xml version="1.0" encoding="utf-8"?>
<ds:datastoreItem xmlns:ds="http://schemas.openxmlformats.org/officeDocument/2006/customXml" ds:itemID="{2EA1C216-C20C-4977-B5C9-5A2EE15D0B2E}">
  <ds:schemaRefs>
    <ds:schemaRef ds:uri="http://schemas.microsoft.com/sharepoint/v3/contenttype/forms"/>
  </ds:schemaRefs>
</ds:datastoreItem>
</file>

<file path=customXml/itemProps4.xml><?xml version="1.0" encoding="utf-8"?>
<ds:datastoreItem xmlns:ds="http://schemas.openxmlformats.org/officeDocument/2006/customXml" ds:itemID="{5B24FE1D-D0BE-4B37-94BD-4D7BA325C6B5}">
  <ds:schemaRefs>
    <ds:schemaRef ds:uri="http://schemas.microsoft.com/office/2006/metadata/properties"/>
    <ds:schemaRef ds:uri="http://schemas.microsoft.com/office/infopath/2007/PartnerControls"/>
    <ds:schemaRef ds:uri="6c41f56c-e7af-43bb-a133-6deb2041e9af"/>
    <ds:schemaRef ds:uri="8045da27-7bcf-4150-8e82-71b46f84ffac"/>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82</Pages>
  <Words>23759</Words>
  <Characters>130913</Characters>
  <Application>Microsoft Office Word</Application>
  <DocSecurity>0</DocSecurity>
  <Lines>6545</Lines>
  <Paragraphs>4549</Paragraphs>
  <ScaleCrop>false</ScaleCrop>
  <Company>Lancashire County Council</Company>
  <LinksUpToDate>false</LinksUpToDate>
  <CharactersWithSpaces>150123</CharactersWithSpaces>
  <SharedDoc>false</SharedDoc>
  <HLinks>
    <vt:vector size="762" baseType="variant">
      <vt:variant>
        <vt:i4>4653182</vt:i4>
      </vt:variant>
      <vt:variant>
        <vt:i4>453</vt:i4>
      </vt:variant>
      <vt:variant>
        <vt:i4>0</vt:i4>
      </vt:variant>
      <vt:variant>
        <vt:i4>5</vt:i4>
      </vt:variant>
      <vt:variant>
        <vt:lpwstr/>
      </vt:variant>
      <vt:variant>
        <vt:lpwstr>_16_Net_Liability</vt:lpwstr>
      </vt:variant>
      <vt:variant>
        <vt:i4>1703986</vt:i4>
      </vt:variant>
      <vt:variant>
        <vt:i4>450</vt:i4>
      </vt:variant>
      <vt:variant>
        <vt:i4>0</vt:i4>
      </vt:variant>
      <vt:variant>
        <vt:i4>5</vt:i4>
      </vt:variant>
      <vt:variant>
        <vt:lpwstr/>
      </vt:variant>
      <vt:variant>
        <vt:lpwstr>_30_Accounting_Policies</vt:lpwstr>
      </vt:variant>
      <vt:variant>
        <vt:i4>4653182</vt:i4>
      </vt:variant>
      <vt:variant>
        <vt:i4>447</vt:i4>
      </vt:variant>
      <vt:variant>
        <vt:i4>0</vt:i4>
      </vt:variant>
      <vt:variant>
        <vt:i4>5</vt:i4>
      </vt:variant>
      <vt:variant>
        <vt:lpwstr/>
      </vt:variant>
      <vt:variant>
        <vt:lpwstr>_16_Net_Liability</vt:lpwstr>
      </vt:variant>
      <vt:variant>
        <vt:i4>1703986</vt:i4>
      </vt:variant>
      <vt:variant>
        <vt:i4>444</vt:i4>
      </vt:variant>
      <vt:variant>
        <vt:i4>0</vt:i4>
      </vt:variant>
      <vt:variant>
        <vt:i4>5</vt:i4>
      </vt:variant>
      <vt:variant>
        <vt:lpwstr/>
      </vt:variant>
      <vt:variant>
        <vt:lpwstr>_30_Accounting_Policies</vt:lpwstr>
      </vt:variant>
      <vt:variant>
        <vt:i4>2555932</vt:i4>
      </vt:variant>
      <vt:variant>
        <vt:i4>441</vt:i4>
      </vt:variant>
      <vt:variant>
        <vt:i4>0</vt:i4>
      </vt:variant>
      <vt:variant>
        <vt:i4>5</vt:i4>
      </vt:variant>
      <vt:variant>
        <vt:lpwstr/>
      </vt:variant>
      <vt:variant>
        <vt:lpwstr>_23_Local_Authority</vt:lpwstr>
      </vt:variant>
      <vt:variant>
        <vt:i4>327709</vt:i4>
      </vt:variant>
      <vt:variant>
        <vt:i4>438</vt:i4>
      </vt:variant>
      <vt:variant>
        <vt:i4>0</vt:i4>
      </vt:variant>
      <vt:variant>
        <vt:i4>5</vt:i4>
      </vt:variant>
      <vt:variant>
        <vt:lpwstr/>
      </vt:variant>
      <vt:variant>
        <vt:lpwstr>_13_Provisions</vt:lpwstr>
      </vt:variant>
      <vt:variant>
        <vt:i4>3407877</vt:i4>
      </vt:variant>
      <vt:variant>
        <vt:i4>435</vt:i4>
      </vt:variant>
      <vt:variant>
        <vt:i4>0</vt:i4>
      </vt:variant>
      <vt:variant>
        <vt:i4>5</vt:i4>
      </vt:variant>
      <vt:variant>
        <vt:lpwstr/>
      </vt:variant>
      <vt:variant>
        <vt:lpwstr>_15_PFI_Schemes</vt:lpwstr>
      </vt:variant>
      <vt:variant>
        <vt:i4>1703986</vt:i4>
      </vt:variant>
      <vt:variant>
        <vt:i4>432</vt:i4>
      </vt:variant>
      <vt:variant>
        <vt:i4>0</vt:i4>
      </vt:variant>
      <vt:variant>
        <vt:i4>5</vt:i4>
      </vt:variant>
      <vt:variant>
        <vt:lpwstr/>
      </vt:variant>
      <vt:variant>
        <vt:lpwstr>_30_Accounting_Policies</vt:lpwstr>
      </vt:variant>
      <vt:variant>
        <vt:i4>3932189</vt:i4>
      </vt:variant>
      <vt:variant>
        <vt:i4>429</vt:i4>
      </vt:variant>
      <vt:variant>
        <vt:i4>0</vt:i4>
      </vt:variant>
      <vt:variant>
        <vt:i4>5</vt:i4>
      </vt:variant>
      <vt:variant>
        <vt:lpwstr/>
      </vt:variant>
      <vt:variant>
        <vt:lpwstr>_29_Significant_Judgements</vt:lpwstr>
      </vt:variant>
      <vt:variant>
        <vt:i4>4587624</vt:i4>
      </vt:variant>
      <vt:variant>
        <vt:i4>426</vt:i4>
      </vt:variant>
      <vt:variant>
        <vt:i4>0</vt:i4>
      </vt:variant>
      <vt:variant>
        <vt:i4>5</vt:i4>
      </vt:variant>
      <vt:variant>
        <vt:lpwstr/>
      </vt:variant>
      <vt:variant>
        <vt:lpwstr>_31_Prior_Period</vt:lpwstr>
      </vt:variant>
      <vt:variant>
        <vt:i4>3539054</vt:i4>
      </vt:variant>
      <vt:variant>
        <vt:i4>423</vt:i4>
      </vt:variant>
      <vt:variant>
        <vt:i4>0</vt:i4>
      </vt:variant>
      <vt:variant>
        <vt:i4>5</vt:i4>
      </vt:variant>
      <vt:variant>
        <vt:lpwstr/>
      </vt:variant>
      <vt:variant>
        <vt:lpwstr>N6</vt:lpwstr>
      </vt:variant>
      <vt:variant>
        <vt:i4>4653182</vt:i4>
      </vt:variant>
      <vt:variant>
        <vt:i4>420</vt:i4>
      </vt:variant>
      <vt:variant>
        <vt:i4>0</vt:i4>
      </vt:variant>
      <vt:variant>
        <vt:i4>5</vt:i4>
      </vt:variant>
      <vt:variant>
        <vt:lpwstr/>
      </vt:variant>
      <vt:variant>
        <vt:lpwstr>_16_Net_Liability</vt:lpwstr>
      </vt:variant>
      <vt:variant>
        <vt:i4>3407877</vt:i4>
      </vt:variant>
      <vt:variant>
        <vt:i4>417</vt:i4>
      </vt:variant>
      <vt:variant>
        <vt:i4>0</vt:i4>
      </vt:variant>
      <vt:variant>
        <vt:i4>5</vt:i4>
      </vt:variant>
      <vt:variant>
        <vt:lpwstr/>
      </vt:variant>
      <vt:variant>
        <vt:lpwstr>_15_PFI_Schemes</vt:lpwstr>
      </vt:variant>
      <vt:variant>
        <vt:i4>3407877</vt:i4>
      </vt:variant>
      <vt:variant>
        <vt:i4>414</vt:i4>
      </vt:variant>
      <vt:variant>
        <vt:i4>0</vt:i4>
      </vt:variant>
      <vt:variant>
        <vt:i4>5</vt:i4>
      </vt:variant>
      <vt:variant>
        <vt:lpwstr/>
      </vt:variant>
      <vt:variant>
        <vt:lpwstr>_15_PFI_Schemes</vt:lpwstr>
      </vt:variant>
      <vt:variant>
        <vt:i4>1703986</vt:i4>
      </vt:variant>
      <vt:variant>
        <vt:i4>411</vt:i4>
      </vt:variant>
      <vt:variant>
        <vt:i4>0</vt:i4>
      </vt:variant>
      <vt:variant>
        <vt:i4>5</vt:i4>
      </vt:variant>
      <vt:variant>
        <vt:lpwstr/>
      </vt:variant>
      <vt:variant>
        <vt:lpwstr>_30_Accounting_Policies</vt:lpwstr>
      </vt:variant>
      <vt:variant>
        <vt:i4>3407877</vt:i4>
      </vt:variant>
      <vt:variant>
        <vt:i4>408</vt:i4>
      </vt:variant>
      <vt:variant>
        <vt:i4>0</vt:i4>
      </vt:variant>
      <vt:variant>
        <vt:i4>5</vt:i4>
      </vt:variant>
      <vt:variant>
        <vt:lpwstr/>
      </vt:variant>
      <vt:variant>
        <vt:lpwstr>_15_PFI_Schemes</vt:lpwstr>
      </vt:variant>
      <vt:variant>
        <vt:i4>1703986</vt:i4>
      </vt:variant>
      <vt:variant>
        <vt:i4>405</vt:i4>
      </vt:variant>
      <vt:variant>
        <vt:i4>0</vt:i4>
      </vt:variant>
      <vt:variant>
        <vt:i4>5</vt:i4>
      </vt:variant>
      <vt:variant>
        <vt:lpwstr/>
      </vt:variant>
      <vt:variant>
        <vt:lpwstr>_30_Accounting_Policies</vt:lpwstr>
      </vt:variant>
      <vt:variant>
        <vt:i4>3276910</vt:i4>
      </vt:variant>
      <vt:variant>
        <vt:i4>402</vt:i4>
      </vt:variant>
      <vt:variant>
        <vt:i4>0</vt:i4>
      </vt:variant>
      <vt:variant>
        <vt:i4>5</vt:i4>
      </vt:variant>
      <vt:variant>
        <vt:lpwstr/>
      </vt:variant>
      <vt:variant>
        <vt:lpwstr>N2</vt:lpwstr>
      </vt:variant>
      <vt:variant>
        <vt:i4>3211374</vt:i4>
      </vt:variant>
      <vt:variant>
        <vt:i4>399</vt:i4>
      </vt:variant>
      <vt:variant>
        <vt:i4>0</vt:i4>
      </vt:variant>
      <vt:variant>
        <vt:i4>5</vt:i4>
      </vt:variant>
      <vt:variant>
        <vt:lpwstr/>
      </vt:variant>
      <vt:variant>
        <vt:lpwstr>N10</vt:lpwstr>
      </vt:variant>
      <vt:variant>
        <vt:i4>3211374</vt:i4>
      </vt:variant>
      <vt:variant>
        <vt:i4>396</vt:i4>
      </vt:variant>
      <vt:variant>
        <vt:i4>0</vt:i4>
      </vt:variant>
      <vt:variant>
        <vt:i4>5</vt:i4>
      </vt:variant>
      <vt:variant>
        <vt:lpwstr/>
      </vt:variant>
      <vt:variant>
        <vt:lpwstr>N10</vt:lpwstr>
      </vt:variant>
      <vt:variant>
        <vt:i4>1835042</vt:i4>
      </vt:variant>
      <vt:variant>
        <vt:i4>393</vt:i4>
      </vt:variant>
      <vt:variant>
        <vt:i4>0</vt:i4>
      </vt:variant>
      <vt:variant>
        <vt:i4>5</vt:i4>
      </vt:variant>
      <vt:variant>
        <vt:lpwstr/>
      </vt:variant>
      <vt:variant>
        <vt:lpwstr>_25_Adjust_for</vt:lpwstr>
      </vt:variant>
      <vt:variant>
        <vt:i4>1835042</vt:i4>
      </vt:variant>
      <vt:variant>
        <vt:i4>390</vt:i4>
      </vt:variant>
      <vt:variant>
        <vt:i4>0</vt:i4>
      </vt:variant>
      <vt:variant>
        <vt:i4>5</vt:i4>
      </vt:variant>
      <vt:variant>
        <vt:lpwstr/>
      </vt:variant>
      <vt:variant>
        <vt:lpwstr>_25_Adjust_for</vt:lpwstr>
      </vt:variant>
      <vt:variant>
        <vt:i4>3604590</vt:i4>
      </vt:variant>
      <vt:variant>
        <vt:i4>387</vt:i4>
      </vt:variant>
      <vt:variant>
        <vt:i4>0</vt:i4>
      </vt:variant>
      <vt:variant>
        <vt:i4>5</vt:i4>
      </vt:variant>
      <vt:variant>
        <vt:lpwstr/>
      </vt:variant>
      <vt:variant>
        <vt:lpwstr>N7</vt:lpwstr>
      </vt:variant>
      <vt:variant>
        <vt:i4>7405652</vt:i4>
      </vt:variant>
      <vt:variant>
        <vt:i4>384</vt:i4>
      </vt:variant>
      <vt:variant>
        <vt:i4>0</vt:i4>
      </vt:variant>
      <vt:variant>
        <vt:i4>5</vt:i4>
      </vt:variant>
      <vt:variant>
        <vt:lpwstr/>
      </vt:variant>
      <vt:variant>
        <vt:lpwstr>_6_Property,_Plant</vt:lpwstr>
      </vt:variant>
      <vt:variant>
        <vt:i4>1179689</vt:i4>
      </vt:variant>
      <vt:variant>
        <vt:i4>381</vt:i4>
      </vt:variant>
      <vt:variant>
        <vt:i4>0</vt:i4>
      </vt:variant>
      <vt:variant>
        <vt:i4>5</vt:i4>
      </vt:variant>
      <vt:variant>
        <vt:lpwstr/>
      </vt:variant>
      <vt:variant>
        <vt:lpwstr>_24_Adjust_Net</vt:lpwstr>
      </vt:variant>
      <vt:variant>
        <vt:i4>6422594</vt:i4>
      </vt:variant>
      <vt:variant>
        <vt:i4>378</vt:i4>
      </vt:variant>
      <vt:variant>
        <vt:i4>0</vt:i4>
      </vt:variant>
      <vt:variant>
        <vt:i4>5</vt:i4>
      </vt:variant>
      <vt:variant>
        <vt:lpwstr/>
      </vt:variant>
      <vt:variant>
        <vt:lpwstr>_19_Unusable_Reserves</vt:lpwstr>
      </vt:variant>
      <vt:variant>
        <vt:i4>6422594</vt:i4>
      </vt:variant>
      <vt:variant>
        <vt:i4>375</vt:i4>
      </vt:variant>
      <vt:variant>
        <vt:i4>0</vt:i4>
      </vt:variant>
      <vt:variant>
        <vt:i4>5</vt:i4>
      </vt:variant>
      <vt:variant>
        <vt:lpwstr/>
      </vt:variant>
      <vt:variant>
        <vt:lpwstr>_19_Unusable_Reserves</vt:lpwstr>
      </vt:variant>
      <vt:variant>
        <vt:i4>6422594</vt:i4>
      </vt:variant>
      <vt:variant>
        <vt:i4>372</vt:i4>
      </vt:variant>
      <vt:variant>
        <vt:i4>0</vt:i4>
      </vt:variant>
      <vt:variant>
        <vt:i4>5</vt:i4>
      </vt:variant>
      <vt:variant>
        <vt:lpwstr/>
      </vt:variant>
      <vt:variant>
        <vt:lpwstr>_19_Unusable_Reserves</vt:lpwstr>
      </vt:variant>
      <vt:variant>
        <vt:i4>6422594</vt:i4>
      </vt:variant>
      <vt:variant>
        <vt:i4>369</vt:i4>
      </vt:variant>
      <vt:variant>
        <vt:i4>0</vt:i4>
      </vt:variant>
      <vt:variant>
        <vt:i4>5</vt:i4>
      </vt:variant>
      <vt:variant>
        <vt:lpwstr/>
      </vt:variant>
      <vt:variant>
        <vt:lpwstr>_19_Unusable_Reserves</vt:lpwstr>
      </vt:variant>
      <vt:variant>
        <vt:i4>4653182</vt:i4>
      </vt:variant>
      <vt:variant>
        <vt:i4>366</vt:i4>
      </vt:variant>
      <vt:variant>
        <vt:i4>0</vt:i4>
      </vt:variant>
      <vt:variant>
        <vt:i4>5</vt:i4>
      </vt:variant>
      <vt:variant>
        <vt:lpwstr/>
      </vt:variant>
      <vt:variant>
        <vt:lpwstr>_16_Net_Liability</vt:lpwstr>
      </vt:variant>
      <vt:variant>
        <vt:i4>3014740</vt:i4>
      </vt:variant>
      <vt:variant>
        <vt:i4>363</vt:i4>
      </vt:variant>
      <vt:variant>
        <vt:i4>0</vt:i4>
      </vt:variant>
      <vt:variant>
        <vt:i4>5</vt:i4>
      </vt:variant>
      <vt:variant>
        <vt:lpwstr/>
      </vt:variant>
      <vt:variant>
        <vt:lpwstr>_14_Other_Long-Term</vt:lpwstr>
      </vt:variant>
      <vt:variant>
        <vt:i4>7143437</vt:i4>
      </vt:variant>
      <vt:variant>
        <vt:i4>360</vt:i4>
      </vt:variant>
      <vt:variant>
        <vt:i4>0</vt:i4>
      </vt:variant>
      <vt:variant>
        <vt:i4>5</vt:i4>
      </vt:variant>
      <vt:variant>
        <vt:lpwstr/>
      </vt:variant>
      <vt:variant>
        <vt:lpwstr>_18_Transfers_(to)/from</vt:lpwstr>
      </vt:variant>
      <vt:variant>
        <vt:i4>6422594</vt:i4>
      </vt:variant>
      <vt:variant>
        <vt:i4>357</vt:i4>
      </vt:variant>
      <vt:variant>
        <vt:i4>0</vt:i4>
      </vt:variant>
      <vt:variant>
        <vt:i4>5</vt:i4>
      </vt:variant>
      <vt:variant>
        <vt:lpwstr/>
      </vt:variant>
      <vt:variant>
        <vt:lpwstr>_19_Unusable_Reserves</vt:lpwstr>
      </vt:variant>
      <vt:variant>
        <vt:i4>786489</vt:i4>
      </vt:variant>
      <vt:variant>
        <vt:i4>354</vt:i4>
      </vt:variant>
      <vt:variant>
        <vt:i4>0</vt:i4>
      </vt:variant>
      <vt:variant>
        <vt:i4>5</vt:i4>
      </vt:variant>
      <vt:variant>
        <vt:lpwstr/>
      </vt:variant>
      <vt:variant>
        <vt:lpwstr>_17_Usable_Reserves</vt:lpwstr>
      </vt:variant>
      <vt:variant>
        <vt:i4>786489</vt:i4>
      </vt:variant>
      <vt:variant>
        <vt:i4>351</vt:i4>
      </vt:variant>
      <vt:variant>
        <vt:i4>0</vt:i4>
      </vt:variant>
      <vt:variant>
        <vt:i4>5</vt:i4>
      </vt:variant>
      <vt:variant>
        <vt:lpwstr/>
      </vt:variant>
      <vt:variant>
        <vt:lpwstr>_17_Usable_Reserves</vt:lpwstr>
      </vt:variant>
      <vt:variant>
        <vt:i4>786489</vt:i4>
      </vt:variant>
      <vt:variant>
        <vt:i4>348</vt:i4>
      </vt:variant>
      <vt:variant>
        <vt:i4>0</vt:i4>
      </vt:variant>
      <vt:variant>
        <vt:i4>5</vt:i4>
      </vt:variant>
      <vt:variant>
        <vt:lpwstr/>
      </vt:variant>
      <vt:variant>
        <vt:lpwstr>_17_Usable_Reserves</vt:lpwstr>
      </vt:variant>
      <vt:variant>
        <vt:i4>786489</vt:i4>
      </vt:variant>
      <vt:variant>
        <vt:i4>345</vt:i4>
      </vt:variant>
      <vt:variant>
        <vt:i4>0</vt:i4>
      </vt:variant>
      <vt:variant>
        <vt:i4>5</vt:i4>
      </vt:variant>
      <vt:variant>
        <vt:lpwstr/>
      </vt:variant>
      <vt:variant>
        <vt:lpwstr>_17_Usable_Reserves</vt:lpwstr>
      </vt:variant>
      <vt:variant>
        <vt:i4>786489</vt:i4>
      </vt:variant>
      <vt:variant>
        <vt:i4>342</vt:i4>
      </vt:variant>
      <vt:variant>
        <vt:i4>0</vt:i4>
      </vt:variant>
      <vt:variant>
        <vt:i4>5</vt:i4>
      </vt:variant>
      <vt:variant>
        <vt:lpwstr/>
      </vt:variant>
      <vt:variant>
        <vt:lpwstr>_17_Usable_Reserves</vt:lpwstr>
      </vt:variant>
      <vt:variant>
        <vt:i4>3014740</vt:i4>
      </vt:variant>
      <vt:variant>
        <vt:i4>339</vt:i4>
      </vt:variant>
      <vt:variant>
        <vt:i4>0</vt:i4>
      </vt:variant>
      <vt:variant>
        <vt:i4>5</vt:i4>
      </vt:variant>
      <vt:variant>
        <vt:lpwstr/>
      </vt:variant>
      <vt:variant>
        <vt:lpwstr>_14_Other_Long-Term</vt:lpwstr>
      </vt:variant>
      <vt:variant>
        <vt:i4>3670126</vt:i4>
      </vt:variant>
      <vt:variant>
        <vt:i4>336</vt:i4>
      </vt:variant>
      <vt:variant>
        <vt:i4>0</vt:i4>
      </vt:variant>
      <vt:variant>
        <vt:i4>5</vt:i4>
      </vt:variant>
      <vt:variant>
        <vt:lpwstr/>
      </vt:variant>
      <vt:variant>
        <vt:lpwstr>N8</vt:lpwstr>
      </vt:variant>
      <vt:variant>
        <vt:i4>327709</vt:i4>
      </vt:variant>
      <vt:variant>
        <vt:i4>333</vt:i4>
      </vt:variant>
      <vt:variant>
        <vt:i4>0</vt:i4>
      </vt:variant>
      <vt:variant>
        <vt:i4>5</vt:i4>
      </vt:variant>
      <vt:variant>
        <vt:lpwstr/>
      </vt:variant>
      <vt:variant>
        <vt:lpwstr>_13_Provisions</vt:lpwstr>
      </vt:variant>
      <vt:variant>
        <vt:i4>3211374</vt:i4>
      </vt:variant>
      <vt:variant>
        <vt:i4>330</vt:i4>
      </vt:variant>
      <vt:variant>
        <vt:i4>0</vt:i4>
      </vt:variant>
      <vt:variant>
        <vt:i4>5</vt:i4>
      </vt:variant>
      <vt:variant>
        <vt:lpwstr/>
      </vt:variant>
      <vt:variant>
        <vt:lpwstr>N11</vt:lpwstr>
      </vt:variant>
      <vt:variant>
        <vt:i4>3670126</vt:i4>
      </vt:variant>
      <vt:variant>
        <vt:i4>327</vt:i4>
      </vt:variant>
      <vt:variant>
        <vt:i4>0</vt:i4>
      </vt:variant>
      <vt:variant>
        <vt:i4>5</vt:i4>
      </vt:variant>
      <vt:variant>
        <vt:lpwstr/>
      </vt:variant>
      <vt:variant>
        <vt:lpwstr>N8</vt:lpwstr>
      </vt:variant>
      <vt:variant>
        <vt:i4>1835062</vt:i4>
      </vt:variant>
      <vt:variant>
        <vt:i4>324</vt:i4>
      </vt:variant>
      <vt:variant>
        <vt:i4>0</vt:i4>
      </vt:variant>
      <vt:variant>
        <vt:i4>5</vt:i4>
      </vt:variant>
      <vt:variant>
        <vt:lpwstr/>
      </vt:variant>
      <vt:variant>
        <vt:lpwstr>_12_Grants_Received</vt:lpwstr>
      </vt:variant>
      <vt:variant>
        <vt:i4>3211374</vt:i4>
      </vt:variant>
      <vt:variant>
        <vt:i4>321</vt:i4>
      </vt:variant>
      <vt:variant>
        <vt:i4>0</vt:i4>
      </vt:variant>
      <vt:variant>
        <vt:i4>5</vt:i4>
      </vt:variant>
      <vt:variant>
        <vt:lpwstr/>
      </vt:variant>
      <vt:variant>
        <vt:lpwstr>N10</vt:lpwstr>
      </vt:variant>
      <vt:variant>
        <vt:i4>3735662</vt:i4>
      </vt:variant>
      <vt:variant>
        <vt:i4>318</vt:i4>
      </vt:variant>
      <vt:variant>
        <vt:i4>0</vt:i4>
      </vt:variant>
      <vt:variant>
        <vt:i4>5</vt:i4>
      </vt:variant>
      <vt:variant>
        <vt:lpwstr/>
      </vt:variant>
      <vt:variant>
        <vt:lpwstr>N9</vt:lpwstr>
      </vt:variant>
      <vt:variant>
        <vt:i4>3670126</vt:i4>
      </vt:variant>
      <vt:variant>
        <vt:i4>315</vt:i4>
      </vt:variant>
      <vt:variant>
        <vt:i4>0</vt:i4>
      </vt:variant>
      <vt:variant>
        <vt:i4>5</vt:i4>
      </vt:variant>
      <vt:variant>
        <vt:lpwstr/>
      </vt:variant>
      <vt:variant>
        <vt:lpwstr>N8</vt:lpwstr>
      </vt:variant>
      <vt:variant>
        <vt:i4>3604590</vt:i4>
      </vt:variant>
      <vt:variant>
        <vt:i4>312</vt:i4>
      </vt:variant>
      <vt:variant>
        <vt:i4>0</vt:i4>
      </vt:variant>
      <vt:variant>
        <vt:i4>5</vt:i4>
      </vt:variant>
      <vt:variant>
        <vt:lpwstr/>
      </vt:variant>
      <vt:variant>
        <vt:lpwstr>N7</vt:lpwstr>
      </vt:variant>
      <vt:variant>
        <vt:i4>3539054</vt:i4>
      </vt:variant>
      <vt:variant>
        <vt:i4>309</vt:i4>
      </vt:variant>
      <vt:variant>
        <vt:i4>0</vt:i4>
      </vt:variant>
      <vt:variant>
        <vt:i4>5</vt:i4>
      </vt:variant>
      <vt:variant>
        <vt:lpwstr/>
      </vt:variant>
      <vt:variant>
        <vt:lpwstr>N6</vt:lpwstr>
      </vt:variant>
      <vt:variant>
        <vt:i4>6422594</vt:i4>
      </vt:variant>
      <vt:variant>
        <vt:i4>306</vt:i4>
      </vt:variant>
      <vt:variant>
        <vt:i4>0</vt:i4>
      </vt:variant>
      <vt:variant>
        <vt:i4>5</vt:i4>
      </vt:variant>
      <vt:variant>
        <vt:lpwstr/>
      </vt:variant>
      <vt:variant>
        <vt:lpwstr>_19_Unusable_Reserves</vt:lpwstr>
      </vt:variant>
      <vt:variant>
        <vt:i4>3670126</vt:i4>
      </vt:variant>
      <vt:variant>
        <vt:i4>303</vt:i4>
      </vt:variant>
      <vt:variant>
        <vt:i4>0</vt:i4>
      </vt:variant>
      <vt:variant>
        <vt:i4>5</vt:i4>
      </vt:variant>
      <vt:variant>
        <vt:lpwstr/>
      </vt:variant>
      <vt:variant>
        <vt:lpwstr>N8</vt:lpwstr>
      </vt:variant>
      <vt:variant>
        <vt:i4>4653182</vt:i4>
      </vt:variant>
      <vt:variant>
        <vt:i4>300</vt:i4>
      </vt:variant>
      <vt:variant>
        <vt:i4>0</vt:i4>
      </vt:variant>
      <vt:variant>
        <vt:i4>5</vt:i4>
      </vt:variant>
      <vt:variant>
        <vt:lpwstr/>
      </vt:variant>
      <vt:variant>
        <vt:lpwstr>_16_Net_Liability</vt:lpwstr>
      </vt:variant>
      <vt:variant>
        <vt:i4>3670126</vt:i4>
      </vt:variant>
      <vt:variant>
        <vt:i4>297</vt:i4>
      </vt:variant>
      <vt:variant>
        <vt:i4>0</vt:i4>
      </vt:variant>
      <vt:variant>
        <vt:i4>5</vt:i4>
      </vt:variant>
      <vt:variant>
        <vt:lpwstr/>
      </vt:variant>
      <vt:variant>
        <vt:lpwstr>N8</vt:lpwstr>
      </vt:variant>
      <vt:variant>
        <vt:i4>655386</vt:i4>
      </vt:variant>
      <vt:variant>
        <vt:i4>294</vt:i4>
      </vt:variant>
      <vt:variant>
        <vt:i4>0</vt:i4>
      </vt:variant>
      <vt:variant>
        <vt:i4>5</vt:i4>
      </vt:variant>
      <vt:variant>
        <vt:lpwstr/>
      </vt:variant>
      <vt:variant>
        <vt:lpwstr>Notes</vt:lpwstr>
      </vt:variant>
      <vt:variant>
        <vt:i4>655386</vt:i4>
      </vt:variant>
      <vt:variant>
        <vt:i4>291</vt:i4>
      </vt:variant>
      <vt:variant>
        <vt:i4>0</vt:i4>
      </vt:variant>
      <vt:variant>
        <vt:i4>5</vt:i4>
      </vt:variant>
      <vt:variant>
        <vt:lpwstr/>
      </vt:variant>
      <vt:variant>
        <vt:lpwstr>Notes</vt:lpwstr>
      </vt:variant>
      <vt:variant>
        <vt:i4>655386</vt:i4>
      </vt:variant>
      <vt:variant>
        <vt:i4>288</vt:i4>
      </vt:variant>
      <vt:variant>
        <vt:i4>0</vt:i4>
      </vt:variant>
      <vt:variant>
        <vt:i4>5</vt:i4>
      </vt:variant>
      <vt:variant>
        <vt:lpwstr/>
      </vt:variant>
      <vt:variant>
        <vt:lpwstr>Notes</vt:lpwstr>
      </vt:variant>
      <vt:variant>
        <vt:i4>655386</vt:i4>
      </vt:variant>
      <vt:variant>
        <vt:i4>285</vt:i4>
      </vt:variant>
      <vt:variant>
        <vt:i4>0</vt:i4>
      </vt:variant>
      <vt:variant>
        <vt:i4>5</vt:i4>
      </vt:variant>
      <vt:variant>
        <vt:lpwstr/>
      </vt:variant>
      <vt:variant>
        <vt:lpwstr>Notes</vt:lpwstr>
      </vt:variant>
      <vt:variant>
        <vt:i4>655386</vt:i4>
      </vt:variant>
      <vt:variant>
        <vt:i4>282</vt:i4>
      </vt:variant>
      <vt:variant>
        <vt:i4>0</vt:i4>
      </vt:variant>
      <vt:variant>
        <vt:i4>5</vt:i4>
      </vt:variant>
      <vt:variant>
        <vt:lpwstr/>
      </vt:variant>
      <vt:variant>
        <vt:lpwstr>Notes</vt:lpwstr>
      </vt:variant>
      <vt:variant>
        <vt:i4>655386</vt:i4>
      </vt:variant>
      <vt:variant>
        <vt:i4>279</vt:i4>
      </vt:variant>
      <vt:variant>
        <vt:i4>0</vt:i4>
      </vt:variant>
      <vt:variant>
        <vt:i4>5</vt:i4>
      </vt:variant>
      <vt:variant>
        <vt:lpwstr/>
      </vt:variant>
      <vt:variant>
        <vt:lpwstr>Notes</vt:lpwstr>
      </vt:variant>
      <vt:variant>
        <vt:i4>655386</vt:i4>
      </vt:variant>
      <vt:variant>
        <vt:i4>276</vt:i4>
      </vt:variant>
      <vt:variant>
        <vt:i4>0</vt:i4>
      </vt:variant>
      <vt:variant>
        <vt:i4>5</vt:i4>
      </vt:variant>
      <vt:variant>
        <vt:lpwstr/>
      </vt:variant>
      <vt:variant>
        <vt:lpwstr>Notes</vt:lpwstr>
      </vt:variant>
      <vt:variant>
        <vt:i4>8323180</vt:i4>
      </vt:variant>
      <vt:variant>
        <vt:i4>273</vt:i4>
      </vt:variant>
      <vt:variant>
        <vt:i4>0</vt:i4>
      </vt:variant>
      <vt:variant>
        <vt:i4>5</vt:i4>
      </vt:variant>
      <vt:variant>
        <vt:lpwstr>https://www.lancsfirerescue.org.uk/about/publications/consultation-strategy</vt:lpwstr>
      </vt:variant>
      <vt:variant>
        <vt:lpwstr/>
      </vt:variant>
      <vt:variant>
        <vt:i4>3866663</vt:i4>
      </vt:variant>
      <vt:variant>
        <vt:i4>270</vt:i4>
      </vt:variant>
      <vt:variant>
        <vt:i4>0</vt:i4>
      </vt:variant>
      <vt:variant>
        <vt:i4>5</vt:i4>
      </vt:variant>
      <vt:variant>
        <vt:lpwstr>https://www.lancsfirerescue.org.uk/about/publications/annual-service-plan-2026-2027</vt:lpwstr>
      </vt:variant>
      <vt:variant>
        <vt:lpwstr/>
      </vt:variant>
      <vt:variant>
        <vt:i4>6422561</vt:i4>
      </vt:variant>
      <vt:variant>
        <vt:i4>267</vt:i4>
      </vt:variant>
      <vt:variant>
        <vt:i4>0</vt:i4>
      </vt:variant>
      <vt:variant>
        <vt:i4>5</vt:i4>
      </vt:variant>
      <vt:variant>
        <vt:lpwstr>https://www.lancsfirerescue.org.uk/about/publications/strategic-assessment-of-risk-2025-2026v2</vt:lpwstr>
      </vt:variant>
      <vt:variant>
        <vt:lpwstr/>
      </vt:variant>
      <vt:variant>
        <vt:i4>3014699</vt:i4>
      </vt:variant>
      <vt:variant>
        <vt:i4>264</vt:i4>
      </vt:variant>
      <vt:variant>
        <vt:i4>0</vt:i4>
      </vt:variant>
      <vt:variant>
        <vt:i4>5</vt:i4>
      </vt:variant>
      <vt:variant>
        <vt:lpwstr>https://www.lancsfirerescue.org.uk/about/publications/community-risk-management-plan-2022-2027</vt:lpwstr>
      </vt:variant>
      <vt:variant>
        <vt:lpwstr/>
      </vt:variant>
      <vt:variant>
        <vt:i4>6815857</vt:i4>
      </vt:variant>
      <vt:variant>
        <vt:i4>261</vt:i4>
      </vt:variant>
      <vt:variant>
        <vt:i4>0</vt:i4>
      </vt:variant>
      <vt:variant>
        <vt:i4>5</vt:i4>
      </vt:variant>
      <vt:variant>
        <vt:lpwstr>https://www.lancsfirerescue.org.uk/about/publications/code-of-corporate-governance</vt:lpwstr>
      </vt:variant>
      <vt:variant>
        <vt:lpwstr/>
      </vt:variant>
      <vt:variant>
        <vt:i4>1179706</vt:i4>
      </vt:variant>
      <vt:variant>
        <vt:i4>254</vt:i4>
      </vt:variant>
      <vt:variant>
        <vt:i4>0</vt:i4>
      </vt:variant>
      <vt:variant>
        <vt:i4>5</vt:i4>
      </vt:variant>
      <vt:variant>
        <vt:lpwstr/>
      </vt:variant>
      <vt:variant>
        <vt:lpwstr>_Toc215593423</vt:lpwstr>
      </vt:variant>
      <vt:variant>
        <vt:i4>1179706</vt:i4>
      </vt:variant>
      <vt:variant>
        <vt:i4>248</vt:i4>
      </vt:variant>
      <vt:variant>
        <vt:i4>0</vt:i4>
      </vt:variant>
      <vt:variant>
        <vt:i4>5</vt:i4>
      </vt:variant>
      <vt:variant>
        <vt:lpwstr/>
      </vt:variant>
      <vt:variant>
        <vt:lpwstr>_Toc215593422</vt:lpwstr>
      </vt:variant>
      <vt:variant>
        <vt:i4>1179706</vt:i4>
      </vt:variant>
      <vt:variant>
        <vt:i4>242</vt:i4>
      </vt:variant>
      <vt:variant>
        <vt:i4>0</vt:i4>
      </vt:variant>
      <vt:variant>
        <vt:i4>5</vt:i4>
      </vt:variant>
      <vt:variant>
        <vt:lpwstr/>
      </vt:variant>
      <vt:variant>
        <vt:lpwstr>_Toc215593421</vt:lpwstr>
      </vt:variant>
      <vt:variant>
        <vt:i4>1179706</vt:i4>
      </vt:variant>
      <vt:variant>
        <vt:i4>236</vt:i4>
      </vt:variant>
      <vt:variant>
        <vt:i4>0</vt:i4>
      </vt:variant>
      <vt:variant>
        <vt:i4>5</vt:i4>
      </vt:variant>
      <vt:variant>
        <vt:lpwstr/>
      </vt:variant>
      <vt:variant>
        <vt:lpwstr>_Toc215593420</vt:lpwstr>
      </vt:variant>
      <vt:variant>
        <vt:i4>1114170</vt:i4>
      </vt:variant>
      <vt:variant>
        <vt:i4>230</vt:i4>
      </vt:variant>
      <vt:variant>
        <vt:i4>0</vt:i4>
      </vt:variant>
      <vt:variant>
        <vt:i4>5</vt:i4>
      </vt:variant>
      <vt:variant>
        <vt:lpwstr/>
      </vt:variant>
      <vt:variant>
        <vt:lpwstr>_Toc215593419</vt:lpwstr>
      </vt:variant>
      <vt:variant>
        <vt:i4>1114170</vt:i4>
      </vt:variant>
      <vt:variant>
        <vt:i4>224</vt:i4>
      </vt:variant>
      <vt:variant>
        <vt:i4>0</vt:i4>
      </vt:variant>
      <vt:variant>
        <vt:i4>5</vt:i4>
      </vt:variant>
      <vt:variant>
        <vt:lpwstr/>
      </vt:variant>
      <vt:variant>
        <vt:lpwstr>_Toc215593418</vt:lpwstr>
      </vt:variant>
      <vt:variant>
        <vt:i4>1114170</vt:i4>
      </vt:variant>
      <vt:variant>
        <vt:i4>218</vt:i4>
      </vt:variant>
      <vt:variant>
        <vt:i4>0</vt:i4>
      </vt:variant>
      <vt:variant>
        <vt:i4>5</vt:i4>
      </vt:variant>
      <vt:variant>
        <vt:lpwstr/>
      </vt:variant>
      <vt:variant>
        <vt:lpwstr>_Toc215593417</vt:lpwstr>
      </vt:variant>
      <vt:variant>
        <vt:i4>1114170</vt:i4>
      </vt:variant>
      <vt:variant>
        <vt:i4>212</vt:i4>
      </vt:variant>
      <vt:variant>
        <vt:i4>0</vt:i4>
      </vt:variant>
      <vt:variant>
        <vt:i4>5</vt:i4>
      </vt:variant>
      <vt:variant>
        <vt:lpwstr/>
      </vt:variant>
      <vt:variant>
        <vt:lpwstr>_Toc215593416</vt:lpwstr>
      </vt:variant>
      <vt:variant>
        <vt:i4>1114170</vt:i4>
      </vt:variant>
      <vt:variant>
        <vt:i4>206</vt:i4>
      </vt:variant>
      <vt:variant>
        <vt:i4>0</vt:i4>
      </vt:variant>
      <vt:variant>
        <vt:i4>5</vt:i4>
      </vt:variant>
      <vt:variant>
        <vt:lpwstr/>
      </vt:variant>
      <vt:variant>
        <vt:lpwstr>_Toc215593415</vt:lpwstr>
      </vt:variant>
      <vt:variant>
        <vt:i4>1114170</vt:i4>
      </vt:variant>
      <vt:variant>
        <vt:i4>200</vt:i4>
      </vt:variant>
      <vt:variant>
        <vt:i4>0</vt:i4>
      </vt:variant>
      <vt:variant>
        <vt:i4>5</vt:i4>
      </vt:variant>
      <vt:variant>
        <vt:lpwstr/>
      </vt:variant>
      <vt:variant>
        <vt:lpwstr>_Toc215593414</vt:lpwstr>
      </vt:variant>
      <vt:variant>
        <vt:i4>1114170</vt:i4>
      </vt:variant>
      <vt:variant>
        <vt:i4>194</vt:i4>
      </vt:variant>
      <vt:variant>
        <vt:i4>0</vt:i4>
      </vt:variant>
      <vt:variant>
        <vt:i4>5</vt:i4>
      </vt:variant>
      <vt:variant>
        <vt:lpwstr/>
      </vt:variant>
      <vt:variant>
        <vt:lpwstr>_Toc215593413</vt:lpwstr>
      </vt:variant>
      <vt:variant>
        <vt:i4>1114170</vt:i4>
      </vt:variant>
      <vt:variant>
        <vt:i4>188</vt:i4>
      </vt:variant>
      <vt:variant>
        <vt:i4>0</vt:i4>
      </vt:variant>
      <vt:variant>
        <vt:i4>5</vt:i4>
      </vt:variant>
      <vt:variant>
        <vt:lpwstr/>
      </vt:variant>
      <vt:variant>
        <vt:lpwstr>_Toc215593412</vt:lpwstr>
      </vt:variant>
      <vt:variant>
        <vt:i4>1114170</vt:i4>
      </vt:variant>
      <vt:variant>
        <vt:i4>182</vt:i4>
      </vt:variant>
      <vt:variant>
        <vt:i4>0</vt:i4>
      </vt:variant>
      <vt:variant>
        <vt:i4>5</vt:i4>
      </vt:variant>
      <vt:variant>
        <vt:lpwstr/>
      </vt:variant>
      <vt:variant>
        <vt:lpwstr>_Toc215593411</vt:lpwstr>
      </vt:variant>
      <vt:variant>
        <vt:i4>1114170</vt:i4>
      </vt:variant>
      <vt:variant>
        <vt:i4>176</vt:i4>
      </vt:variant>
      <vt:variant>
        <vt:i4>0</vt:i4>
      </vt:variant>
      <vt:variant>
        <vt:i4>5</vt:i4>
      </vt:variant>
      <vt:variant>
        <vt:lpwstr/>
      </vt:variant>
      <vt:variant>
        <vt:lpwstr>_Toc215593410</vt:lpwstr>
      </vt:variant>
      <vt:variant>
        <vt:i4>1048634</vt:i4>
      </vt:variant>
      <vt:variant>
        <vt:i4>170</vt:i4>
      </vt:variant>
      <vt:variant>
        <vt:i4>0</vt:i4>
      </vt:variant>
      <vt:variant>
        <vt:i4>5</vt:i4>
      </vt:variant>
      <vt:variant>
        <vt:lpwstr/>
      </vt:variant>
      <vt:variant>
        <vt:lpwstr>_Toc215593409</vt:lpwstr>
      </vt:variant>
      <vt:variant>
        <vt:i4>1048634</vt:i4>
      </vt:variant>
      <vt:variant>
        <vt:i4>164</vt:i4>
      </vt:variant>
      <vt:variant>
        <vt:i4>0</vt:i4>
      </vt:variant>
      <vt:variant>
        <vt:i4>5</vt:i4>
      </vt:variant>
      <vt:variant>
        <vt:lpwstr/>
      </vt:variant>
      <vt:variant>
        <vt:lpwstr>_Toc215593408</vt:lpwstr>
      </vt:variant>
      <vt:variant>
        <vt:i4>1048634</vt:i4>
      </vt:variant>
      <vt:variant>
        <vt:i4>158</vt:i4>
      </vt:variant>
      <vt:variant>
        <vt:i4>0</vt:i4>
      </vt:variant>
      <vt:variant>
        <vt:i4>5</vt:i4>
      </vt:variant>
      <vt:variant>
        <vt:lpwstr/>
      </vt:variant>
      <vt:variant>
        <vt:lpwstr>_Toc215593407</vt:lpwstr>
      </vt:variant>
      <vt:variant>
        <vt:i4>1048634</vt:i4>
      </vt:variant>
      <vt:variant>
        <vt:i4>152</vt:i4>
      </vt:variant>
      <vt:variant>
        <vt:i4>0</vt:i4>
      </vt:variant>
      <vt:variant>
        <vt:i4>5</vt:i4>
      </vt:variant>
      <vt:variant>
        <vt:lpwstr/>
      </vt:variant>
      <vt:variant>
        <vt:lpwstr>_Toc215593406</vt:lpwstr>
      </vt:variant>
      <vt:variant>
        <vt:i4>1048634</vt:i4>
      </vt:variant>
      <vt:variant>
        <vt:i4>146</vt:i4>
      </vt:variant>
      <vt:variant>
        <vt:i4>0</vt:i4>
      </vt:variant>
      <vt:variant>
        <vt:i4>5</vt:i4>
      </vt:variant>
      <vt:variant>
        <vt:lpwstr/>
      </vt:variant>
      <vt:variant>
        <vt:lpwstr>_Toc215593405</vt:lpwstr>
      </vt:variant>
      <vt:variant>
        <vt:i4>1048634</vt:i4>
      </vt:variant>
      <vt:variant>
        <vt:i4>140</vt:i4>
      </vt:variant>
      <vt:variant>
        <vt:i4>0</vt:i4>
      </vt:variant>
      <vt:variant>
        <vt:i4>5</vt:i4>
      </vt:variant>
      <vt:variant>
        <vt:lpwstr/>
      </vt:variant>
      <vt:variant>
        <vt:lpwstr>_Toc215593404</vt:lpwstr>
      </vt:variant>
      <vt:variant>
        <vt:i4>1048634</vt:i4>
      </vt:variant>
      <vt:variant>
        <vt:i4>134</vt:i4>
      </vt:variant>
      <vt:variant>
        <vt:i4>0</vt:i4>
      </vt:variant>
      <vt:variant>
        <vt:i4>5</vt:i4>
      </vt:variant>
      <vt:variant>
        <vt:lpwstr/>
      </vt:variant>
      <vt:variant>
        <vt:lpwstr>_Toc215593403</vt:lpwstr>
      </vt:variant>
      <vt:variant>
        <vt:i4>1048634</vt:i4>
      </vt:variant>
      <vt:variant>
        <vt:i4>128</vt:i4>
      </vt:variant>
      <vt:variant>
        <vt:i4>0</vt:i4>
      </vt:variant>
      <vt:variant>
        <vt:i4>5</vt:i4>
      </vt:variant>
      <vt:variant>
        <vt:lpwstr/>
      </vt:variant>
      <vt:variant>
        <vt:lpwstr>_Toc215593402</vt:lpwstr>
      </vt:variant>
      <vt:variant>
        <vt:i4>1048634</vt:i4>
      </vt:variant>
      <vt:variant>
        <vt:i4>122</vt:i4>
      </vt:variant>
      <vt:variant>
        <vt:i4>0</vt:i4>
      </vt:variant>
      <vt:variant>
        <vt:i4>5</vt:i4>
      </vt:variant>
      <vt:variant>
        <vt:lpwstr/>
      </vt:variant>
      <vt:variant>
        <vt:lpwstr>_Toc215593401</vt:lpwstr>
      </vt:variant>
      <vt:variant>
        <vt:i4>1048634</vt:i4>
      </vt:variant>
      <vt:variant>
        <vt:i4>116</vt:i4>
      </vt:variant>
      <vt:variant>
        <vt:i4>0</vt:i4>
      </vt:variant>
      <vt:variant>
        <vt:i4>5</vt:i4>
      </vt:variant>
      <vt:variant>
        <vt:lpwstr/>
      </vt:variant>
      <vt:variant>
        <vt:lpwstr>_Toc215593400</vt:lpwstr>
      </vt:variant>
      <vt:variant>
        <vt:i4>1638461</vt:i4>
      </vt:variant>
      <vt:variant>
        <vt:i4>110</vt:i4>
      </vt:variant>
      <vt:variant>
        <vt:i4>0</vt:i4>
      </vt:variant>
      <vt:variant>
        <vt:i4>5</vt:i4>
      </vt:variant>
      <vt:variant>
        <vt:lpwstr/>
      </vt:variant>
      <vt:variant>
        <vt:lpwstr>_Toc215593399</vt:lpwstr>
      </vt:variant>
      <vt:variant>
        <vt:i4>1638461</vt:i4>
      </vt:variant>
      <vt:variant>
        <vt:i4>104</vt:i4>
      </vt:variant>
      <vt:variant>
        <vt:i4>0</vt:i4>
      </vt:variant>
      <vt:variant>
        <vt:i4>5</vt:i4>
      </vt:variant>
      <vt:variant>
        <vt:lpwstr/>
      </vt:variant>
      <vt:variant>
        <vt:lpwstr>_Toc215593398</vt:lpwstr>
      </vt:variant>
      <vt:variant>
        <vt:i4>1638461</vt:i4>
      </vt:variant>
      <vt:variant>
        <vt:i4>98</vt:i4>
      </vt:variant>
      <vt:variant>
        <vt:i4>0</vt:i4>
      </vt:variant>
      <vt:variant>
        <vt:i4>5</vt:i4>
      </vt:variant>
      <vt:variant>
        <vt:lpwstr/>
      </vt:variant>
      <vt:variant>
        <vt:lpwstr>_Toc215593397</vt:lpwstr>
      </vt:variant>
      <vt:variant>
        <vt:i4>1638461</vt:i4>
      </vt:variant>
      <vt:variant>
        <vt:i4>92</vt:i4>
      </vt:variant>
      <vt:variant>
        <vt:i4>0</vt:i4>
      </vt:variant>
      <vt:variant>
        <vt:i4>5</vt:i4>
      </vt:variant>
      <vt:variant>
        <vt:lpwstr/>
      </vt:variant>
      <vt:variant>
        <vt:lpwstr>_Toc215593396</vt:lpwstr>
      </vt:variant>
      <vt:variant>
        <vt:i4>1638461</vt:i4>
      </vt:variant>
      <vt:variant>
        <vt:i4>86</vt:i4>
      </vt:variant>
      <vt:variant>
        <vt:i4>0</vt:i4>
      </vt:variant>
      <vt:variant>
        <vt:i4>5</vt:i4>
      </vt:variant>
      <vt:variant>
        <vt:lpwstr/>
      </vt:variant>
      <vt:variant>
        <vt:lpwstr>_Toc215593395</vt:lpwstr>
      </vt:variant>
      <vt:variant>
        <vt:i4>1638461</vt:i4>
      </vt:variant>
      <vt:variant>
        <vt:i4>80</vt:i4>
      </vt:variant>
      <vt:variant>
        <vt:i4>0</vt:i4>
      </vt:variant>
      <vt:variant>
        <vt:i4>5</vt:i4>
      </vt:variant>
      <vt:variant>
        <vt:lpwstr/>
      </vt:variant>
      <vt:variant>
        <vt:lpwstr>_Toc215593394</vt:lpwstr>
      </vt:variant>
      <vt:variant>
        <vt:i4>1638461</vt:i4>
      </vt:variant>
      <vt:variant>
        <vt:i4>74</vt:i4>
      </vt:variant>
      <vt:variant>
        <vt:i4>0</vt:i4>
      </vt:variant>
      <vt:variant>
        <vt:i4>5</vt:i4>
      </vt:variant>
      <vt:variant>
        <vt:lpwstr/>
      </vt:variant>
      <vt:variant>
        <vt:lpwstr>_Toc215593393</vt:lpwstr>
      </vt:variant>
      <vt:variant>
        <vt:i4>1638461</vt:i4>
      </vt:variant>
      <vt:variant>
        <vt:i4>68</vt:i4>
      </vt:variant>
      <vt:variant>
        <vt:i4>0</vt:i4>
      </vt:variant>
      <vt:variant>
        <vt:i4>5</vt:i4>
      </vt:variant>
      <vt:variant>
        <vt:lpwstr/>
      </vt:variant>
      <vt:variant>
        <vt:lpwstr>_Toc215593392</vt:lpwstr>
      </vt:variant>
      <vt:variant>
        <vt:i4>1638461</vt:i4>
      </vt:variant>
      <vt:variant>
        <vt:i4>62</vt:i4>
      </vt:variant>
      <vt:variant>
        <vt:i4>0</vt:i4>
      </vt:variant>
      <vt:variant>
        <vt:i4>5</vt:i4>
      </vt:variant>
      <vt:variant>
        <vt:lpwstr/>
      </vt:variant>
      <vt:variant>
        <vt:lpwstr>_Toc215593391</vt:lpwstr>
      </vt:variant>
      <vt:variant>
        <vt:i4>1638461</vt:i4>
      </vt:variant>
      <vt:variant>
        <vt:i4>56</vt:i4>
      </vt:variant>
      <vt:variant>
        <vt:i4>0</vt:i4>
      </vt:variant>
      <vt:variant>
        <vt:i4>5</vt:i4>
      </vt:variant>
      <vt:variant>
        <vt:lpwstr/>
      </vt:variant>
      <vt:variant>
        <vt:lpwstr>_Toc215593390</vt:lpwstr>
      </vt:variant>
      <vt:variant>
        <vt:i4>1572925</vt:i4>
      </vt:variant>
      <vt:variant>
        <vt:i4>50</vt:i4>
      </vt:variant>
      <vt:variant>
        <vt:i4>0</vt:i4>
      </vt:variant>
      <vt:variant>
        <vt:i4>5</vt:i4>
      </vt:variant>
      <vt:variant>
        <vt:lpwstr/>
      </vt:variant>
      <vt:variant>
        <vt:lpwstr>_Toc215593389</vt:lpwstr>
      </vt:variant>
      <vt:variant>
        <vt:i4>1572925</vt:i4>
      </vt:variant>
      <vt:variant>
        <vt:i4>44</vt:i4>
      </vt:variant>
      <vt:variant>
        <vt:i4>0</vt:i4>
      </vt:variant>
      <vt:variant>
        <vt:i4>5</vt:i4>
      </vt:variant>
      <vt:variant>
        <vt:lpwstr/>
      </vt:variant>
      <vt:variant>
        <vt:lpwstr>_Toc215593388</vt:lpwstr>
      </vt:variant>
      <vt:variant>
        <vt:i4>1572925</vt:i4>
      </vt:variant>
      <vt:variant>
        <vt:i4>38</vt:i4>
      </vt:variant>
      <vt:variant>
        <vt:i4>0</vt:i4>
      </vt:variant>
      <vt:variant>
        <vt:i4>5</vt:i4>
      </vt:variant>
      <vt:variant>
        <vt:lpwstr/>
      </vt:variant>
      <vt:variant>
        <vt:lpwstr>_Toc215593387</vt:lpwstr>
      </vt:variant>
      <vt:variant>
        <vt:i4>1572925</vt:i4>
      </vt:variant>
      <vt:variant>
        <vt:i4>32</vt:i4>
      </vt:variant>
      <vt:variant>
        <vt:i4>0</vt:i4>
      </vt:variant>
      <vt:variant>
        <vt:i4>5</vt:i4>
      </vt:variant>
      <vt:variant>
        <vt:lpwstr/>
      </vt:variant>
      <vt:variant>
        <vt:lpwstr>_Toc215593386</vt:lpwstr>
      </vt:variant>
      <vt:variant>
        <vt:i4>1572925</vt:i4>
      </vt:variant>
      <vt:variant>
        <vt:i4>26</vt:i4>
      </vt:variant>
      <vt:variant>
        <vt:i4>0</vt:i4>
      </vt:variant>
      <vt:variant>
        <vt:i4>5</vt:i4>
      </vt:variant>
      <vt:variant>
        <vt:lpwstr/>
      </vt:variant>
      <vt:variant>
        <vt:lpwstr>_Toc215593385</vt:lpwstr>
      </vt:variant>
      <vt:variant>
        <vt:i4>1572925</vt:i4>
      </vt:variant>
      <vt:variant>
        <vt:i4>20</vt:i4>
      </vt:variant>
      <vt:variant>
        <vt:i4>0</vt:i4>
      </vt:variant>
      <vt:variant>
        <vt:i4>5</vt:i4>
      </vt:variant>
      <vt:variant>
        <vt:lpwstr/>
      </vt:variant>
      <vt:variant>
        <vt:lpwstr>_Toc215593384</vt:lpwstr>
      </vt:variant>
      <vt:variant>
        <vt:i4>1572925</vt:i4>
      </vt:variant>
      <vt:variant>
        <vt:i4>14</vt:i4>
      </vt:variant>
      <vt:variant>
        <vt:i4>0</vt:i4>
      </vt:variant>
      <vt:variant>
        <vt:i4>5</vt:i4>
      </vt:variant>
      <vt:variant>
        <vt:lpwstr/>
      </vt:variant>
      <vt:variant>
        <vt:lpwstr>_Toc215593383</vt:lpwstr>
      </vt:variant>
      <vt:variant>
        <vt:i4>1572925</vt:i4>
      </vt:variant>
      <vt:variant>
        <vt:i4>8</vt:i4>
      </vt:variant>
      <vt:variant>
        <vt:i4>0</vt:i4>
      </vt:variant>
      <vt:variant>
        <vt:i4>5</vt:i4>
      </vt:variant>
      <vt:variant>
        <vt:lpwstr/>
      </vt:variant>
      <vt:variant>
        <vt:lpwstr>_Toc215593382</vt:lpwstr>
      </vt:variant>
      <vt:variant>
        <vt:i4>1572925</vt:i4>
      </vt:variant>
      <vt:variant>
        <vt:i4>2</vt:i4>
      </vt:variant>
      <vt:variant>
        <vt:i4>0</vt:i4>
      </vt:variant>
      <vt:variant>
        <vt:i4>5</vt:i4>
      </vt:variant>
      <vt:variant>
        <vt:lpwstr/>
      </vt:variant>
      <vt:variant>
        <vt:lpwstr>_Toc215593381</vt:lpwstr>
      </vt:variant>
      <vt:variant>
        <vt:i4>4653094</vt:i4>
      </vt:variant>
      <vt:variant>
        <vt:i4>54</vt:i4>
      </vt:variant>
      <vt:variant>
        <vt:i4>0</vt:i4>
      </vt:variant>
      <vt:variant>
        <vt:i4>5</vt:i4>
      </vt:variant>
      <vt:variant>
        <vt:lpwstr>mailto:NaomiSimpson@lancsfirerescue.org.uk</vt:lpwstr>
      </vt:variant>
      <vt:variant>
        <vt:lpwstr/>
      </vt:variant>
      <vt:variant>
        <vt:i4>2097220</vt:i4>
      </vt:variant>
      <vt:variant>
        <vt:i4>51</vt:i4>
      </vt:variant>
      <vt:variant>
        <vt:i4>0</vt:i4>
      </vt:variant>
      <vt:variant>
        <vt:i4>5</vt:i4>
      </vt:variant>
      <vt:variant>
        <vt:lpwstr>mailto:AdamLatham@lancsfirerescue.org.uk</vt:lpwstr>
      </vt:variant>
      <vt:variant>
        <vt:lpwstr/>
      </vt:variant>
      <vt:variant>
        <vt:i4>4653094</vt:i4>
      </vt:variant>
      <vt:variant>
        <vt:i4>48</vt:i4>
      </vt:variant>
      <vt:variant>
        <vt:i4>0</vt:i4>
      </vt:variant>
      <vt:variant>
        <vt:i4>5</vt:i4>
      </vt:variant>
      <vt:variant>
        <vt:lpwstr>mailto:NaomiSimpson@lancsfirerescue.org.uk</vt:lpwstr>
      </vt:variant>
      <vt:variant>
        <vt:lpwstr/>
      </vt:variant>
      <vt:variant>
        <vt:i4>2097220</vt:i4>
      </vt:variant>
      <vt:variant>
        <vt:i4>45</vt:i4>
      </vt:variant>
      <vt:variant>
        <vt:i4>0</vt:i4>
      </vt:variant>
      <vt:variant>
        <vt:i4>5</vt:i4>
      </vt:variant>
      <vt:variant>
        <vt:lpwstr>mailto:AdamLatham@lancsfirerescue.org.uk</vt:lpwstr>
      </vt:variant>
      <vt:variant>
        <vt:lpwstr/>
      </vt:variant>
      <vt:variant>
        <vt:i4>4653094</vt:i4>
      </vt:variant>
      <vt:variant>
        <vt:i4>42</vt:i4>
      </vt:variant>
      <vt:variant>
        <vt:i4>0</vt:i4>
      </vt:variant>
      <vt:variant>
        <vt:i4>5</vt:i4>
      </vt:variant>
      <vt:variant>
        <vt:lpwstr>mailto:NaomiSimpson@lancsfirerescue.org.uk</vt:lpwstr>
      </vt:variant>
      <vt:variant>
        <vt:lpwstr/>
      </vt:variant>
      <vt:variant>
        <vt:i4>4653094</vt:i4>
      </vt:variant>
      <vt:variant>
        <vt:i4>39</vt:i4>
      </vt:variant>
      <vt:variant>
        <vt:i4>0</vt:i4>
      </vt:variant>
      <vt:variant>
        <vt:i4>5</vt:i4>
      </vt:variant>
      <vt:variant>
        <vt:lpwstr>mailto:NaomiSimpson@lancsfirerescue.org.uk</vt:lpwstr>
      </vt:variant>
      <vt:variant>
        <vt:lpwstr/>
      </vt:variant>
      <vt:variant>
        <vt:i4>2097220</vt:i4>
      </vt:variant>
      <vt:variant>
        <vt:i4>36</vt:i4>
      </vt:variant>
      <vt:variant>
        <vt:i4>0</vt:i4>
      </vt:variant>
      <vt:variant>
        <vt:i4>5</vt:i4>
      </vt:variant>
      <vt:variant>
        <vt:lpwstr>mailto:AdamLatham@lancsfirerescue.org.uk</vt:lpwstr>
      </vt:variant>
      <vt:variant>
        <vt:lpwstr/>
      </vt:variant>
      <vt:variant>
        <vt:i4>2097220</vt:i4>
      </vt:variant>
      <vt:variant>
        <vt:i4>33</vt:i4>
      </vt:variant>
      <vt:variant>
        <vt:i4>0</vt:i4>
      </vt:variant>
      <vt:variant>
        <vt:i4>5</vt:i4>
      </vt:variant>
      <vt:variant>
        <vt:lpwstr>mailto:AdamLatham@lancsfirerescue.org.uk</vt:lpwstr>
      </vt:variant>
      <vt:variant>
        <vt:lpwstr/>
      </vt:variant>
      <vt:variant>
        <vt:i4>4653094</vt:i4>
      </vt:variant>
      <vt:variant>
        <vt:i4>30</vt:i4>
      </vt:variant>
      <vt:variant>
        <vt:i4>0</vt:i4>
      </vt:variant>
      <vt:variant>
        <vt:i4>5</vt:i4>
      </vt:variant>
      <vt:variant>
        <vt:lpwstr>mailto:NaomiSimpson@lancsfirerescue.org.uk</vt:lpwstr>
      </vt:variant>
      <vt:variant>
        <vt:lpwstr/>
      </vt:variant>
      <vt:variant>
        <vt:i4>2097220</vt:i4>
      </vt:variant>
      <vt:variant>
        <vt:i4>27</vt:i4>
      </vt:variant>
      <vt:variant>
        <vt:i4>0</vt:i4>
      </vt:variant>
      <vt:variant>
        <vt:i4>5</vt:i4>
      </vt:variant>
      <vt:variant>
        <vt:lpwstr>mailto:AdamLatham@lancsfirerescue.org.uk</vt:lpwstr>
      </vt:variant>
      <vt:variant>
        <vt:lpwstr/>
      </vt:variant>
      <vt:variant>
        <vt:i4>4653094</vt:i4>
      </vt:variant>
      <vt:variant>
        <vt:i4>24</vt:i4>
      </vt:variant>
      <vt:variant>
        <vt:i4>0</vt:i4>
      </vt:variant>
      <vt:variant>
        <vt:i4>5</vt:i4>
      </vt:variant>
      <vt:variant>
        <vt:lpwstr>mailto:NaomiSimpson@lancsfirerescue.org.uk</vt:lpwstr>
      </vt:variant>
      <vt:variant>
        <vt:lpwstr/>
      </vt:variant>
      <vt:variant>
        <vt:i4>4653094</vt:i4>
      </vt:variant>
      <vt:variant>
        <vt:i4>21</vt:i4>
      </vt:variant>
      <vt:variant>
        <vt:i4>0</vt:i4>
      </vt:variant>
      <vt:variant>
        <vt:i4>5</vt:i4>
      </vt:variant>
      <vt:variant>
        <vt:lpwstr>mailto:NaomiSimpson@lancsfirerescue.org.uk</vt:lpwstr>
      </vt:variant>
      <vt:variant>
        <vt:lpwstr/>
      </vt:variant>
      <vt:variant>
        <vt:i4>4653094</vt:i4>
      </vt:variant>
      <vt:variant>
        <vt:i4>18</vt:i4>
      </vt:variant>
      <vt:variant>
        <vt:i4>0</vt:i4>
      </vt:variant>
      <vt:variant>
        <vt:i4>5</vt:i4>
      </vt:variant>
      <vt:variant>
        <vt:lpwstr>mailto:NaomiSimpson@lancsfirerescue.org.uk</vt:lpwstr>
      </vt:variant>
      <vt:variant>
        <vt:lpwstr/>
      </vt:variant>
      <vt:variant>
        <vt:i4>2097220</vt:i4>
      </vt:variant>
      <vt:variant>
        <vt:i4>15</vt:i4>
      </vt:variant>
      <vt:variant>
        <vt:i4>0</vt:i4>
      </vt:variant>
      <vt:variant>
        <vt:i4>5</vt:i4>
      </vt:variant>
      <vt:variant>
        <vt:lpwstr>mailto:AdamLatham@lancsfirerescue.org.uk</vt:lpwstr>
      </vt:variant>
      <vt:variant>
        <vt:lpwstr/>
      </vt:variant>
      <vt:variant>
        <vt:i4>4653094</vt:i4>
      </vt:variant>
      <vt:variant>
        <vt:i4>12</vt:i4>
      </vt:variant>
      <vt:variant>
        <vt:i4>0</vt:i4>
      </vt:variant>
      <vt:variant>
        <vt:i4>5</vt:i4>
      </vt:variant>
      <vt:variant>
        <vt:lpwstr>mailto:NaomiSimpson@lancsfirerescue.org.uk</vt:lpwstr>
      </vt:variant>
      <vt:variant>
        <vt:lpwstr/>
      </vt:variant>
      <vt:variant>
        <vt:i4>2097220</vt:i4>
      </vt:variant>
      <vt:variant>
        <vt:i4>9</vt:i4>
      </vt:variant>
      <vt:variant>
        <vt:i4>0</vt:i4>
      </vt:variant>
      <vt:variant>
        <vt:i4>5</vt:i4>
      </vt:variant>
      <vt:variant>
        <vt:lpwstr>mailto:AdamLatham@lancsfirerescue.org.uk</vt:lpwstr>
      </vt:variant>
      <vt:variant>
        <vt:lpwstr/>
      </vt:variant>
      <vt:variant>
        <vt:i4>4653094</vt:i4>
      </vt:variant>
      <vt:variant>
        <vt:i4>6</vt:i4>
      </vt:variant>
      <vt:variant>
        <vt:i4>0</vt:i4>
      </vt:variant>
      <vt:variant>
        <vt:i4>5</vt:i4>
      </vt:variant>
      <vt:variant>
        <vt:lpwstr>mailto:NaomiSimpson@lancsfirerescue.org.uk</vt:lpwstr>
      </vt:variant>
      <vt:variant>
        <vt:lpwstr/>
      </vt:variant>
      <vt:variant>
        <vt:i4>4653094</vt:i4>
      </vt:variant>
      <vt:variant>
        <vt:i4>3</vt:i4>
      </vt:variant>
      <vt:variant>
        <vt:i4>0</vt:i4>
      </vt:variant>
      <vt:variant>
        <vt:i4>5</vt:i4>
      </vt:variant>
      <vt:variant>
        <vt:lpwstr>mailto:NaomiSimpson@lancsfirerescue.org.uk</vt:lpwstr>
      </vt:variant>
      <vt:variant>
        <vt:lpwstr/>
      </vt:variant>
      <vt:variant>
        <vt:i4>2097220</vt:i4>
      </vt:variant>
      <vt:variant>
        <vt:i4>0</vt:i4>
      </vt:variant>
      <vt:variant>
        <vt:i4>0</vt:i4>
      </vt:variant>
      <vt:variant>
        <vt:i4>5</vt:i4>
      </vt:variant>
      <vt:variant>
        <vt:lpwstr>mailto:AdamLatham@lancsfirerescue.org.uk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POLICE AUTHORITY</dc:title>
  <dc:subject/>
  <dc:creator>Claire Cartmel</dc:creator>
  <cp:keywords/>
  <cp:lastModifiedBy>SHQ - Latham, Adam</cp:lastModifiedBy>
  <cp:revision>26</cp:revision>
  <cp:lastPrinted>2024-07-30T14:43:00Z</cp:lastPrinted>
  <dcterms:created xsi:type="dcterms:W3CDTF">2026-06-30T08:16:00Z</dcterms:created>
  <dcterms:modified xsi:type="dcterms:W3CDTF">2026-06-30T12:13:00Z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0x010100FF1940F4E2DC8946B491E00B713C6592</vt:lpwstr>
  </property>
  <property fmtid="{D5CDD505-2E9C-101B-9397-08002B2CF9AE}" pid="3" name="MediaServiceImageTags">
    <vt:lpwstr/>
  </property>
</Properties>
</file>