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DB6F" w14:textId="6C2315E8" w:rsidR="00F7553D" w:rsidRDefault="0077776B" w:rsidP="00DE2599">
      <w:r>
        <w:rPr>
          <w:noProof/>
        </w:rPr>
        <w:drawing>
          <wp:anchor distT="0" distB="0" distL="114300" distR="114300" simplePos="0" relativeHeight="251659264" behindDoc="0" locked="0" layoutInCell="1" allowOverlap="1" wp14:anchorId="190C4C16" wp14:editId="0E094626">
            <wp:simplePos x="0" y="0"/>
            <wp:positionH relativeFrom="page">
              <wp:posOffset>19050</wp:posOffset>
            </wp:positionH>
            <wp:positionV relativeFrom="paragraph">
              <wp:posOffset>-914400</wp:posOffset>
            </wp:positionV>
            <wp:extent cx="7543438" cy="10763250"/>
            <wp:effectExtent l="0" t="0" r="635" b="0"/>
            <wp:wrapNone/>
            <wp:docPr id="990705493" name="Picture 1" descr="A red and white cover page with a blue and white design depicitng a fire engine.&#10;Title Strategic Assessment of Risk 2025-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05493" name="Picture 1" descr="A red and white cover page with a blue and white design depicitng a fire engine.&#10;Title Strategic Assessment of Risk 2025-2026&#10;"/>
                    <pic:cNvPicPr/>
                  </pic:nvPicPr>
                  <pic:blipFill rotWithShape="1">
                    <a:blip r:embed="rId11">
                      <a:extLst>
                        <a:ext uri="{28A0092B-C50C-407E-A947-70E740481C1C}">
                          <a14:useLocalDpi xmlns:a14="http://schemas.microsoft.com/office/drawing/2010/main" val="0"/>
                        </a:ext>
                      </a:extLst>
                    </a:blip>
                    <a:srcRect l="40155" t="12966" r="28284" b="3897"/>
                    <a:stretch>
                      <a:fillRect/>
                    </a:stretch>
                  </pic:blipFill>
                  <pic:spPr bwMode="auto">
                    <a:xfrm>
                      <a:off x="0" y="0"/>
                      <a:ext cx="7543438" cy="10763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70C0" w:rsidRPr="007B70C0">
        <w:rPr>
          <w:noProof/>
          <w:highlight w:val="yellow"/>
        </w:rPr>
        <w:t>.</w:t>
      </w:r>
    </w:p>
    <w:p w14:paraId="50A6B531" w14:textId="77777777" w:rsidR="00F7553D" w:rsidRDefault="00F7553D" w:rsidP="00DE2599"/>
    <w:p w14:paraId="178DCAED" w14:textId="77777777" w:rsidR="00F7553D" w:rsidRDefault="00F7553D" w:rsidP="00DE2599"/>
    <w:p w14:paraId="444D0763" w14:textId="4559185B" w:rsidR="00F7553D" w:rsidRDefault="00F7553D" w:rsidP="00DE2599"/>
    <w:p w14:paraId="3199604D" w14:textId="562E350D" w:rsidR="00F7553D" w:rsidRDefault="00F7553D" w:rsidP="00DE2599"/>
    <w:p w14:paraId="5BDBF813" w14:textId="77777777" w:rsidR="00F7553D" w:rsidRDefault="00F7553D" w:rsidP="00DE2599"/>
    <w:p w14:paraId="74EE8C6A" w14:textId="77777777" w:rsidR="00F7553D" w:rsidRDefault="00F7553D" w:rsidP="00DE2599"/>
    <w:p w14:paraId="3A8AC7A6" w14:textId="77777777" w:rsidR="00F7553D" w:rsidRDefault="00F7553D" w:rsidP="00DE2599"/>
    <w:p w14:paraId="33062F8B" w14:textId="649D1374" w:rsidR="00C67E7F" w:rsidRDefault="00C67E7F" w:rsidP="00DE2599"/>
    <w:p w14:paraId="691E7568" w14:textId="77777777" w:rsidR="00F7553D" w:rsidRDefault="00F7553D" w:rsidP="00DE2599"/>
    <w:p w14:paraId="4250DBDB" w14:textId="77777777" w:rsidR="00F7553D" w:rsidRDefault="00F7553D" w:rsidP="00DE2599"/>
    <w:p w14:paraId="6478F813" w14:textId="77777777" w:rsidR="00F7553D" w:rsidRDefault="00F7553D" w:rsidP="00DE2599"/>
    <w:p w14:paraId="6E9B01D8" w14:textId="77777777" w:rsidR="00F7553D" w:rsidRDefault="00F7553D" w:rsidP="00DE2599"/>
    <w:p w14:paraId="1EDCD112" w14:textId="77777777" w:rsidR="00F7553D" w:rsidRDefault="00F7553D" w:rsidP="00DE2599"/>
    <w:p w14:paraId="709887ED" w14:textId="77777777" w:rsidR="00F7553D" w:rsidRDefault="00F7553D" w:rsidP="00DE2599"/>
    <w:p w14:paraId="6FE5E9A3" w14:textId="77777777" w:rsidR="00F7553D" w:rsidRDefault="00F7553D" w:rsidP="00DE2599"/>
    <w:p w14:paraId="4F25E5CF" w14:textId="77777777" w:rsidR="00F7553D" w:rsidRDefault="00F7553D" w:rsidP="00DE2599"/>
    <w:p w14:paraId="0672201E" w14:textId="77777777" w:rsidR="00F7553D" w:rsidRDefault="00F7553D" w:rsidP="00DE2599"/>
    <w:p w14:paraId="66BEF6AD" w14:textId="77777777" w:rsidR="00F7553D" w:rsidRDefault="00F7553D" w:rsidP="00DE2599"/>
    <w:p w14:paraId="6CEBD190" w14:textId="77777777" w:rsidR="00F7553D" w:rsidRDefault="00F7553D" w:rsidP="00DE2599"/>
    <w:p w14:paraId="224E0278" w14:textId="77777777" w:rsidR="00F7553D" w:rsidRDefault="00F7553D" w:rsidP="00DE2599"/>
    <w:p w14:paraId="6356C1C5" w14:textId="77777777" w:rsidR="00F7553D" w:rsidRDefault="00F7553D" w:rsidP="00DE2599"/>
    <w:p w14:paraId="7E2E0E53" w14:textId="77777777" w:rsidR="00F7553D" w:rsidRDefault="00F7553D" w:rsidP="00DE2599"/>
    <w:p w14:paraId="55519EEB" w14:textId="77777777" w:rsidR="00F7553D" w:rsidRDefault="00F7553D" w:rsidP="00DE2599"/>
    <w:p w14:paraId="5A49C541" w14:textId="5DE6F26E" w:rsidR="00B0493E" w:rsidRPr="00AB1C0E" w:rsidRDefault="00C208AF" w:rsidP="0095735D">
      <w:pPr>
        <w:spacing w:before="40" w:after="40" w:line="240" w:lineRule="auto"/>
        <w:rPr>
          <w:rFonts w:cs="Arial"/>
          <w:szCs w:val="24"/>
        </w:rPr>
      </w:pPr>
      <w:r w:rsidRPr="00AB1C0E">
        <w:rPr>
          <w:rFonts w:cs="Arial"/>
          <w:b/>
          <w:bCs/>
          <w:szCs w:val="24"/>
        </w:rPr>
        <w:lastRenderedPageBreak/>
        <w:t>Contents</w:t>
      </w:r>
    </w:p>
    <w:p w14:paraId="220888F4" w14:textId="694E6361" w:rsidR="00032551" w:rsidRPr="000B1511" w:rsidRDefault="00946A62"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r w:rsidRPr="00AB1C0E">
        <w:rPr>
          <w:rFonts w:ascii="Arial" w:hAnsi="Arial" w:cs="Arial"/>
          <w:i/>
          <w:iCs/>
          <w:sz w:val="24"/>
          <w:szCs w:val="24"/>
        </w:rPr>
        <w:fldChar w:fldCharType="begin"/>
      </w:r>
      <w:r w:rsidRPr="00AB1C0E">
        <w:rPr>
          <w:rFonts w:ascii="Arial" w:hAnsi="Arial" w:cs="Arial"/>
          <w:sz w:val="24"/>
          <w:szCs w:val="24"/>
        </w:rPr>
        <w:instrText xml:space="preserve"> TOC \o "1-3" \h \z \u </w:instrText>
      </w:r>
      <w:r w:rsidRPr="00AB1C0E">
        <w:rPr>
          <w:rFonts w:ascii="Arial" w:hAnsi="Arial" w:cs="Arial"/>
          <w:i/>
          <w:iCs/>
          <w:sz w:val="24"/>
          <w:szCs w:val="24"/>
        </w:rPr>
        <w:fldChar w:fldCharType="separate"/>
      </w:r>
      <w:hyperlink w:anchor="_Toc208329906" w:history="1">
        <w:r w:rsidR="00032551" w:rsidRPr="000B1511">
          <w:rPr>
            <w:rStyle w:val="Hyperlink"/>
            <w:rFonts w:ascii="Arial" w:hAnsi="Arial" w:cs="Arial"/>
            <w:noProof/>
            <w:sz w:val="22"/>
            <w:szCs w:val="22"/>
          </w:rPr>
          <w:t>Executive Summary</w:t>
        </w:r>
        <w:r w:rsidR="00032551" w:rsidRPr="000B1511">
          <w:rPr>
            <w:rFonts w:ascii="Arial" w:hAnsi="Arial" w:cs="Arial"/>
            <w:noProof/>
            <w:webHidden/>
            <w:sz w:val="22"/>
            <w:szCs w:val="22"/>
          </w:rPr>
          <w:tab/>
        </w:r>
        <w:r w:rsidR="00032551" w:rsidRPr="000B1511">
          <w:rPr>
            <w:rFonts w:ascii="Arial" w:hAnsi="Arial" w:cs="Arial"/>
            <w:noProof/>
            <w:webHidden/>
            <w:sz w:val="22"/>
            <w:szCs w:val="22"/>
          </w:rPr>
          <w:fldChar w:fldCharType="begin"/>
        </w:r>
        <w:r w:rsidR="00032551" w:rsidRPr="000B1511">
          <w:rPr>
            <w:rFonts w:ascii="Arial" w:hAnsi="Arial" w:cs="Arial"/>
            <w:noProof/>
            <w:webHidden/>
            <w:sz w:val="22"/>
            <w:szCs w:val="22"/>
          </w:rPr>
          <w:instrText xml:space="preserve"> PAGEREF _Toc208329906 \h </w:instrText>
        </w:r>
        <w:r w:rsidR="00032551" w:rsidRPr="000B1511">
          <w:rPr>
            <w:rFonts w:ascii="Arial" w:hAnsi="Arial" w:cs="Arial"/>
            <w:noProof/>
            <w:webHidden/>
            <w:sz w:val="22"/>
            <w:szCs w:val="22"/>
          </w:rPr>
        </w:r>
        <w:r w:rsidR="00032551" w:rsidRPr="000B1511">
          <w:rPr>
            <w:rFonts w:ascii="Arial" w:hAnsi="Arial" w:cs="Arial"/>
            <w:noProof/>
            <w:webHidden/>
            <w:sz w:val="22"/>
            <w:szCs w:val="22"/>
          </w:rPr>
          <w:fldChar w:fldCharType="separate"/>
        </w:r>
        <w:r w:rsidR="00032551" w:rsidRPr="000B1511">
          <w:rPr>
            <w:rFonts w:ascii="Arial" w:hAnsi="Arial" w:cs="Arial"/>
            <w:noProof/>
            <w:webHidden/>
            <w:sz w:val="22"/>
            <w:szCs w:val="22"/>
          </w:rPr>
          <w:t>4</w:t>
        </w:r>
        <w:r w:rsidR="00032551" w:rsidRPr="000B1511">
          <w:rPr>
            <w:rFonts w:ascii="Arial" w:hAnsi="Arial" w:cs="Arial"/>
            <w:noProof/>
            <w:webHidden/>
            <w:sz w:val="22"/>
            <w:szCs w:val="22"/>
          </w:rPr>
          <w:fldChar w:fldCharType="end"/>
        </w:r>
      </w:hyperlink>
    </w:p>
    <w:p w14:paraId="3C7AB0D6" w14:textId="74D80391" w:rsidR="00032551" w:rsidRPr="000B1511" w:rsidRDefault="00032551"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hyperlink w:anchor="_Toc208329907" w:history="1">
        <w:r w:rsidRPr="000B1511">
          <w:rPr>
            <w:rStyle w:val="Hyperlink"/>
            <w:rFonts w:ascii="Arial" w:hAnsi="Arial" w:cs="Arial"/>
            <w:noProof/>
            <w:sz w:val="22"/>
            <w:szCs w:val="22"/>
          </w:rPr>
          <w:t>Introduction</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_Toc208329907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6</w:t>
        </w:r>
        <w:r w:rsidRPr="000B1511">
          <w:rPr>
            <w:rFonts w:ascii="Arial" w:hAnsi="Arial" w:cs="Arial"/>
            <w:noProof/>
            <w:webHidden/>
            <w:sz w:val="22"/>
            <w:szCs w:val="22"/>
          </w:rPr>
          <w:fldChar w:fldCharType="end"/>
        </w:r>
      </w:hyperlink>
    </w:p>
    <w:p w14:paraId="49DEE46C" w14:textId="0F7F216D" w:rsidR="00032551" w:rsidRPr="000B1511" w:rsidRDefault="00032551"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hyperlink w:anchor="_Toc208329908" w:history="1">
        <w:r w:rsidRPr="000B1511">
          <w:rPr>
            <w:rStyle w:val="Hyperlink"/>
            <w:rFonts w:ascii="Arial" w:hAnsi="Arial" w:cs="Arial"/>
            <w:noProof/>
            <w:sz w:val="22"/>
            <w:szCs w:val="22"/>
          </w:rPr>
          <w:t>Lancashire Combined Fire Authority</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_Toc208329908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7</w:t>
        </w:r>
        <w:r w:rsidRPr="000B1511">
          <w:rPr>
            <w:rFonts w:ascii="Arial" w:hAnsi="Arial" w:cs="Arial"/>
            <w:noProof/>
            <w:webHidden/>
            <w:sz w:val="22"/>
            <w:szCs w:val="22"/>
          </w:rPr>
          <w:fldChar w:fldCharType="end"/>
        </w:r>
      </w:hyperlink>
    </w:p>
    <w:p w14:paraId="06EDE58B" w14:textId="682B8391" w:rsidR="00032551" w:rsidRPr="000B1511" w:rsidRDefault="00032551"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hyperlink w:anchor="_Toc208329909" w:history="1">
        <w:r w:rsidRPr="000B1511">
          <w:rPr>
            <w:rStyle w:val="Hyperlink"/>
            <w:rFonts w:ascii="Arial" w:hAnsi="Arial" w:cs="Arial"/>
            <w:noProof/>
            <w:sz w:val="22"/>
            <w:szCs w:val="22"/>
            <w:lang w:eastAsia="en-GB"/>
          </w:rPr>
          <w:t>About Lancashire</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_Toc208329909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7</w:t>
        </w:r>
        <w:r w:rsidRPr="000B1511">
          <w:rPr>
            <w:rFonts w:ascii="Arial" w:hAnsi="Arial" w:cs="Arial"/>
            <w:noProof/>
            <w:webHidden/>
            <w:sz w:val="22"/>
            <w:szCs w:val="22"/>
          </w:rPr>
          <w:fldChar w:fldCharType="end"/>
        </w:r>
      </w:hyperlink>
    </w:p>
    <w:p w14:paraId="6F8BC4F5" w14:textId="403890BD" w:rsidR="00032551" w:rsidRPr="000B1511" w:rsidRDefault="00032551"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hyperlink w:anchor="_Toc208329910" w:history="1">
        <w:r w:rsidRPr="000B1511">
          <w:rPr>
            <w:rStyle w:val="Hyperlink"/>
            <w:rFonts w:ascii="Arial" w:hAnsi="Arial" w:cs="Arial"/>
            <w:noProof/>
            <w:sz w:val="22"/>
            <w:szCs w:val="22"/>
          </w:rPr>
          <w:t>Lancashire Fire and Rescue Service - community risk identification process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_Toc208329910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8</w:t>
        </w:r>
        <w:r w:rsidRPr="000B1511">
          <w:rPr>
            <w:rFonts w:ascii="Arial" w:hAnsi="Arial" w:cs="Arial"/>
            <w:noProof/>
            <w:webHidden/>
            <w:sz w:val="22"/>
            <w:szCs w:val="22"/>
          </w:rPr>
          <w:fldChar w:fldCharType="end"/>
        </w:r>
      </w:hyperlink>
    </w:p>
    <w:p w14:paraId="600FE56F" w14:textId="3117518C" w:rsidR="00032551" w:rsidRPr="000B1511" w:rsidRDefault="00032551"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hyperlink w:anchor="_Toc208329911" w:history="1">
        <w:r w:rsidRPr="000B1511">
          <w:rPr>
            <w:rStyle w:val="Hyperlink"/>
            <w:rFonts w:ascii="Arial" w:hAnsi="Arial" w:cs="Arial"/>
            <w:noProof/>
            <w:sz w:val="22"/>
            <w:szCs w:val="22"/>
          </w:rPr>
          <w:t>National and local risks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_Toc208329911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9</w:t>
        </w:r>
        <w:r w:rsidRPr="000B1511">
          <w:rPr>
            <w:rFonts w:ascii="Arial" w:hAnsi="Arial" w:cs="Arial"/>
            <w:noProof/>
            <w:webHidden/>
            <w:sz w:val="22"/>
            <w:szCs w:val="22"/>
          </w:rPr>
          <w:fldChar w:fldCharType="end"/>
        </w:r>
      </w:hyperlink>
    </w:p>
    <w:p w14:paraId="5CE1CC08" w14:textId="2D361F81"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12" w:history="1">
        <w:r w:rsidRPr="000B1511">
          <w:rPr>
            <w:rStyle w:val="Hyperlink"/>
            <w:rFonts w:ascii="Arial" w:hAnsi="Arial" w:cs="Arial"/>
            <w:noProof/>
            <w:sz w:val="22"/>
            <w:szCs w:val="22"/>
          </w:rPr>
          <w:t>National Risk Register</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_Toc208329912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9</w:t>
        </w:r>
        <w:r w:rsidRPr="000B1511">
          <w:rPr>
            <w:rFonts w:ascii="Arial" w:hAnsi="Arial" w:cs="Arial"/>
            <w:noProof/>
            <w:webHidden/>
            <w:sz w:val="22"/>
            <w:szCs w:val="22"/>
          </w:rPr>
          <w:fldChar w:fldCharType="end"/>
        </w:r>
      </w:hyperlink>
    </w:p>
    <w:p w14:paraId="5D5D40A5" w14:textId="4D3CAF8B"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13" w:history="1">
        <w:r w:rsidRPr="000B1511">
          <w:rPr>
            <w:rStyle w:val="Hyperlink"/>
            <w:rFonts w:ascii="Arial" w:hAnsi="Arial" w:cs="Arial"/>
            <w:noProof/>
            <w:sz w:val="22"/>
            <w:szCs w:val="22"/>
          </w:rPr>
          <w:t>Lancashire Resilience Forum</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_Toc208329913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12</w:t>
        </w:r>
        <w:r w:rsidRPr="000B1511">
          <w:rPr>
            <w:rFonts w:ascii="Arial" w:hAnsi="Arial" w:cs="Arial"/>
            <w:noProof/>
            <w:webHidden/>
            <w:sz w:val="22"/>
            <w:szCs w:val="22"/>
          </w:rPr>
          <w:fldChar w:fldCharType="end"/>
        </w:r>
      </w:hyperlink>
    </w:p>
    <w:p w14:paraId="5D85EFCD" w14:textId="796CAD20" w:rsidR="00032551" w:rsidRPr="000B1511" w:rsidRDefault="00032551"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hyperlink w:anchor="_Toc208329914" w:history="1">
        <w:r w:rsidRPr="000B1511">
          <w:rPr>
            <w:rStyle w:val="Hyperlink"/>
            <w:rFonts w:ascii="Arial" w:hAnsi="Arial" w:cs="Arial"/>
            <w:noProof/>
            <w:sz w:val="22"/>
            <w:szCs w:val="22"/>
          </w:rPr>
          <w:t>Political, Economic, Socio-cultural, Technological and infrastructure, Environmental, Legislative, Organisational Analysis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_Toc208329914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14</w:t>
        </w:r>
        <w:r w:rsidRPr="000B1511">
          <w:rPr>
            <w:rFonts w:ascii="Arial" w:hAnsi="Arial" w:cs="Arial"/>
            <w:noProof/>
            <w:webHidden/>
            <w:sz w:val="22"/>
            <w:szCs w:val="22"/>
          </w:rPr>
          <w:fldChar w:fldCharType="end"/>
        </w:r>
      </w:hyperlink>
    </w:p>
    <w:p w14:paraId="764D80F5" w14:textId="39E649EF"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15" w:history="1">
        <w:r w:rsidRPr="000B1511">
          <w:rPr>
            <w:rStyle w:val="Hyperlink"/>
            <w:rFonts w:ascii="Arial" w:hAnsi="Arial" w:cs="Arial"/>
            <w:noProof/>
            <w:sz w:val="22"/>
            <w:szCs w:val="22"/>
          </w:rPr>
          <w:t>Overview</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_Toc208329915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15</w:t>
        </w:r>
        <w:r w:rsidRPr="000B1511">
          <w:rPr>
            <w:rFonts w:ascii="Arial" w:hAnsi="Arial" w:cs="Arial"/>
            <w:noProof/>
            <w:webHidden/>
            <w:sz w:val="22"/>
            <w:szCs w:val="22"/>
          </w:rPr>
          <w:fldChar w:fldCharType="end"/>
        </w:r>
      </w:hyperlink>
    </w:p>
    <w:p w14:paraId="16593004" w14:textId="237718F2"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16" w:history="1">
        <w:r w:rsidRPr="000B1511">
          <w:rPr>
            <w:rStyle w:val="Hyperlink"/>
            <w:rFonts w:ascii="Arial" w:hAnsi="Arial" w:cs="Arial"/>
            <w:noProof/>
            <w:sz w:val="22"/>
            <w:szCs w:val="22"/>
          </w:rPr>
          <w:t>Political</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_Toc208329916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17</w:t>
        </w:r>
        <w:r w:rsidRPr="000B1511">
          <w:rPr>
            <w:rFonts w:ascii="Arial" w:hAnsi="Arial" w:cs="Arial"/>
            <w:noProof/>
            <w:webHidden/>
            <w:sz w:val="22"/>
            <w:szCs w:val="22"/>
          </w:rPr>
          <w:fldChar w:fldCharType="end"/>
        </w:r>
      </w:hyperlink>
    </w:p>
    <w:p w14:paraId="7693CA6A" w14:textId="6DD7C05A"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17" w:history="1">
        <w:r w:rsidRPr="000B1511">
          <w:rPr>
            <w:rStyle w:val="Hyperlink"/>
            <w:rFonts w:ascii="Arial" w:hAnsi="Arial" w:cs="Arial"/>
            <w:noProof/>
            <w:sz w:val="22"/>
            <w:szCs w:val="22"/>
          </w:rPr>
          <w:t>UK Government Fire Reform White Paper</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_Toc208329917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17</w:t>
        </w:r>
        <w:r w:rsidRPr="000B1511">
          <w:rPr>
            <w:rFonts w:ascii="Arial" w:hAnsi="Arial" w:cs="Arial"/>
            <w:noProof/>
            <w:webHidden/>
            <w:sz w:val="22"/>
            <w:szCs w:val="22"/>
          </w:rPr>
          <w:fldChar w:fldCharType="end"/>
        </w:r>
      </w:hyperlink>
    </w:p>
    <w:p w14:paraId="1EC930DB" w14:textId="263459B8"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18" w:history="1">
        <w:r w:rsidRPr="000B1511">
          <w:rPr>
            <w:rStyle w:val="Hyperlink"/>
            <w:rFonts w:ascii="Arial" w:hAnsi="Arial" w:cs="Arial"/>
            <w:noProof/>
            <w:sz w:val="22"/>
            <w:szCs w:val="22"/>
          </w:rPr>
          <w:t>Wars</w:t>
        </w:r>
        <w:r w:rsidRPr="000B1511">
          <w:rPr>
            <w:rStyle w:val="Hyperlink"/>
            <w:rFonts w:ascii="Arial" w:hAnsi="Arial" w:cs="Arial"/>
            <w:noProof/>
            <w:sz w:val="22"/>
            <w:szCs w:val="22"/>
            <w:lang w:eastAsia="en-GB"/>
          </w:rPr>
          <w:t>, conflicts and political unrest</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_Toc208329918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17</w:t>
        </w:r>
        <w:r w:rsidRPr="000B1511">
          <w:rPr>
            <w:rFonts w:ascii="Arial" w:hAnsi="Arial" w:cs="Arial"/>
            <w:noProof/>
            <w:webHidden/>
            <w:sz w:val="22"/>
            <w:szCs w:val="22"/>
          </w:rPr>
          <w:fldChar w:fldCharType="end"/>
        </w:r>
      </w:hyperlink>
    </w:p>
    <w:p w14:paraId="27640E36" w14:textId="0203E6E7"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19" w:history="1">
        <w:r w:rsidRPr="000B1511">
          <w:rPr>
            <w:rStyle w:val="Hyperlink"/>
            <w:rFonts w:ascii="Arial" w:hAnsi="Arial" w:cs="Arial"/>
            <w:noProof/>
            <w:sz w:val="22"/>
            <w:szCs w:val="22"/>
          </w:rPr>
          <w:t>Economic</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_Toc208329919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17</w:t>
        </w:r>
        <w:r w:rsidRPr="000B1511">
          <w:rPr>
            <w:rFonts w:ascii="Arial" w:hAnsi="Arial" w:cs="Arial"/>
            <w:noProof/>
            <w:webHidden/>
            <w:sz w:val="22"/>
            <w:szCs w:val="22"/>
          </w:rPr>
          <w:fldChar w:fldCharType="end"/>
        </w:r>
      </w:hyperlink>
    </w:p>
    <w:p w14:paraId="4482007D" w14:textId="0E027BF8"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20" w:history="1">
        <w:r w:rsidRPr="000B1511">
          <w:rPr>
            <w:rStyle w:val="Hyperlink"/>
            <w:rFonts w:ascii="Arial" w:hAnsi="Arial" w:cs="Arial"/>
            <w:noProof/>
            <w:sz w:val="22"/>
            <w:szCs w:val="22"/>
          </w:rPr>
          <w:t>Deprivation</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_Toc208329920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17</w:t>
        </w:r>
        <w:r w:rsidRPr="000B1511">
          <w:rPr>
            <w:rFonts w:ascii="Arial" w:hAnsi="Arial" w:cs="Arial"/>
            <w:noProof/>
            <w:webHidden/>
            <w:sz w:val="22"/>
            <w:szCs w:val="22"/>
          </w:rPr>
          <w:fldChar w:fldCharType="end"/>
        </w:r>
      </w:hyperlink>
    </w:p>
    <w:p w14:paraId="4A599134" w14:textId="7CBE4F7C"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21" w:history="1">
        <w:r w:rsidRPr="000B1511">
          <w:rPr>
            <w:rStyle w:val="Hyperlink"/>
            <w:rFonts w:ascii="Arial" w:hAnsi="Arial" w:cs="Arial"/>
            <w:noProof/>
            <w:sz w:val="22"/>
            <w:szCs w:val="22"/>
          </w:rPr>
          <w:t>Inflation / cost of living</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_Toc208329921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18</w:t>
        </w:r>
        <w:r w:rsidRPr="000B1511">
          <w:rPr>
            <w:rFonts w:ascii="Arial" w:hAnsi="Arial" w:cs="Arial"/>
            <w:noProof/>
            <w:webHidden/>
            <w:sz w:val="22"/>
            <w:szCs w:val="22"/>
          </w:rPr>
          <w:fldChar w:fldCharType="end"/>
        </w:r>
      </w:hyperlink>
    </w:p>
    <w:p w14:paraId="692450E7" w14:textId="06502950"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22" w:history="1">
        <w:r w:rsidRPr="000B1511">
          <w:rPr>
            <w:rStyle w:val="Hyperlink"/>
            <w:rFonts w:ascii="Arial" w:hAnsi="Arial" w:cs="Arial"/>
            <w:noProof/>
            <w:sz w:val="22"/>
            <w:szCs w:val="22"/>
          </w:rPr>
          <w:t>Fuel Poverty</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_Toc208329922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18</w:t>
        </w:r>
        <w:r w:rsidRPr="000B1511">
          <w:rPr>
            <w:rFonts w:ascii="Arial" w:hAnsi="Arial" w:cs="Arial"/>
            <w:noProof/>
            <w:webHidden/>
            <w:sz w:val="22"/>
            <w:szCs w:val="22"/>
          </w:rPr>
          <w:fldChar w:fldCharType="end"/>
        </w:r>
      </w:hyperlink>
    </w:p>
    <w:p w14:paraId="3140A607" w14:textId="5988289F"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23" w:history="1">
        <w:r w:rsidRPr="000B1511">
          <w:rPr>
            <w:rStyle w:val="Hyperlink"/>
            <w:rFonts w:ascii="Arial" w:hAnsi="Arial" w:cs="Arial"/>
            <w:noProof/>
            <w:sz w:val="22"/>
            <w:szCs w:val="22"/>
          </w:rPr>
          <w:t>Socio-Cultural</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_Toc208329923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19</w:t>
        </w:r>
        <w:r w:rsidRPr="000B1511">
          <w:rPr>
            <w:rFonts w:ascii="Arial" w:hAnsi="Arial" w:cs="Arial"/>
            <w:noProof/>
            <w:webHidden/>
            <w:sz w:val="22"/>
            <w:szCs w:val="22"/>
          </w:rPr>
          <w:fldChar w:fldCharType="end"/>
        </w:r>
      </w:hyperlink>
    </w:p>
    <w:p w14:paraId="182E3AE7" w14:textId="12018D37"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24" w:history="1">
        <w:r w:rsidRPr="000B1511">
          <w:rPr>
            <w:rStyle w:val="Hyperlink"/>
            <w:rFonts w:ascii="Arial" w:hAnsi="Arial" w:cs="Arial"/>
            <w:noProof/>
            <w:sz w:val="22"/>
            <w:szCs w:val="22"/>
            <w:shd w:val="clear" w:color="auto" w:fill="FFFFFF"/>
          </w:rPr>
          <w:t>Population Changes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_Toc208329924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19</w:t>
        </w:r>
        <w:r w:rsidRPr="000B1511">
          <w:rPr>
            <w:rFonts w:ascii="Arial" w:hAnsi="Arial" w:cs="Arial"/>
            <w:noProof/>
            <w:webHidden/>
            <w:sz w:val="22"/>
            <w:szCs w:val="22"/>
          </w:rPr>
          <w:fldChar w:fldCharType="end"/>
        </w:r>
      </w:hyperlink>
    </w:p>
    <w:p w14:paraId="40967A06" w14:textId="0B7F9D45"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25" w:history="1">
        <w:r w:rsidRPr="000B1511">
          <w:rPr>
            <w:rStyle w:val="Hyperlink"/>
            <w:rFonts w:ascii="Arial" w:hAnsi="Arial" w:cs="Arial"/>
            <w:noProof/>
            <w:sz w:val="22"/>
            <w:szCs w:val="22"/>
            <w:shd w:val="clear" w:color="auto" w:fill="FFFFFF"/>
          </w:rPr>
          <w:t>Dwellings and households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_Toc208329925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19</w:t>
        </w:r>
        <w:r w:rsidRPr="000B1511">
          <w:rPr>
            <w:rFonts w:ascii="Arial" w:hAnsi="Arial" w:cs="Arial"/>
            <w:noProof/>
            <w:webHidden/>
            <w:sz w:val="22"/>
            <w:szCs w:val="22"/>
          </w:rPr>
          <w:fldChar w:fldCharType="end"/>
        </w:r>
      </w:hyperlink>
    </w:p>
    <w:p w14:paraId="67D4044E" w14:textId="40E65859"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26" w:history="1">
        <w:r w:rsidRPr="000B1511">
          <w:rPr>
            <w:rStyle w:val="Hyperlink"/>
            <w:rFonts w:ascii="Arial" w:hAnsi="Arial" w:cs="Arial"/>
            <w:noProof/>
            <w:sz w:val="22"/>
            <w:szCs w:val="22"/>
            <w:shd w:val="clear" w:color="auto" w:fill="FFFFFF"/>
          </w:rPr>
          <w:t>Cultural Diversity</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_Toc208329926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20</w:t>
        </w:r>
        <w:r w:rsidRPr="000B1511">
          <w:rPr>
            <w:rFonts w:ascii="Arial" w:hAnsi="Arial" w:cs="Arial"/>
            <w:noProof/>
            <w:webHidden/>
            <w:sz w:val="22"/>
            <w:szCs w:val="22"/>
          </w:rPr>
          <w:fldChar w:fldCharType="end"/>
        </w:r>
      </w:hyperlink>
    </w:p>
    <w:p w14:paraId="4BB61328" w14:textId="00C6A5F7"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27" w:history="1">
        <w:r w:rsidRPr="000B1511">
          <w:rPr>
            <w:rStyle w:val="Hyperlink"/>
            <w:rFonts w:ascii="Arial" w:hAnsi="Arial" w:cs="Arial"/>
            <w:noProof/>
            <w:sz w:val="22"/>
            <w:szCs w:val="22"/>
          </w:rPr>
          <w:t>Health and Wellbeing</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_Toc208329927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21</w:t>
        </w:r>
        <w:r w:rsidRPr="000B1511">
          <w:rPr>
            <w:rFonts w:ascii="Arial" w:hAnsi="Arial" w:cs="Arial"/>
            <w:noProof/>
            <w:webHidden/>
            <w:sz w:val="22"/>
            <w:szCs w:val="22"/>
          </w:rPr>
          <w:fldChar w:fldCharType="end"/>
        </w:r>
      </w:hyperlink>
    </w:p>
    <w:p w14:paraId="2309B1CF" w14:textId="3B3F34A1"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28" w:history="1">
        <w:r w:rsidRPr="000B1511">
          <w:rPr>
            <w:rStyle w:val="Hyperlink"/>
            <w:rFonts w:ascii="Arial" w:hAnsi="Arial" w:cs="Arial"/>
            <w:noProof/>
            <w:sz w:val="22"/>
            <w:szCs w:val="22"/>
          </w:rPr>
          <w:t>Technological (and Infrastructure)</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_Toc208329928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23</w:t>
        </w:r>
        <w:r w:rsidRPr="000B1511">
          <w:rPr>
            <w:rFonts w:ascii="Arial" w:hAnsi="Arial" w:cs="Arial"/>
            <w:noProof/>
            <w:webHidden/>
            <w:sz w:val="22"/>
            <w:szCs w:val="22"/>
          </w:rPr>
          <w:fldChar w:fldCharType="end"/>
        </w:r>
      </w:hyperlink>
    </w:p>
    <w:p w14:paraId="45F72897" w14:textId="6AE239A3"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29" w:history="1">
        <w:r w:rsidRPr="000B1511">
          <w:rPr>
            <w:rStyle w:val="Hyperlink"/>
            <w:rFonts w:ascii="Arial" w:hAnsi="Arial" w:cs="Arial"/>
            <w:noProof/>
            <w:sz w:val="22"/>
            <w:szCs w:val="22"/>
          </w:rPr>
          <w:t>Emerging Technology - Electric vehicles (EVs) and energy storage systems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_Toc208329929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23</w:t>
        </w:r>
        <w:r w:rsidRPr="000B1511">
          <w:rPr>
            <w:rFonts w:ascii="Arial" w:hAnsi="Arial" w:cs="Arial"/>
            <w:noProof/>
            <w:webHidden/>
            <w:sz w:val="22"/>
            <w:szCs w:val="22"/>
          </w:rPr>
          <w:fldChar w:fldCharType="end"/>
        </w:r>
      </w:hyperlink>
    </w:p>
    <w:p w14:paraId="35DD1341" w14:textId="7D10061C"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30" w:history="1">
        <w:r w:rsidRPr="000B1511">
          <w:rPr>
            <w:rStyle w:val="Hyperlink"/>
            <w:rFonts w:ascii="Arial" w:hAnsi="Arial" w:cs="Arial"/>
            <w:noProof/>
            <w:sz w:val="22"/>
            <w:szCs w:val="22"/>
          </w:rPr>
          <w:t>Emerging Technology - Hydrogen</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_Toc208329930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25</w:t>
        </w:r>
        <w:r w:rsidRPr="000B1511">
          <w:rPr>
            <w:rFonts w:ascii="Arial" w:hAnsi="Arial" w:cs="Arial"/>
            <w:noProof/>
            <w:webHidden/>
            <w:sz w:val="22"/>
            <w:szCs w:val="22"/>
          </w:rPr>
          <w:fldChar w:fldCharType="end"/>
        </w:r>
      </w:hyperlink>
    </w:p>
    <w:p w14:paraId="7D387BC0" w14:textId="7F2AA4C9"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31" w:history="1">
        <w:r w:rsidRPr="000B1511">
          <w:rPr>
            <w:rStyle w:val="Hyperlink"/>
            <w:rFonts w:ascii="Arial" w:hAnsi="Arial" w:cs="Arial"/>
            <w:noProof/>
            <w:sz w:val="22"/>
            <w:szCs w:val="22"/>
          </w:rPr>
          <w:t>Artificial Intelligence / Robotics / Autonomous Vehicles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_Toc208329931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25</w:t>
        </w:r>
        <w:r w:rsidRPr="000B1511">
          <w:rPr>
            <w:rFonts w:ascii="Arial" w:hAnsi="Arial" w:cs="Arial"/>
            <w:noProof/>
            <w:webHidden/>
            <w:sz w:val="22"/>
            <w:szCs w:val="22"/>
          </w:rPr>
          <w:fldChar w:fldCharType="end"/>
        </w:r>
      </w:hyperlink>
    </w:p>
    <w:p w14:paraId="7AF07E77" w14:textId="10B75A25"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32" w:history="1">
        <w:r w:rsidRPr="000B1511">
          <w:rPr>
            <w:rStyle w:val="Hyperlink"/>
            <w:rFonts w:ascii="Arial" w:hAnsi="Arial" w:cs="Arial"/>
            <w:noProof/>
            <w:sz w:val="22"/>
            <w:szCs w:val="22"/>
          </w:rPr>
          <w:t>Infrastructure</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_Toc208329932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25</w:t>
        </w:r>
        <w:r w:rsidRPr="000B1511">
          <w:rPr>
            <w:rFonts w:ascii="Arial" w:hAnsi="Arial" w:cs="Arial"/>
            <w:noProof/>
            <w:webHidden/>
            <w:sz w:val="22"/>
            <w:szCs w:val="22"/>
          </w:rPr>
          <w:fldChar w:fldCharType="end"/>
        </w:r>
      </w:hyperlink>
    </w:p>
    <w:p w14:paraId="77309609" w14:textId="4BED3C34"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33" w:history="1">
        <w:r w:rsidRPr="000B1511">
          <w:rPr>
            <w:rStyle w:val="Hyperlink"/>
            <w:rFonts w:ascii="Arial" w:hAnsi="Arial" w:cs="Arial"/>
            <w:noProof/>
            <w:sz w:val="22"/>
            <w:szCs w:val="22"/>
          </w:rPr>
          <w:t>Environment</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_Toc208329933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27</w:t>
        </w:r>
        <w:r w:rsidRPr="000B1511">
          <w:rPr>
            <w:rFonts w:ascii="Arial" w:hAnsi="Arial" w:cs="Arial"/>
            <w:noProof/>
            <w:webHidden/>
            <w:sz w:val="22"/>
            <w:szCs w:val="22"/>
          </w:rPr>
          <w:fldChar w:fldCharType="end"/>
        </w:r>
      </w:hyperlink>
    </w:p>
    <w:p w14:paraId="1DF8CC63" w14:textId="08C16569"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34" w:history="1">
        <w:r w:rsidRPr="000B1511">
          <w:rPr>
            <w:rStyle w:val="Hyperlink"/>
            <w:rFonts w:ascii="Arial" w:hAnsi="Arial" w:cs="Arial"/>
            <w:noProof/>
            <w:sz w:val="22"/>
            <w:szCs w:val="22"/>
          </w:rPr>
          <w:t>Climate Change - Wildfires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_Toc208329934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27</w:t>
        </w:r>
        <w:r w:rsidRPr="000B1511">
          <w:rPr>
            <w:rFonts w:ascii="Arial" w:hAnsi="Arial" w:cs="Arial"/>
            <w:noProof/>
            <w:webHidden/>
            <w:sz w:val="22"/>
            <w:szCs w:val="22"/>
          </w:rPr>
          <w:fldChar w:fldCharType="end"/>
        </w:r>
      </w:hyperlink>
    </w:p>
    <w:p w14:paraId="6CC5A1D7" w14:textId="304ADAB3"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35" w:history="1">
        <w:r w:rsidRPr="000B1511">
          <w:rPr>
            <w:rStyle w:val="Hyperlink"/>
            <w:rFonts w:ascii="Arial" w:hAnsi="Arial" w:cs="Arial"/>
            <w:noProof/>
            <w:sz w:val="22"/>
            <w:szCs w:val="22"/>
          </w:rPr>
          <w:t>Climate Change - Flooding</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_Toc208329935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27</w:t>
        </w:r>
        <w:r w:rsidRPr="000B1511">
          <w:rPr>
            <w:rFonts w:ascii="Arial" w:hAnsi="Arial" w:cs="Arial"/>
            <w:noProof/>
            <w:webHidden/>
            <w:sz w:val="22"/>
            <w:szCs w:val="22"/>
          </w:rPr>
          <w:fldChar w:fldCharType="end"/>
        </w:r>
      </w:hyperlink>
    </w:p>
    <w:p w14:paraId="74DEB7ED" w14:textId="3043F768"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36" w:history="1">
        <w:r w:rsidRPr="000B1511">
          <w:rPr>
            <w:rStyle w:val="Hyperlink"/>
            <w:rFonts w:ascii="Arial" w:hAnsi="Arial" w:cs="Arial"/>
            <w:noProof/>
            <w:sz w:val="22"/>
            <w:szCs w:val="22"/>
          </w:rPr>
          <w:t>Built Environment</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_Toc208329936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28</w:t>
        </w:r>
        <w:r w:rsidRPr="000B1511">
          <w:rPr>
            <w:rFonts w:ascii="Arial" w:hAnsi="Arial" w:cs="Arial"/>
            <w:noProof/>
            <w:webHidden/>
            <w:sz w:val="22"/>
            <w:szCs w:val="22"/>
          </w:rPr>
          <w:fldChar w:fldCharType="end"/>
        </w:r>
      </w:hyperlink>
    </w:p>
    <w:p w14:paraId="1F4304FF" w14:textId="0820EDA5"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37" w:history="1">
        <w:r w:rsidRPr="000B1511">
          <w:rPr>
            <w:rStyle w:val="Hyperlink"/>
            <w:rFonts w:ascii="Arial" w:hAnsi="Arial" w:cs="Arial"/>
            <w:noProof/>
            <w:sz w:val="22"/>
            <w:szCs w:val="22"/>
          </w:rPr>
          <w:t>Legal</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_Toc208329937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29</w:t>
        </w:r>
        <w:r w:rsidRPr="000B1511">
          <w:rPr>
            <w:rFonts w:ascii="Arial" w:hAnsi="Arial" w:cs="Arial"/>
            <w:noProof/>
            <w:webHidden/>
            <w:sz w:val="22"/>
            <w:szCs w:val="22"/>
          </w:rPr>
          <w:fldChar w:fldCharType="end"/>
        </w:r>
      </w:hyperlink>
    </w:p>
    <w:p w14:paraId="692374E3" w14:textId="0A8B3EFA"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38" w:history="1">
        <w:r w:rsidRPr="000B1511">
          <w:rPr>
            <w:rStyle w:val="Hyperlink"/>
            <w:rFonts w:ascii="Arial" w:hAnsi="Arial" w:cs="Arial"/>
            <w:noProof/>
            <w:sz w:val="22"/>
            <w:szCs w:val="22"/>
          </w:rPr>
          <w:t>The Building Safety Act 2022</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_Toc208329938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29</w:t>
        </w:r>
        <w:r w:rsidRPr="000B1511">
          <w:rPr>
            <w:rFonts w:ascii="Arial" w:hAnsi="Arial" w:cs="Arial"/>
            <w:noProof/>
            <w:webHidden/>
            <w:sz w:val="22"/>
            <w:szCs w:val="22"/>
          </w:rPr>
          <w:fldChar w:fldCharType="end"/>
        </w:r>
      </w:hyperlink>
    </w:p>
    <w:p w14:paraId="104828E5" w14:textId="44E0A2B2"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39" w:history="1">
        <w:r w:rsidRPr="000B1511">
          <w:rPr>
            <w:rStyle w:val="Hyperlink"/>
            <w:rFonts w:ascii="Arial" w:hAnsi="Arial" w:cs="Arial"/>
            <w:noProof/>
            <w:sz w:val="22"/>
            <w:szCs w:val="22"/>
          </w:rPr>
          <w:t>The Fire Safety (England) Regulations 2022</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_Toc208329939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29</w:t>
        </w:r>
        <w:r w:rsidRPr="000B1511">
          <w:rPr>
            <w:rFonts w:ascii="Arial" w:hAnsi="Arial" w:cs="Arial"/>
            <w:noProof/>
            <w:webHidden/>
            <w:sz w:val="22"/>
            <w:szCs w:val="22"/>
          </w:rPr>
          <w:fldChar w:fldCharType="end"/>
        </w:r>
      </w:hyperlink>
    </w:p>
    <w:p w14:paraId="3B559968" w14:textId="1F6D5124"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40" w:history="1">
        <w:r w:rsidRPr="000B1511">
          <w:rPr>
            <w:rStyle w:val="Hyperlink"/>
            <w:rFonts w:ascii="Arial" w:hAnsi="Arial" w:cs="Arial"/>
            <w:noProof/>
            <w:sz w:val="22"/>
            <w:szCs w:val="22"/>
          </w:rPr>
          <w:t>The Fire Safety Act 2021</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_Toc208329940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29</w:t>
        </w:r>
        <w:r w:rsidRPr="000B1511">
          <w:rPr>
            <w:rFonts w:ascii="Arial" w:hAnsi="Arial" w:cs="Arial"/>
            <w:noProof/>
            <w:webHidden/>
            <w:sz w:val="22"/>
            <w:szCs w:val="22"/>
          </w:rPr>
          <w:fldChar w:fldCharType="end"/>
        </w:r>
      </w:hyperlink>
    </w:p>
    <w:p w14:paraId="5DEAF7CE" w14:textId="757B357D"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41" w:history="1">
        <w:r w:rsidRPr="000B1511">
          <w:rPr>
            <w:rStyle w:val="Hyperlink"/>
            <w:rFonts w:ascii="Arial" w:hAnsi="Arial" w:cs="Arial"/>
            <w:noProof/>
            <w:sz w:val="22"/>
            <w:szCs w:val="22"/>
          </w:rPr>
          <w:t>Strikes (Minimum Service Levels) Act 2023</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_Toc208329941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30</w:t>
        </w:r>
        <w:r w:rsidRPr="000B1511">
          <w:rPr>
            <w:rFonts w:ascii="Arial" w:hAnsi="Arial" w:cs="Arial"/>
            <w:noProof/>
            <w:webHidden/>
            <w:sz w:val="22"/>
            <w:szCs w:val="22"/>
          </w:rPr>
          <w:fldChar w:fldCharType="end"/>
        </w:r>
      </w:hyperlink>
    </w:p>
    <w:p w14:paraId="1A318F8D" w14:textId="6B369A2D"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42" w:history="1">
        <w:r w:rsidRPr="000B1511">
          <w:rPr>
            <w:rStyle w:val="Hyperlink"/>
            <w:rFonts w:ascii="Arial" w:hAnsi="Arial" w:cs="Arial"/>
            <w:noProof/>
            <w:sz w:val="22"/>
            <w:szCs w:val="22"/>
          </w:rPr>
          <w:t>Organisational</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_Toc208329942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30</w:t>
        </w:r>
        <w:r w:rsidRPr="000B1511">
          <w:rPr>
            <w:rFonts w:ascii="Arial" w:hAnsi="Arial" w:cs="Arial"/>
            <w:noProof/>
            <w:webHidden/>
            <w:sz w:val="22"/>
            <w:szCs w:val="22"/>
          </w:rPr>
          <w:fldChar w:fldCharType="end"/>
        </w:r>
      </w:hyperlink>
    </w:p>
    <w:p w14:paraId="7A5CD568" w14:textId="3F66ED2F"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43" w:history="1">
        <w:r w:rsidRPr="000B1511">
          <w:rPr>
            <w:rStyle w:val="Hyperlink"/>
            <w:rFonts w:ascii="Arial" w:hAnsi="Arial" w:cs="Arial"/>
            <w:noProof/>
            <w:sz w:val="22"/>
            <w:szCs w:val="22"/>
          </w:rPr>
          <w:t>Risk that service funding over the medium term is insufficient to achieve 2022-27 community risk management plan objectives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_Toc208329943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30</w:t>
        </w:r>
        <w:r w:rsidRPr="000B1511">
          <w:rPr>
            <w:rFonts w:ascii="Arial" w:hAnsi="Arial" w:cs="Arial"/>
            <w:noProof/>
            <w:webHidden/>
            <w:sz w:val="22"/>
            <w:szCs w:val="22"/>
          </w:rPr>
          <w:fldChar w:fldCharType="end"/>
        </w:r>
      </w:hyperlink>
    </w:p>
    <w:p w14:paraId="5673F808" w14:textId="7DB4640C"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44" w:history="1">
        <w:r w:rsidRPr="000B1511">
          <w:rPr>
            <w:rStyle w:val="Hyperlink"/>
            <w:rFonts w:ascii="Arial" w:hAnsi="Arial" w:cs="Arial"/>
            <w:noProof/>
            <w:sz w:val="22"/>
            <w:szCs w:val="22"/>
            <w:lang w:eastAsia="en-GB"/>
          </w:rPr>
          <w:t>Lancashire Fire and Rescue Service</w:t>
        </w:r>
        <w:r w:rsidRPr="000B1511">
          <w:rPr>
            <w:rStyle w:val="Hyperlink"/>
            <w:rFonts w:ascii="Arial" w:hAnsi="Arial" w:cs="Arial"/>
            <w:noProof/>
            <w:sz w:val="22"/>
            <w:szCs w:val="22"/>
          </w:rPr>
          <w:t xml:space="preserve"> issues e.g. staff availability, recruitment, retention, loss of key staff.</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_Toc208329944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30</w:t>
        </w:r>
        <w:r w:rsidRPr="000B1511">
          <w:rPr>
            <w:rFonts w:ascii="Arial" w:hAnsi="Arial" w:cs="Arial"/>
            <w:noProof/>
            <w:webHidden/>
            <w:sz w:val="22"/>
            <w:szCs w:val="22"/>
          </w:rPr>
          <w:fldChar w:fldCharType="end"/>
        </w:r>
      </w:hyperlink>
    </w:p>
    <w:p w14:paraId="39FF317C" w14:textId="1C3E7D23" w:rsidR="00032551" w:rsidRPr="000B1511" w:rsidRDefault="00032551" w:rsidP="00032551">
      <w:pPr>
        <w:pStyle w:val="TOC3"/>
        <w:tabs>
          <w:tab w:val="right" w:leader="dot" w:pos="9736"/>
        </w:tabs>
        <w:spacing w:before="60" w:after="60" w:line="240" w:lineRule="auto"/>
        <w:rPr>
          <w:rFonts w:ascii="Arial" w:eastAsiaTheme="minorEastAsia" w:hAnsi="Arial" w:cs="Arial"/>
          <w:noProof/>
          <w:kern w:val="2"/>
          <w:sz w:val="22"/>
          <w:szCs w:val="22"/>
          <w:lang w:eastAsia="en-GB"/>
          <w14:ligatures w14:val="standardContextual"/>
        </w:rPr>
      </w:pPr>
      <w:hyperlink w:anchor="_Toc208329945" w:history="1">
        <w:r w:rsidRPr="000B1511">
          <w:rPr>
            <w:rStyle w:val="Hyperlink"/>
            <w:rFonts w:ascii="Arial" w:hAnsi="Arial" w:cs="Arial"/>
            <w:noProof/>
            <w:sz w:val="22"/>
            <w:szCs w:val="22"/>
          </w:rPr>
          <w:t>Impact of public inquiries e.g. Grenfell, and Manchester Arena</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_Toc208329945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30</w:t>
        </w:r>
        <w:r w:rsidRPr="000B1511">
          <w:rPr>
            <w:rFonts w:ascii="Arial" w:hAnsi="Arial" w:cs="Arial"/>
            <w:noProof/>
            <w:webHidden/>
            <w:sz w:val="22"/>
            <w:szCs w:val="22"/>
          </w:rPr>
          <w:fldChar w:fldCharType="end"/>
        </w:r>
      </w:hyperlink>
    </w:p>
    <w:p w14:paraId="0E1A2F14" w14:textId="2E1D4A1E" w:rsidR="00032551" w:rsidRPr="000B1511" w:rsidRDefault="00032551"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hyperlink w:anchor="_Toc208329946" w:history="1">
        <w:r w:rsidRPr="000B1511">
          <w:rPr>
            <w:rStyle w:val="Hyperlink"/>
            <w:rFonts w:ascii="Arial" w:hAnsi="Arial" w:cs="Arial"/>
            <w:noProof/>
            <w:sz w:val="22"/>
            <w:szCs w:val="22"/>
          </w:rPr>
          <w:t>Historical Data</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_Toc208329946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30</w:t>
        </w:r>
        <w:r w:rsidRPr="000B1511">
          <w:rPr>
            <w:rFonts w:ascii="Arial" w:hAnsi="Arial" w:cs="Arial"/>
            <w:noProof/>
            <w:webHidden/>
            <w:sz w:val="22"/>
            <w:szCs w:val="22"/>
          </w:rPr>
          <w:fldChar w:fldCharType="end"/>
        </w:r>
      </w:hyperlink>
    </w:p>
    <w:p w14:paraId="1D8CBB41" w14:textId="0E861211"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47" w:history="1">
        <w:r w:rsidRPr="000B1511">
          <w:rPr>
            <w:rStyle w:val="Hyperlink"/>
            <w:rFonts w:ascii="Arial" w:hAnsi="Arial" w:cs="Arial"/>
            <w:noProof/>
            <w:sz w:val="22"/>
            <w:szCs w:val="22"/>
          </w:rPr>
          <w:t>Injuries and fatalities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_Toc208329947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31</w:t>
        </w:r>
        <w:r w:rsidRPr="000B1511">
          <w:rPr>
            <w:rFonts w:ascii="Arial" w:hAnsi="Arial" w:cs="Arial"/>
            <w:noProof/>
            <w:webHidden/>
            <w:sz w:val="22"/>
            <w:szCs w:val="22"/>
          </w:rPr>
          <w:fldChar w:fldCharType="end"/>
        </w:r>
      </w:hyperlink>
    </w:p>
    <w:p w14:paraId="3AF86DCD" w14:textId="06245FFD" w:rsidR="00032551" w:rsidRPr="000B1511" w:rsidRDefault="00032551"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hyperlink w:anchor="_Toc208329948" w:history="1">
        <w:r w:rsidRPr="000B1511">
          <w:rPr>
            <w:rStyle w:val="Hyperlink"/>
            <w:rFonts w:ascii="Arial" w:hAnsi="Arial" w:cs="Arial"/>
            <w:noProof/>
            <w:sz w:val="22"/>
            <w:szCs w:val="22"/>
          </w:rPr>
          <w:t>Risk assessment methodology</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_Toc208329948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32</w:t>
        </w:r>
        <w:r w:rsidRPr="000B1511">
          <w:rPr>
            <w:rFonts w:ascii="Arial" w:hAnsi="Arial" w:cs="Arial"/>
            <w:noProof/>
            <w:webHidden/>
            <w:sz w:val="22"/>
            <w:szCs w:val="22"/>
          </w:rPr>
          <w:fldChar w:fldCharType="end"/>
        </w:r>
      </w:hyperlink>
    </w:p>
    <w:p w14:paraId="67992C5C" w14:textId="0B36C1E5"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49" w:history="1">
        <w:r w:rsidRPr="000B1511">
          <w:rPr>
            <w:rStyle w:val="Hyperlink"/>
            <w:rFonts w:ascii="Arial" w:hAnsi="Arial" w:cs="Arial"/>
            <w:noProof/>
            <w:sz w:val="22"/>
            <w:szCs w:val="22"/>
          </w:rPr>
          <w:t>Consequence score</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_Toc208329949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33</w:t>
        </w:r>
        <w:r w:rsidRPr="000B1511">
          <w:rPr>
            <w:rFonts w:ascii="Arial" w:hAnsi="Arial" w:cs="Arial"/>
            <w:noProof/>
            <w:webHidden/>
            <w:sz w:val="22"/>
            <w:szCs w:val="22"/>
          </w:rPr>
          <w:fldChar w:fldCharType="end"/>
        </w:r>
      </w:hyperlink>
    </w:p>
    <w:p w14:paraId="7A47ABEC" w14:textId="2E1F9C60" w:rsidR="00032551" w:rsidRPr="000B1511" w:rsidRDefault="00032551"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hyperlink w:anchor="_Toc208329950" w:history="1">
        <w:r w:rsidRPr="000B1511">
          <w:rPr>
            <w:rStyle w:val="Hyperlink"/>
            <w:rFonts w:ascii="Arial" w:hAnsi="Arial" w:cs="Arial"/>
            <w:noProof/>
            <w:sz w:val="22"/>
            <w:szCs w:val="22"/>
          </w:rPr>
          <w:t>Executive risk assessment summary</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_Toc208329950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35</w:t>
        </w:r>
        <w:r w:rsidRPr="000B1511">
          <w:rPr>
            <w:rFonts w:ascii="Arial" w:hAnsi="Arial" w:cs="Arial"/>
            <w:noProof/>
            <w:webHidden/>
            <w:sz w:val="22"/>
            <w:szCs w:val="22"/>
          </w:rPr>
          <w:fldChar w:fldCharType="end"/>
        </w:r>
      </w:hyperlink>
    </w:p>
    <w:p w14:paraId="2A9B6928" w14:textId="6BBC96A6"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51" w:history="1">
        <w:r w:rsidRPr="000B1511">
          <w:rPr>
            <w:rStyle w:val="Hyperlink"/>
            <w:rFonts w:ascii="Arial" w:hAnsi="Arial" w:cs="Arial"/>
            <w:noProof/>
            <w:sz w:val="22"/>
            <w:szCs w:val="22"/>
          </w:rPr>
          <w:t>Commercial property fires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_Toc208329951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37</w:t>
        </w:r>
        <w:r w:rsidRPr="000B1511">
          <w:rPr>
            <w:rFonts w:ascii="Arial" w:hAnsi="Arial" w:cs="Arial"/>
            <w:noProof/>
            <w:webHidden/>
            <w:sz w:val="22"/>
            <w:szCs w:val="22"/>
          </w:rPr>
          <w:fldChar w:fldCharType="end"/>
        </w:r>
      </w:hyperlink>
    </w:p>
    <w:p w14:paraId="271DF714" w14:textId="4EC24349"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52" w:history="1">
        <w:r w:rsidRPr="000B1511">
          <w:rPr>
            <w:rStyle w:val="Hyperlink"/>
            <w:rFonts w:ascii="Arial" w:hAnsi="Arial" w:cs="Arial"/>
            <w:noProof/>
            <w:sz w:val="22"/>
            <w:szCs w:val="22"/>
          </w:rPr>
          <w:t>Wildfire</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_Toc208329952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38</w:t>
        </w:r>
        <w:r w:rsidRPr="000B1511">
          <w:rPr>
            <w:rFonts w:ascii="Arial" w:hAnsi="Arial" w:cs="Arial"/>
            <w:noProof/>
            <w:webHidden/>
            <w:sz w:val="22"/>
            <w:szCs w:val="22"/>
          </w:rPr>
          <w:fldChar w:fldCharType="end"/>
        </w:r>
      </w:hyperlink>
    </w:p>
    <w:p w14:paraId="439C820C" w14:textId="3C229C4A"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53" w:history="1">
        <w:r w:rsidRPr="000B1511">
          <w:rPr>
            <w:rStyle w:val="Hyperlink"/>
            <w:rFonts w:ascii="Arial" w:hAnsi="Arial" w:cs="Arial"/>
            <w:noProof/>
            <w:sz w:val="22"/>
            <w:szCs w:val="22"/>
          </w:rPr>
          <w:t>Deliberate building fires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_Toc208329953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39</w:t>
        </w:r>
        <w:r w:rsidRPr="000B1511">
          <w:rPr>
            <w:rFonts w:ascii="Arial" w:hAnsi="Arial" w:cs="Arial"/>
            <w:noProof/>
            <w:webHidden/>
            <w:sz w:val="22"/>
            <w:szCs w:val="22"/>
          </w:rPr>
          <w:fldChar w:fldCharType="end"/>
        </w:r>
      </w:hyperlink>
    </w:p>
    <w:p w14:paraId="6635E0A5" w14:textId="28351DFE"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54" w:history="1">
        <w:r w:rsidRPr="000B1511">
          <w:rPr>
            <w:rStyle w:val="Hyperlink"/>
            <w:rFonts w:ascii="Arial" w:hAnsi="Arial" w:cs="Arial"/>
            <w:noProof/>
            <w:sz w:val="22"/>
            <w:szCs w:val="22"/>
          </w:rPr>
          <w:t>Flooding</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_Toc208329954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40</w:t>
        </w:r>
        <w:r w:rsidRPr="000B1511">
          <w:rPr>
            <w:rFonts w:ascii="Arial" w:hAnsi="Arial" w:cs="Arial"/>
            <w:noProof/>
            <w:webHidden/>
            <w:sz w:val="22"/>
            <w:szCs w:val="22"/>
          </w:rPr>
          <w:fldChar w:fldCharType="end"/>
        </w:r>
      </w:hyperlink>
    </w:p>
    <w:p w14:paraId="3BF8156C" w14:textId="75D0980F"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55" w:history="1">
        <w:r w:rsidRPr="000B1511">
          <w:rPr>
            <w:rStyle w:val="Hyperlink"/>
            <w:rFonts w:ascii="Arial" w:hAnsi="Arial" w:cs="Arial"/>
            <w:noProof/>
            <w:sz w:val="22"/>
            <w:szCs w:val="22"/>
          </w:rPr>
          <w:t>Accidental dwelling fires (ADF’s)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_Toc208329955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41</w:t>
        </w:r>
        <w:r w:rsidRPr="000B1511">
          <w:rPr>
            <w:rFonts w:ascii="Arial" w:hAnsi="Arial" w:cs="Arial"/>
            <w:noProof/>
            <w:webHidden/>
            <w:sz w:val="22"/>
            <w:szCs w:val="22"/>
          </w:rPr>
          <w:fldChar w:fldCharType="end"/>
        </w:r>
      </w:hyperlink>
    </w:p>
    <w:p w14:paraId="375AB743" w14:textId="1A34886C"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56" w:history="1">
        <w:r w:rsidRPr="000B1511">
          <w:rPr>
            <w:rStyle w:val="Hyperlink"/>
            <w:rFonts w:ascii="Arial" w:hAnsi="Arial" w:cs="Arial"/>
            <w:noProof/>
            <w:sz w:val="22"/>
            <w:szCs w:val="22"/>
          </w:rPr>
          <w:t>Industrial fires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_Toc208329956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42</w:t>
        </w:r>
        <w:r w:rsidRPr="000B1511">
          <w:rPr>
            <w:rFonts w:ascii="Arial" w:hAnsi="Arial" w:cs="Arial"/>
            <w:noProof/>
            <w:webHidden/>
            <w:sz w:val="22"/>
            <w:szCs w:val="22"/>
          </w:rPr>
          <w:fldChar w:fldCharType="end"/>
        </w:r>
      </w:hyperlink>
    </w:p>
    <w:p w14:paraId="2E3555D0" w14:textId="14B5F8D0"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57" w:history="1">
        <w:r w:rsidRPr="000B1511">
          <w:rPr>
            <w:rStyle w:val="Hyperlink"/>
            <w:rFonts w:ascii="Arial" w:hAnsi="Arial" w:cs="Arial"/>
            <w:noProof/>
            <w:sz w:val="22"/>
            <w:szCs w:val="22"/>
          </w:rPr>
          <w:t>Road traffic collisions (RTC’s)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_Toc208329957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42</w:t>
        </w:r>
        <w:r w:rsidRPr="000B1511">
          <w:rPr>
            <w:rFonts w:ascii="Arial" w:hAnsi="Arial" w:cs="Arial"/>
            <w:noProof/>
            <w:webHidden/>
            <w:sz w:val="22"/>
            <w:szCs w:val="22"/>
          </w:rPr>
          <w:fldChar w:fldCharType="end"/>
        </w:r>
      </w:hyperlink>
    </w:p>
    <w:p w14:paraId="4F29E98C" w14:textId="237FA4BC"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58" w:history="1">
        <w:r w:rsidRPr="000B1511">
          <w:rPr>
            <w:rStyle w:val="Hyperlink"/>
            <w:rFonts w:ascii="Arial" w:hAnsi="Arial" w:cs="Arial"/>
            <w:noProof/>
            <w:sz w:val="22"/>
            <w:szCs w:val="22"/>
          </w:rPr>
          <w:t>Rescue collapsed structure/confined space</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_Toc208329958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43</w:t>
        </w:r>
        <w:r w:rsidRPr="000B1511">
          <w:rPr>
            <w:rFonts w:ascii="Arial" w:hAnsi="Arial" w:cs="Arial"/>
            <w:noProof/>
            <w:webHidden/>
            <w:sz w:val="22"/>
            <w:szCs w:val="22"/>
          </w:rPr>
          <w:fldChar w:fldCharType="end"/>
        </w:r>
      </w:hyperlink>
    </w:p>
    <w:p w14:paraId="15F189A9" w14:textId="0215BCD9"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59" w:history="1">
        <w:r w:rsidRPr="000B1511">
          <w:rPr>
            <w:rStyle w:val="Hyperlink"/>
            <w:rFonts w:ascii="Arial" w:hAnsi="Arial" w:cs="Arial"/>
            <w:noProof/>
            <w:sz w:val="22"/>
            <w:szCs w:val="22"/>
          </w:rPr>
          <w:t>Road vehicle fires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_Toc208329959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44</w:t>
        </w:r>
        <w:r w:rsidRPr="000B1511">
          <w:rPr>
            <w:rFonts w:ascii="Arial" w:hAnsi="Arial" w:cs="Arial"/>
            <w:noProof/>
            <w:webHidden/>
            <w:sz w:val="22"/>
            <w:szCs w:val="22"/>
          </w:rPr>
          <w:fldChar w:fldCharType="end"/>
        </w:r>
      </w:hyperlink>
    </w:p>
    <w:p w14:paraId="6E3ADE26" w14:textId="2117BA61"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60" w:history="1">
        <w:r w:rsidRPr="000B1511">
          <w:rPr>
            <w:rStyle w:val="Hyperlink"/>
            <w:rFonts w:ascii="Arial" w:hAnsi="Arial" w:cs="Arial"/>
            <w:noProof/>
            <w:sz w:val="22"/>
            <w:szCs w:val="22"/>
          </w:rPr>
          <w:t>Assist other agencies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_Toc208329960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45</w:t>
        </w:r>
        <w:r w:rsidRPr="000B1511">
          <w:rPr>
            <w:rFonts w:ascii="Arial" w:hAnsi="Arial" w:cs="Arial"/>
            <w:noProof/>
            <w:webHidden/>
            <w:sz w:val="22"/>
            <w:szCs w:val="22"/>
          </w:rPr>
          <w:fldChar w:fldCharType="end"/>
        </w:r>
      </w:hyperlink>
    </w:p>
    <w:p w14:paraId="63695C20" w14:textId="47D65266"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61" w:history="1">
        <w:r w:rsidRPr="000B1511">
          <w:rPr>
            <w:rStyle w:val="Hyperlink"/>
            <w:rFonts w:ascii="Arial" w:hAnsi="Arial" w:cs="Arial"/>
            <w:noProof/>
            <w:sz w:val="22"/>
            <w:szCs w:val="22"/>
          </w:rPr>
          <w:t>Other outdoor fires (Primary)</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_Toc208329961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45</w:t>
        </w:r>
        <w:r w:rsidRPr="000B1511">
          <w:rPr>
            <w:rFonts w:ascii="Arial" w:hAnsi="Arial" w:cs="Arial"/>
            <w:noProof/>
            <w:webHidden/>
            <w:sz w:val="22"/>
            <w:szCs w:val="22"/>
          </w:rPr>
          <w:fldChar w:fldCharType="end"/>
        </w:r>
      </w:hyperlink>
    </w:p>
    <w:p w14:paraId="5C002F6F" w14:textId="70FC0218"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62" w:history="1">
        <w:r w:rsidRPr="000B1511">
          <w:rPr>
            <w:rStyle w:val="Hyperlink"/>
            <w:rFonts w:ascii="Arial" w:hAnsi="Arial" w:cs="Arial"/>
            <w:noProof/>
            <w:sz w:val="22"/>
            <w:szCs w:val="22"/>
          </w:rPr>
          <w:t>Suicide or suicide attempts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_Toc208329962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46</w:t>
        </w:r>
        <w:r w:rsidRPr="000B1511">
          <w:rPr>
            <w:rFonts w:ascii="Arial" w:hAnsi="Arial" w:cs="Arial"/>
            <w:noProof/>
            <w:webHidden/>
            <w:sz w:val="22"/>
            <w:szCs w:val="22"/>
          </w:rPr>
          <w:fldChar w:fldCharType="end"/>
        </w:r>
      </w:hyperlink>
    </w:p>
    <w:p w14:paraId="0E28A02D" w14:textId="263EEF01"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63" w:history="1">
        <w:r w:rsidRPr="000B1511">
          <w:rPr>
            <w:rStyle w:val="Hyperlink"/>
            <w:rFonts w:ascii="Arial" w:hAnsi="Arial" w:cs="Arial"/>
            <w:noProof/>
            <w:sz w:val="22"/>
            <w:szCs w:val="22"/>
          </w:rPr>
          <w:t>High rise fires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_Toc208329963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47</w:t>
        </w:r>
        <w:r w:rsidRPr="000B1511">
          <w:rPr>
            <w:rFonts w:ascii="Arial" w:hAnsi="Arial" w:cs="Arial"/>
            <w:noProof/>
            <w:webHidden/>
            <w:sz w:val="22"/>
            <w:szCs w:val="22"/>
          </w:rPr>
          <w:fldChar w:fldCharType="end"/>
        </w:r>
      </w:hyperlink>
    </w:p>
    <w:p w14:paraId="47959293" w14:textId="2B3FE859"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64" w:history="1">
        <w:r w:rsidRPr="000B1511">
          <w:rPr>
            <w:rStyle w:val="Hyperlink"/>
            <w:rFonts w:ascii="Arial" w:hAnsi="Arial" w:cs="Arial"/>
            <w:noProof/>
            <w:sz w:val="22"/>
            <w:szCs w:val="22"/>
          </w:rPr>
          <w:t>Hazardous materials incident (Hazmat)</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_Toc208329964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47</w:t>
        </w:r>
        <w:r w:rsidRPr="000B1511">
          <w:rPr>
            <w:rFonts w:ascii="Arial" w:hAnsi="Arial" w:cs="Arial"/>
            <w:noProof/>
            <w:webHidden/>
            <w:sz w:val="22"/>
            <w:szCs w:val="22"/>
          </w:rPr>
          <w:fldChar w:fldCharType="end"/>
        </w:r>
      </w:hyperlink>
    </w:p>
    <w:p w14:paraId="5024DC08" w14:textId="11F5641E"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65" w:history="1">
        <w:r w:rsidRPr="000B1511">
          <w:rPr>
            <w:rStyle w:val="Hyperlink"/>
            <w:rFonts w:ascii="Arial" w:hAnsi="Arial" w:cs="Arial"/>
            <w:noProof/>
            <w:sz w:val="22"/>
            <w:szCs w:val="22"/>
          </w:rPr>
          <w:t>Hazardous materials incident (Minor)</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_Toc208329965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48</w:t>
        </w:r>
        <w:r w:rsidRPr="000B1511">
          <w:rPr>
            <w:rFonts w:ascii="Arial" w:hAnsi="Arial" w:cs="Arial"/>
            <w:noProof/>
            <w:webHidden/>
            <w:sz w:val="22"/>
            <w:szCs w:val="22"/>
          </w:rPr>
          <w:fldChar w:fldCharType="end"/>
        </w:r>
      </w:hyperlink>
    </w:p>
    <w:p w14:paraId="3119F573" w14:textId="5E71009B"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66" w:history="1">
        <w:r w:rsidRPr="000B1511">
          <w:rPr>
            <w:rStyle w:val="Hyperlink"/>
            <w:rFonts w:ascii="Arial" w:hAnsi="Arial" w:cs="Arial"/>
            <w:noProof/>
            <w:sz w:val="22"/>
            <w:szCs w:val="22"/>
          </w:rPr>
          <w:t>Hazardous materials incident (Major)</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_Toc208329966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48</w:t>
        </w:r>
        <w:r w:rsidRPr="000B1511">
          <w:rPr>
            <w:rFonts w:ascii="Arial" w:hAnsi="Arial" w:cs="Arial"/>
            <w:noProof/>
            <w:webHidden/>
            <w:sz w:val="22"/>
            <w:szCs w:val="22"/>
          </w:rPr>
          <w:fldChar w:fldCharType="end"/>
        </w:r>
      </w:hyperlink>
    </w:p>
    <w:p w14:paraId="4BEA0EC0" w14:textId="68098E84"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67" w:history="1">
        <w:r w:rsidRPr="000B1511">
          <w:rPr>
            <w:rStyle w:val="Hyperlink"/>
            <w:rFonts w:ascii="Arial" w:hAnsi="Arial" w:cs="Arial"/>
            <w:noProof/>
            <w:sz w:val="22"/>
            <w:szCs w:val="22"/>
          </w:rPr>
          <w:t>Building under construction fires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_Toc208329967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48</w:t>
        </w:r>
        <w:r w:rsidRPr="000B1511">
          <w:rPr>
            <w:rFonts w:ascii="Arial" w:hAnsi="Arial" w:cs="Arial"/>
            <w:noProof/>
            <w:webHidden/>
            <w:sz w:val="22"/>
            <w:szCs w:val="22"/>
          </w:rPr>
          <w:fldChar w:fldCharType="end"/>
        </w:r>
      </w:hyperlink>
    </w:p>
    <w:p w14:paraId="6D44AAA6" w14:textId="7EBAC779"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68" w:history="1">
        <w:r w:rsidRPr="000B1511">
          <w:rPr>
            <w:rStyle w:val="Hyperlink"/>
            <w:rFonts w:ascii="Arial" w:hAnsi="Arial" w:cs="Arial"/>
            <w:noProof/>
            <w:sz w:val="22"/>
            <w:szCs w:val="22"/>
          </w:rPr>
          <w:t>Removal of people from objects and Removal of objects from people</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_Toc208329968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49</w:t>
        </w:r>
        <w:r w:rsidRPr="000B1511">
          <w:rPr>
            <w:rFonts w:ascii="Arial" w:hAnsi="Arial" w:cs="Arial"/>
            <w:noProof/>
            <w:webHidden/>
            <w:sz w:val="22"/>
            <w:szCs w:val="22"/>
          </w:rPr>
          <w:fldChar w:fldCharType="end"/>
        </w:r>
      </w:hyperlink>
    </w:p>
    <w:p w14:paraId="7E538668" w14:textId="7283F520"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69" w:history="1">
        <w:r w:rsidRPr="000B1511">
          <w:rPr>
            <w:rStyle w:val="Hyperlink"/>
            <w:rFonts w:ascii="Arial" w:hAnsi="Arial" w:cs="Arial"/>
            <w:noProof/>
            <w:sz w:val="22"/>
            <w:szCs w:val="22"/>
          </w:rPr>
          <w:t>Rescue from height</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_Toc208329969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50</w:t>
        </w:r>
        <w:r w:rsidRPr="000B1511">
          <w:rPr>
            <w:rFonts w:ascii="Arial" w:hAnsi="Arial" w:cs="Arial"/>
            <w:noProof/>
            <w:webHidden/>
            <w:sz w:val="22"/>
            <w:szCs w:val="22"/>
          </w:rPr>
          <w:fldChar w:fldCharType="end"/>
        </w:r>
      </w:hyperlink>
    </w:p>
    <w:p w14:paraId="65583765" w14:textId="32FFECD5"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70" w:history="1">
        <w:r w:rsidRPr="000B1511">
          <w:rPr>
            <w:rStyle w:val="Hyperlink"/>
            <w:rFonts w:ascii="Arial" w:hAnsi="Arial" w:cs="Arial"/>
            <w:noProof/>
            <w:sz w:val="22"/>
            <w:szCs w:val="22"/>
          </w:rPr>
          <w:t>Waste disposal site fires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_Toc208329970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51</w:t>
        </w:r>
        <w:r w:rsidRPr="000B1511">
          <w:rPr>
            <w:rFonts w:ascii="Arial" w:hAnsi="Arial" w:cs="Arial"/>
            <w:noProof/>
            <w:webHidden/>
            <w:sz w:val="22"/>
            <w:szCs w:val="22"/>
          </w:rPr>
          <w:fldChar w:fldCharType="end"/>
        </w:r>
      </w:hyperlink>
    </w:p>
    <w:p w14:paraId="04520206" w14:textId="2F6FB6C4"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71" w:history="1">
        <w:r w:rsidRPr="000B1511">
          <w:rPr>
            <w:rStyle w:val="Hyperlink"/>
            <w:rFonts w:ascii="Arial" w:hAnsi="Arial" w:cs="Arial"/>
            <w:noProof/>
            <w:sz w:val="22"/>
            <w:szCs w:val="22"/>
          </w:rPr>
          <w:t>Removal of people from objects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_Toc208329971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52</w:t>
        </w:r>
        <w:r w:rsidRPr="000B1511">
          <w:rPr>
            <w:rFonts w:ascii="Arial" w:hAnsi="Arial" w:cs="Arial"/>
            <w:noProof/>
            <w:webHidden/>
            <w:sz w:val="22"/>
            <w:szCs w:val="22"/>
          </w:rPr>
          <w:fldChar w:fldCharType="end"/>
        </w:r>
      </w:hyperlink>
    </w:p>
    <w:p w14:paraId="59245BF9" w14:textId="40876BD0"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72" w:history="1">
        <w:r w:rsidRPr="000B1511">
          <w:rPr>
            <w:rStyle w:val="Hyperlink"/>
            <w:rFonts w:ascii="Arial" w:hAnsi="Arial" w:cs="Arial"/>
            <w:noProof/>
            <w:sz w:val="22"/>
            <w:szCs w:val="22"/>
          </w:rPr>
          <w:t>Animal rescue</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_Toc208329972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52</w:t>
        </w:r>
        <w:r w:rsidRPr="000B1511">
          <w:rPr>
            <w:rFonts w:ascii="Arial" w:hAnsi="Arial" w:cs="Arial"/>
            <w:noProof/>
            <w:webHidden/>
            <w:sz w:val="22"/>
            <w:szCs w:val="22"/>
          </w:rPr>
          <w:fldChar w:fldCharType="end"/>
        </w:r>
      </w:hyperlink>
    </w:p>
    <w:p w14:paraId="62E93759" w14:textId="7DDF016E"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73" w:history="1">
        <w:r w:rsidRPr="000B1511">
          <w:rPr>
            <w:rStyle w:val="Hyperlink"/>
            <w:rFonts w:ascii="Arial" w:hAnsi="Arial" w:cs="Arial"/>
            <w:noProof/>
            <w:sz w:val="22"/>
            <w:szCs w:val="22"/>
          </w:rPr>
          <w:t>Other transport fires (air, boat, train)</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_Toc208329973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53</w:t>
        </w:r>
        <w:r w:rsidRPr="000B1511">
          <w:rPr>
            <w:rFonts w:ascii="Arial" w:hAnsi="Arial" w:cs="Arial"/>
            <w:noProof/>
            <w:webHidden/>
            <w:sz w:val="22"/>
            <w:szCs w:val="22"/>
          </w:rPr>
          <w:fldChar w:fldCharType="end"/>
        </w:r>
      </w:hyperlink>
    </w:p>
    <w:p w14:paraId="27FD2DA5" w14:textId="0A11C883"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74" w:history="1">
        <w:r w:rsidRPr="000B1511">
          <w:rPr>
            <w:rStyle w:val="Hyperlink"/>
            <w:rFonts w:ascii="Arial" w:hAnsi="Arial" w:cs="Arial"/>
            <w:noProof/>
            <w:sz w:val="22"/>
            <w:szCs w:val="22"/>
          </w:rPr>
          <w:t>Secondary fires (anti-social behaviour - ASB)</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_Toc208329974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54</w:t>
        </w:r>
        <w:r w:rsidRPr="000B1511">
          <w:rPr>
            <w:rFonts w:ascii="Arial" w:hAnsi="Arial" w:cs="Arial"/>
            <w:noProof/>
            <w:webHidden/>
            <w:sz w:val="22"/>
            <w:szCs w:val="22"/>
          </w:rPr>
          <w:fldChar w:fldCharType="end"/>
        </w:r>
      </w:hyperlink>
    </w:p>
    <w:p w14:paraId="36CCE464" w14:textId="02410FE8"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75" w:history="1">
        <w:r w:rsidRPr="000B1511">
          <w:rPr>
            <w:rStyle w:val="Hyperlink"/>
            <w:rFonts w:ascii="Arial" w:hAnsi="Arial" w:cs="Arial"/>
            <w:noProof/>
            <w:sz w:val="22"/>
            <w:szCs w:val="22"/>
          </w:rPr>
          <w:t>Heritage fires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_Toc208329975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54</w:t>
        </w:r>
        <w:r w:rsidRPr="000B1511">
          <w:rPr>
            <w:rFonts w:ascii="Arial" w:hAnsi="Arial" w:cs="Arial"/>
            <w:noProof/>
            <w:webHidden/>
            <w:sz w:val="22"/>
            <w:szCs w:val="22"/>
          </w:rPr>
          <w:fldChar w:fldCharType="end"/>
        </w:r>
      </w:hyperlink>
    </w:p>
    <w:p w14:paraId="6D6294CF" w14:textId="026586BF"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76" w:history="1">
        <w:r w:rsidRPr="000B1511">
          <w:rPr>
            <w:rStyle w:val="Hyperlink"/>
            <w:rFonts w:ascii="Arial" w:hAnsi="Arial" w:cs="Arial"/>
            <w:noProof/>
            <w:sz w:val="22"/>
            <w:szCs w:val="22"/>
          </w:rPr>
          <w:t>Lift release</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_Toc208329976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55</w:t>
        </w:r>
        <w:r w:rsidRPr="000B1511">
          <w:rPr>
            <w:rFonts w:ascii="Arial" w:hAnsi="Arial" w:cs="Arial"/>
            <w:noProof/>
            <w:webHidden/>
            <w:sz w:val="22"/>
            <w:szCs w:val="22"/>
          </w:rPr>
          <w:fldChar w:fldCharType="end"/>
        </w:r>
      </w:hyperlink>
    </w:p>
    <w:p w14:paraId="79F3CA26" w14:textId="6909E697"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77" w:history="1">
        <w:r w:rsidRPr="000B1511">
          <w:rPr>
            <w:rStyle w:val="Hyperlink"/>
            <w:rFonts w:ascii="Arial" w:hAnsi="Arial" w:cs="Arial"/>
            <w:noProof/>
            <w:sz w:val="22"/>
            <w:szCs w:val="22"/>
          </w:rPr>
          <w:t>Effecting entry/exit</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_Toc208329977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56</w:t>
        </w:r>
        <w:r w:rsidRPr="000B1511">
          <w:rPr>
            <w:rFonts w:ascii="Arial" w:hAnsi="Arial" w:cs="Arial"/>
            <w:noProof/>
            <w:webHidden/>
            <w:sz w:val="22"/>
            <w:szCs w:val="22"/>
          </w:rPr>
          <w:fldChar w:fldCharType="end"/>
        </w:r>
      </w:hyperlink>
    </w:p>
    <w:p w14:paraId="189F04E0" w14:textId="1EF330B8"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78" w:history="1">
        <w:r w:rsidRPr="000B1511">
          <w:rPr>
            <w:rStyle w:val="Hyperlink"/>
            <w:rFonts w:ascii="Arial" w:hAnsi="Arial" w:cs="Arial"/>
            <w:noProof/>
            <w:sz w:val="22"/>
            <w:szCs w:val="22"/>
          </w:rPr>
          <w:t>Secondary fires (accidental)</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_Toc208329978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56</w:t>
        </w:r>
        <w:r w:rsidRPr="000B1511">
          <w:rPr>
            <w:rFonts w:ascii="Arial" w:hAnsi="Arial" w:cs="Arial"/>
            <w:noProof/>
            <w:webHidden/>
            <w:sz w:val="22"/>
            <w:szCs w:val="22"/>
          </w:rPr>
          <w:fldChar w:fldCharType="end"/>
        </w:r>
      </w:hyperlink>
    </w:p>
    <w:p w14:paraId="278ABC99" w14:textId="1E508D7E"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79" w:history="1">
        <w:r w:rsidRPr="000B1511">
          <w:rPr>
            <w:rStyle w:val="Hyperlink"/>
            <w:rFonts w:ascii="Arial" w:hAnsi="Arial" w:cs="Arial"/>
            <w:noProof/>
            <w:sz w:val="22"/>
            <w:szCs w:val="22"/>
          </w:rPr>
          <w:t>Rescue from water</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_Toc208329979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57</w:t>
        </w:r>
        <w:r w:rsidRPr="000B1511">
          <w:rPr>
            <w:rFonts w:ascii="Arial" w:hAnsi="Arial" w:cs="Arial"/>
            <w:noProof/>
            <w:webHidden/>
            <w:sz w:val="22"/>
            <w:szCs w:val="22"/>
          </w:rPr>
          <w:fldChar w:fldCharType="end"/>
        </w:r>
      </w:hyperlink>
    </w:p>
    <w:p w14:paraId="10720E67" w14:textId="20B71FE3"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80" w:history="1">
        <w:r w:rsidRPr="000B1511">
          <w:rPr>
            <w:rStyle w:val="Hyperlink"/>
            <w:rFonts w:ascii="Arial" w:hAnsi="Arial" w:cs="Arial"/>
            <w:noProof/>
            <w:sz w:val="22"/>
            <w:szCs w:val="22"/>
          </w:rPr>
          <w:t>Other transport or making safe (not fire)</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_Toc208329980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57</w:t>
        </w:r>
        <w:r w:rsidRPr="000B1511">
          <w:rPr>
            <w:rFonts w:ascii="Arial" w:hAnsi="Arial" w:cs="Arial"/>
            <w:noProof/>
            <w:webHidden/>
            <w:sz w:val="22"/>
            <w:szCs w:val="22"/>
          </w:rPr>
          <w:fldChar w:fldCharType="end"/>
        </w:r>
      </w:hyperlink>
    </w:p>
    <w:p w14:paraId="029F5093" w14:textId="6E2E7383"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81" w:history="1">
        <w:r w:rsidRPr="000B1511">
          <w:rPr>
            <w:rStyle w:val="Hyperlink"/>
            <w:rFonts w:ascii="Arial" w:hAnsi="Arial" w:cs="Arial"/>
            <w:noProof/>
            <w:sz w:val="22"/>
            <w:szCs w:val="22"/>
          </w:rPr>
          <w:t>Malicious attacks/terrorist incidents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_Toc208329981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58</w:t>
        </w:r>
        <w:r w:rsidRPr="000B1511">
          <w:rPr>
            <w:rFonts w:ascii="Arial" w:hAnsi="Arial" w:cs="Arial"/>
            <w:noProof/>
            <w:webHidden/>
            <w:sz w:val="22"/>
            <w:szCs w:val="22"/>
          </w:rPr>
          <w:fldChar w:fldCharType="end"/>
        </w:r>
      </w:hyperlink>
    </w:p>
    <w:p w14:paraId="34E2D1FF" w14:textId="66009FE0"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82" w:history="1">
        <w:r w:rsidRPr="000B1511">
          <w:rPr>
            <w:rStyle w:val="Hyperlink"/>
            <w:rFonts w:ascii="Arial" w:hAnsi="Arial" w:cs="Arial"/>
            <w:noProof/>
            <w:sz w:val="22"/>
            <w:szCs w:val="22"/>
          </w:rPr>
          <w:t>Rescue from depth</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_Toc208329982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59</w:t>
        </w:r>
        <w:r w:rsidRPr="000B1511">
          <w:rPr>
            <w:rFonts w:ascii="Arial" w:hAnsi="Arial" w:cs="Arial"/>
            <w:noProof/>
            <w:webHidden/>
            <w:sz w:val="22"/>
            <w:szCs w:val="22"/>
          </w:rPr>
          <w:fldChar w:fldCharType="end"/>
        </w:r>
      </w:hyperlink>
    </w:p>
    <w:p w14:paraId="7C9EFF20" w14:textId="0C2F6018"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83" w:history="1">
        <w:r w:rsidRPr="000B1511">
          <w:rPr>
            <w:rStyle w:val="Hyperlink"/>
            <w:rFonts w:ascii="Arial" w:hAnsi="Arial" w:cs="Arial"/>
            <w:noProof/>
            <w:sz w:val="22"/>
            <w:szCs w:val="22"/>
          </w:rPr>
          <w:t>Rescue from mud</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_Toc208329983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59</w:t>
        </w:r>
        <w:r w:rsidRPr="000B1511">
          <w:rPr>
            <w:rFonts w:ascii="Arial" w:hAnsi="Arial" w:cs="Arial"/>
            <w:noProof/>
            <w:webHidden/>
            <w:sz w:val="22"/>
            <w:szCs w:val="22"/>
          </w:rPr>
          <w:fldChar w:fldCharType="end"/>
        </w:r>
      </w:hyperlink>
    </w:p>
    <w:p w14:paraId="7AAE5726" w14:textId="08799366" w:rsidR="00032551" w:rsidRPr="000B1511" w:rsidRDefault="00032551" w:rsidP="00032551">
      <w:pPr>
        <w:pStyle w:val="TOC1"/>
        <w:tabs>
          <w:tab w:val="right" w:leader="dot" w:pos="9736"/>
        </w:tabs>
        <w:spacing w:before="60" w:after="60" w:line="240" w:lineRule="auto"/>
        <w:rPr>
          <w:rFonts w:ascii="Arial" w:eastAsiaTheme="minorEastAsia" w:hAnsi="Arial" w:cs="Arial"/>
          <w:b w:val="0"/>
          <w:bCs w:val="0"/>
          <w:noProof/>
          <w:kern w:val="2"/>
          <w:sz w:val="22"/>
          <w:szCs w:val="22"/>
          <w:lang w:eastAsia="en-GB"/>
          <w14:ligatures w14:val="standardContextual"/>
        </w:rPr>
      </w:pPr>
      <w:hyperlink w:anchor="_Toc208329984" w:history="1">
        <w:r w:rsidRPr="000B1511">
          <w:rPr>
            <w:rStyle w:val="Hyperlink"/>
            <w:rFonts w:ascii="Arial" w:hAnsi="Arial" w:cs="Arial"/>
            <w:noProof/>
            <w:sz w:val="22"/>
            <w:szCs w:val="22"/>
          </w:rPr>
          <w:t>Resource to risk</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_Toc208329984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60</w:t>
        </w:r>
        <w:r w:rsidRPr="000B1511">
          <w:rPr>
            <w:rFonts w:ascii="Arial" w:hAnsi="Arial" w:cs="Arial"/>
            <w:noProof/>
            <w:webHidden/>
            <w:sz w:val="22"/>
            <w:szCs w:val="22"/>
          </w:rPr>
          <w:fldChar w:fldCharType="end"/>
        </w:r>
      </w:hyperlink>
    </w:p>
    <w:p w14:paraId="0D5235A2" w14:textId="2FE05EE7"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85" w:history="1">
        <w:r w:rsidRPr="000B1511">
          <w:rPr>
            <w:rStyle w:val="Hyperlink"/>
            <w:rFonts w:ascii="Arial" w:hAnsi="Arial" w:cs="Arial"/>
            <w:noProof/>
            <w:sz w:val="22"/>
            <w:szCs w:val="22"/>
          </w:rPr>
          <w:t>District profiles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_Toc208329985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61</w:t>
        </w:r>
        <w:r w:rsidRPr="000B1511">
          <w:rPr>
            <w:rFonts w:ascii="Arial" w:hAnsi="Arial" w:cs="Arial"/>
            <w:noProof/>
            <w:webHidden/>
            <w:sz w:val="22"/>
            <w:szCs w:val="22"/>
          </w:rPr>
          <w:fldChar w:fldCharType="end"/>
        </w:r>
      </w:hyperlink>
    </w:p>
    <w:p w14:paraId="25E03FD3" w14:textId="6182FC9C" w:rsidR="00032551" w:rsidRPr="000B1511" w:rsidRDefault="00032551" w:rsidP="00032551">
      <w:pPr>
        <w:pStyle w:val="TOC2"/>
        <w:tabs>
          <w:tab w:val="right" w:leader="dot" w:pos="9736"/>
        </w:tabs>
        <w:spacing w:before="60" w:after="60" w:line="240" w:lineRule="auto"/>
        <w:rPr>
          <w:rFonts w:ascii="Arial" w:eastAsiaTheme="minorEastAsia" w:hAnsi="Arial" w:cs="Arial"/>
          <w:i w:val="0"/>
          <w:iCs w:val="0"/>
          <w:noProof/>
          <w:kern w:val="2"/>
          <w:sz w:val="22"/>
          <w:szCs w:val="22"/>
          <w:lang w:eastAsia="en-GB"/>
          <w14:ligatures w14:val="standardContextual"/>
        </w:rPr>
      </w:pPr>
      <w:hyperlink w:anchor="_Toc208329986" w:history="1">
        <w:r w:rsidRPr="000B1511">
          <w:rPr>
            <w:rStyle w:val="Hyperlink"/>
            <w:rFonts w:ascii="Arial" w:eastAsia="Arial" w:hAnsi="Arial" w:cs="Arial"/>
            <w:bCs/>
            <w:noProof/>
            <w:sz w:val="22"/>
            <w:szCs w:val="22"/>
          </w:rPr>
          <w:t>Glossary</w:t>
        </w:r>
        <w:r w:rsidRPr="000B1511">
          <w:rPr>
            <w:rStyle w:val="Hyperlink"/>
            <w:rFonts w:ascii="Arial" w:hAnsi="Arial" w:cs="Arial"/>
            <w:noProof/>
            <w:sz w:val="22"/>
            <w:szCs w:val="22"/>
          </w:rPr>
          <w:t xml:space="preserve"> of Abbreviations</w:t>
        </w:r>
        <w:r w:rsidRPr="000B1511">
          <w:rPr>
            <w:rFonts w:ascii="Arial" w:hAnsi="Arial" w:cs="Arial"/>
            <w:noProof/>
            <w:webHidden/>
            <w:sz w:val="22"/>
            <w:szCs w:val="22"/>
          </w:rPr>
          <w:tab/>
        </w:r>
        <w:r w:rsidRPr="000B1511">
          <w:rPr>
            <w:rFonts w:ascii="Arial" w:hAnsi="Arial" w:cs="Arial"/>
            <w:noProof/>
            <w:webHidden/>
            <w:sz w:val="22"/>
            <w:szCs w:val="22"/>
          </w:rPr>
          <w:fldChar w:fldCharType="begin"/>
        </w:r>
        <w:r w:rsidRPr="000B1511">
          <w:rPr>
            <w:rFonts w:ascii="Arial" w:hAnsi="Arial" w:cs="Arial"/>
            <w:noProof/>
            <w:webHidden/>
            <w:sz w:val="22"/>
            <w:szCs w:val="22"/>
          </w:rPr>
          <w:instrText xml:space="preserve"> PAGEREF _Toc208329986 \h </w:instrText>
        </w:r>
        <w:r w:rsidRPr="000B1511">
          <w:rPr>
            <w:rFonts w:ascii="Arial" w:hAnsi="Arial" w:cs="Arial"/>
            <w:noProof/>
            <w:webHidden/>
            <w:sz w:val="22"/>
            <w:szCs w:val="22"/>
          </w:rPr>
        </w:r>
        <w:r w:rsidRPr="000B1511">
          <w:rPr>
            <w:rFonts w:ascii="Arial" w:hAnsi="Arial" w:cs="Arial"/>
            <w:noProof/>
            <w:webHidden/>
            <w:sz w:val="22"/>
            <w:szCs w:val="22"/>
          </w:rPr>
          <w:fldChar w:fldCharType="separate"/>
        </w:r>
        <w:r w:rsidRPr="000B1511">
          <w:rPr>
            <w:rFonts w:ascii="Arial" w:hAnsi="Arial" w:cs="Arial"/>
            <w:noProof/>
            <w:webHidden/>
            <w:sz w:val="22"/>
            <w:szCs w:val="22"/>
          </w:rPr>
          <w:t>63</w:t>
        </w:r>
        <w:r w:rsidRPr="000B1511">
          <w:rPr>
            <w:rFonts w:ascii="Arial" w:hAnsi="Arial" w:cs="Arial"/>
            <w:noProof/>
            <w:webHidden/>
            <w:sz w:val="22"/>
            <w:szCs w:val="22"/>
          </w:rPr>
          <w:fldChar w:fldCharType="end"/>
        </w:r>
      </w:hyperlink>
    </w:p>
    <w:p w14:paraId="032EBB34" w14:textId="26FD4F6E" w:rsidR="78A95EAF" w:rsidRPr="00745C17" w:rsidRDefault="00946A62" w:rsidP="0095735D">
      <w:pPr>
        <w:spacing w:before="40" w:after="40" w:line="240" w:lineRule="auto"/>
        <w:rPr>
          <w:rFonts w:cs="Arial"/>
          <w:szCs w:val="24"/>
        </w:rPr>
      </w:pPr>
      <w:r w:rsidRPr="00AB1C0E">
        <w:rPr>
          <w:rFonts w:cs="Arial"/>
          <w:szCs w:val="24"/>
        </w:rPr>
        <w:fldChar w:fldCharType="end"/>
      </w:r>
      <w:r w:rsidR="78A95EAF" w:rsidRPr="00745C17">
        <w:rPr>
          <w:rFonts w:cs="Arial"/>
          <w:szCs w:val="24"/>
        </w:rPr>
        <w:br w:type="page"/>
      </w:r>
    </w:p>
    <w:p w14:paraId="2F6B426B" w14:textId="014CC593" w:rsidR="00937DA5" w:rsidRPr="00745C17" w:rsidRDefault="00937DA5" w:rsidP="00FF653C">
      <w:pPr>
        <w:pStyle w:val="Heading1"/>
        <w:rPr>
          <w:b w:val="0"/>
        </w:rPr>
      </w:pPr>
      <w:bookmarkStart w:id="0" w:name="_Toc74639643"/>
      <w:bookmarkStart w:id="1" w:name="_Toc155619837"/>
      <w:bookmarkStart w:id="2" w:name="_Toc155685682"/>
      <w:bookmarkStart w:id="3" w:name="_Toc208329906"/>
      <w:r w:rsidRPr="00745C17">
        <w:lastRenderedPageBreak/>
        <w:t>Exec</w:t>
      </w:r>
      <w:r w:rsidR="51C231DD" w:rsidRPr="00745C17">
        <w:t>utive</w:t>
      </w:r>
      <w:r w:rsidRPr="00745C17">
        <w:t xml:space="preserve"> </w:t>
      </w:r>
      <w:r w:rsidRPr="00FF653C">
        <w:t>Summary</w:t>
      </w:r>
      <w:bookmarkEnd w:id="0"/>
      <w:bookmarkEnd w:id="1"/>
      <w:bookmarkEnd w:id="2"/>
      <w:bookmarkEnd w:id="3"/>
    </w:p>
    <w:p w14:paraId="63DBA98D" w14:textId="394DB75A" w:rsidR="00937DA5" w:rsidRDefault="00937DA5" w:rsidP="0087330D">
      <w:pPr>
        <w:rPr>
          <w:lang w:eastAsia="en-GB"/>
        </w:rPr>
      </w:pPr>
      <w:r w:rsidRPr="008E0B8F">
        <w:rPr>
          <w:lang w:eastAsia="en-GB"/>
        </w:rPr>
        <w:t xml:space="preserve">This is the </w:t>
      </w:r>
      <w:r w:rsidR="007B70C0">
        <w:rPr>
          <w:lang w:eastAsia="en-GB"/>
        </w:rPr>
        <w:t>ninth</w:t>
      </w:r>
      <w:r w:rsidR="007B70C0" w:rsidRPr="008E0B8F">
        <w:rPr>
          <w:lang w:eastAsia="en-GB"/>
        </w:rPr>
        <w:t xml:space="preserve"> </w:t>
      </w:r>
      <w:r w:rsidRPr="008E0B8F">
        <w:rPr>
          <w:lang w:eastAsia="en-GB"/>
        </w:rPr>
        <w:t>edition of Lancashire Fire and Rescue Service’s</w:t>
      </w:r>
      <w:r w:rsidR="00295B77">
        <w:rPr>
          <w:lang w:eastAsia="en-GB"/>
        </w:rPr>
        <w:t>,</w:t>
      </w:r>
      <w:r w:rsidRPr="008E0B8F">
        <w:rPr>
          <w:lang w:eastAsia="en-GB"/>
        </w:rPr>
        <w:t xml:space="preserve"> ‘Strategic Assessment of Risk’</w:t>
      </w:r>
      <w:r w:rsidR="00295B77">
        <w:rPr>
          <w:lang w:eastAsia="en-GB"/>
        </w:rPr>
        <w:t>.</w:t>
      </w:r>
    </w:p>
    <w:p w14:paraId="4DF18497" w14:textId="072CE2A7" w:rsidR="00B9292E" w:rsidRPr="008E0B8F" w:rsidRDefault="00B9292E" w:rsidP="0087330D">
      <w:pPr>
        <w:rPr>
          <w:lang w:eastAsia="en-GB"/>
        </w:rPr>
      </w:pPr>
      <w:r>
        <w:rPr>
          <w:lang w:eastAsia="en-GB"/>
        </w:rPr>
        <w:t>T</w:t>
      </w:r>
      <w:r w:rsidRPr="00B9292E">
        <w:rPr>
          <w:lang w:eastAsia="en-GB"/>
        </w:rPr>
        <w:t xml:space="preserve">his year we have shifted our naming convention approach in terms of the years contained </w:t>
      </w:r>
      <w:r>
        <w:rPr>
          <w:lang w:eastAsia="en-GB"/>
        </w:rPr>
        <w:t>with</w:t>
      </w:r>
      <w:r w:rsidRPr="00B9292E">
        <w:rPr>
          <w:lang w:eastAsia="en-GB"/>
        </w:rPr>
        <w:t xml:space="preserve">in the title. Previous versions have been dated with the year ending the previous financial year, however as this strategic assessment is also a forward look, this year we have named it </w:t>
      </w:r>
      <w:r>
        <w:rPr>
          <w:lang w:eastAsia="en-GB"/>
        </w:rPr>
        <w:t>20</w:t>
      </w:r>
      <w:r w:rsidRPr="00B9292E">
        <w:rPr>
          <w:lang w:eastAsia="en-GB"/>
        </w:rPr>
        <w:t>25</w:t>
      </w:r>
      <w:r>
        <w:rPr>
          <w:lang w:eastAsia="en-GB"/>
        </w:rPr>
        <w:t>-20</w:t>
      </w:r>
      <w:r w:rsidRPr="00B9292E">
        <w:rPr>
          <w:lang w:eastAsia="en-GB"/>
        </w:rPr>
        <w:t xml:space="preserve">26 to reflect the current financial year, the previous version was titled </w:t>
      </w:r>
      <w:r>
        <w:rPr>
          <w:lang w:eastAsia="en-GB"/>
        </w:rPr>
        <w:t>20</w:t>
      </w:r>
      <w:r w:rsidRPr="00B9292E">
        <w:rPr>
          <w:lang w:eastAsia="en-GB"/>
        </w:rPr>
        <w:t>23</w:t>
      </w:r>
      <w:r>
        <w:rPr>
          <w:lang w:eastAsia="en-GB"/>
        </w:rPr>
        <w:t>-20</w:t>
      </w:r>
      <w:r w:rsidRPr="00B9292E">
        <w:rPr>
          <w:lang w:eastAsia="en-GB"/>
        </w:rPr>
        <w:t>24. This is purely a name change, a S</w:t>
      </w:r>
      <w:r>
        <w:rPr>
          <w:lang w:eastAsia="en-GB"/>
        </w:rPr>
        <w:t xml:space="preserve">trategic </w:t>
      </w:r>
      <w:r w:rsidRPr="00B9292E">
        <w:rPr>
          <w:lang w:eastAsia="en-GB"/>
        </w:rPr>
        <w:t>A</w:t>
      </w:r>
      <w:r>
        <w:rPr>
          <w:lang w:eastAsia="en-GB"/>
        </w:rPr>
        <w:t xml:space="preserve">ssessment </w:t>
      </w:r>
      <w:r w:rsidRPr="00B9292E">
        <w:rPr>
          <w:lang w:eastAsia="en-GB"/>
        </w:rPr>
        <w:t>o</w:t>
      </w:r>
      <w:r>
        <w:rPr>
          <w:lang w:eastAsia="en-GB"/>
        </w:rPr>
        <w:t xml:space="preserve">f </w:t>
      </w:r>
      <w:r w:rsidRPr="00B9292E">
        <w:rPr>
          <w:lang w:eastAsia="en-GB"/>
        </w:rPr>
        <w:t>R</w:t>
      </w:r>
      <w:r>
        <w:rPr>
          <w:lang w:eastAsia="en-GB"/>
        </w:rPr>
        <w:t>isk</w:t>
      </w:r>
      <w:r w:rsidRPr="00B9292E">
        <w:rPr>
          <w:lang w:eastAsia="en-GB"/>
        </w:rPr>
        <w:t xml:space="preserve"> has been produced every year with the previous year’s data always utilised to create the document.</w:t>
      </w:r>
    </w:p>
    <w:p w14:paraId="7D046DB2" w14:textId="58218F1C" w:rsidR="00937DA5" w:rsidRPr="008E0B8F" w:rsidRDefault="00937DA5" w:rsidP="0087330D">
      <w:pPr>
        <w:rPr>
          <w:lang w:eastAsia="en-GB"/>
        </w:rPr>
      </w:pPr>
      <w:r w:rsidRPr="008E0B8F">
        <w:rPr>
          <w:lang w:eastAsia="en-GB"/>
        </w:rPr>
        <w:t xml:space="preserve">The assessment seeks to underpin our </w:t>
      </w:r>
      <w:r w:rsidR="00260196" w:rsidRPr="008E0B8F">
        <w:rPr>
          <w:lang w:eastAsia="en-GB"/>
        </w:rPr>
        <w:t>Community</w:t>
      </w:r>
      <w:r w:rsidRPr="008E0B8F">
        <w:rPr>
          <w:lang w:eastAsia="en-GB"/>
        </w:rPr>
        <w:t xml:space="preserve"> Risk Management Plan by ensuring that risk management drives decision-making within L</w:t>
      </w:r>
      <w:r w:rsidR="00D71765">
        <w:rPr>
          <w:lang w:eastAsia="en-GB"/>
        </w:rPr>
        <w:t>ancashire Fire and Rescue Service</w:t>
      </w:r>
      <w:r w:rsidRPr="008E0B8F">
        <w:rPr>
          <w:lang w:eastAsia="en-GB"/>
        </w:rPr>
        <w:t>.</w:t>
      </w:r>
    </w:p>
    <w:p w14:paraId="1B2F118A" w14:textId="40F5858F" w:rsidR="00937DA5" w:rsidRPr="00430B10" w:rsidRDefault="00430B10" w:rsidP="0087330D">
      <w:pPr>
        <w:rPr>
          <w:lang w:eastAsia="en-GB"/>
        </w:rPr>
      </w:pPr>
      <w:r w:rsidRPr="00430B10">
        <w:rPr>
          <w:lang w:eastAsia="en-GB"/>
        </w:rPr>
        <w:t>Section</w:t>
      </w:r>
      <w:r w:rsidR="00CA2CEF">
        <w:rPr>
          <w:lang w:eastAsia="en-GB"/>
        </w:rPr>
        <w:t xml:space="preserve"> </w:t>
      </w:r>
      <w:r w:rsidRPr="00430B10">
        <w:rPr>
          <w:lang w:eastAsia="en-GB"/>
        </w:rPr>
        <w:t>1</w:t>
      </w:r>
      <w:r w:rsidR="00937DA5" w:rsidRPr="00430B10">
        <w:rPr>
          <w:lang w:eastAsia="en-GB"/>
        </w:rPr>
        <w:t xml:space="preserve"> describe</w:t>
      </w:r>
      <w:r w:rsidRPr="00430B10">
        <w:rPr>
          <w:lang w:eastAsia="en-GB"/>
        </w:rPr>
        <w:t>s</w:t>
      </w:r>
      <w:r w:rsidR="00937DA5" w:rsidRPr="00430B10">
        <w:rPr>
          <w:lang w:eastAsia="en-GB"/>
        </w:rPr>
        <w:t xml:space="preserve"> the statutory responsibilities placed upon </w:t>
      </w:r>
      <w:r w:rsidR="00A12BCB" w:rsidRPr="008E0B8F">
        <w:rPr>
          <w:lang w:eastAsia="en-GB"/>
        </w:rPr>
        <w:t>L</w:t>
      </w:r>
      <w:r w:rsidR="00A12BCB">
        <w:rPr>
          <w:lang w:eastAsia="en-GB"/>
        </w:rPr>
        <w:t>ancashire Fire and Rescue Service</w:t>
      </w:r>
      <w:r w:rsidR="00A12BCB" w:rsidRPr="00430B10">
        <w:rPr>
          <w:lang w:eastAsia="en-GB"/>
        </w:rPr>
        <w:t xml:space="preserve"> </w:t>
      </w:r>
      <w:r w:rsidR="00937DA5" w:rsidRPr="00430B10">
        <w:rPr>
          <w:lang w:eastAsia="en-GB"/>
        </w:rPr>
        <w:t>and the Combined Fire Authority</w:t>
      </w:r>
      <w:r w:rsidR="002819A8" w:rsidRPr="00430B10">
        <w:rPr>
          <w:lang w:eastAsia="en-GB"/>
        </w:rPr>
        <w:t xml:space="preserve"> </w:t>
      </w:r>
      <w:r w:rsidR="00937DA5" w:rsidRPr="00430B10">
        <w:rPr>
          <w:lang w:eastAsia="en-GB"/>
        </w:rPr>
        <w:t>committee structure</w:t>
      </w:r>
      <w:r w:rsidR="00020CE6">
        <w:rPr>
          <w:lang w:eastAsia="en-GB"/>
        </w:rPr>
        <w:t>.</w:t>
      </w:r>
    </w:p>
    <w:p w14:paraId="77C0A0D0" w14:textId="0D843A04" w:rsidR="00937DA5" w:rsidRPr="00020CE6" w:rsidRDefault="00937DA5" w:rsidP="0087330D">
      <w:pPr>
        <w:rPr>
          <w:lang w:eastAsia="en-GB"/>
        </w:rPr>
      </w:pPr>
      <w:r w:rsidRPr="00020CE6">
        <w:rPr>
          <w:lang w:eastAsia="en-GB"/>
        </w:rPr>
        <w:t xml:space="preserve">The About Lancashire section </w:t>
      </w:r>
      <w:r w:rsidR="00020CE6" w:rsidRPr="00020CE6">
        <w:rPr>
          <w:lang w:eastAsia="en-GB"/>
        </w:rPr>
        <w:t xml:space="preserve">is an overview of the County, providing contextual information on </w:t>
      </w:r>
      <w:r w:rsidRPr="00020CE6">
        <w:rPr>
          <w:lang w:eastAsia="en-GB"/>
        </w:rPr>
        <w:t xml:space="preserve">population and demographics, district make-up, deprivation and health.  </w:t>
      </w:r>
      <w:r w:rsidR="00A74E9A" w:rsidRPr="00020CE6">
        <w:rPr>
          <w:lang w:eastAsia="en-GB"/>
        </w:rPr>
        <w:t>Data</w:t>
      </w:r>
      <w:r w:rsidRPr="00020CE6">
        <w:rPr>
          <w:lang w:eastAsia="en-GB"/>
        </w:rPr>
        <w:t xml:space="preserve"> is provided on population density across the 14 districts that make up Lancashire, in addition to </w:t>
      </w:r>
      <w:r w:rsidR="00A74E9A" w:rsidRPr="00020CE6">
        <w:rPr>
          <w:lang w:eastAsia="en-GB"/>
        </w:rPr>
        <w:t>information</w:t>
      </w:r>
      <w:r w:rsidRPr="00020CE6">
        <w:rPr>
          <w:lang w:eastAsia="en-GB"/>
        </w:rPr>
        <w:t xml:space="preserve"> on aspects of ethnicity, religion and work-day populations</w:t>
      </w:r>
      <w:r w:rsidR="00020CE6" w:rsidRPr="00020CE6">
        <w:rPr>
          <w:lang w:eastAsia="en-GB"/>
        </w:rPr>
        <w:t>.</w:t>
      </w:r>
    </w:p>
    <w:p w14:paraId="33E648EB" w14:textId="58366B0E" w:rsidR="00937DA5" w:rsidRPr="008D0104" w:rsidRDefault="00937DA5" w:rsidP="0087330D">
      <w:r w:rsidRPr="008D0104">
        <w:rPr>
          <w:lang w:eastAsia="en-GB"/>
        </w:rPr>
        <w:t xml:space="preserve">The next section, </w:t>
      </w:r>
      <w:r w:rsidR="003F4B35" w:rsidRPr="008D0104">
        <w:rPr>
          <w:lang w:eastAsia="en-GB"/>
        </w:rPr>
        <w:t>n</w:t>
      </w:r>
      <w:r w:rsidRPr="008D0104">
        <w:rPr>
          <w:lang w:eastAsia="en-GB"/>
        </w:rPr>
        <w:t xml:space="preserve">ational and </w:t>
      </w:r>
      <w:r w:rsidR="003F4B35" w:rsidRPr="008D0104">
        <w:rPr>
          <w:lang w:eastAsia="en-GB"/>
        </w:rPr>
        <w:t>l</w:t>
      </w:r>
      <w:r w:rsidRPr="008D0104">
        <w:rPr>
          <w:lang w:eastAsia="en-GB"/>
        </w:rPr>
        <w:t xml:space="preserve">ocal </w:t>
      </w:r>
      <w:r w:rsidR="003F4B35" w:rsidRPr="008D0104">
        <w:rPr>
          <w:lang w:eastAsia="en-GB"/>
        </w:rPr>
        <w:t>r</w:t>
      </w:r>
      <w:r w:rsidRPr="008D0104">
        <w:rPr>
          <w:lang w:eastAsia="en-GB"/>
        </w:rPr>
        <w:t>isk</w:t>
      </w:r>
      <w:r w:rsidR="00CA2CEF">
        <w:rPr>
          <w:lang w:eastAsia="en-GB"/>
        </w:rPr>
        <w:t>,</w:t>
      </w:r>
      <w:r w:rsidRPr="008D0104">
        <w:rPr>
          <w:lang w:eastAsia="en-GB"/>
        </w:rPr>
        <w:t xml:space="preserve"> concentrates on risk profiles raised as high risk by </w:t>
      </w:r>
      <w:r w:rsidR="00D02585" w:rsidRPr="008D0104">
        <w:rPr>
          <w:lang w:eastAsia="en-GB"/>
        </w:rPr>
        <w:t>a</w:t>
      </w:r>
      <w:r w:rsidRPr="008D0104">
        <w:rPr>
          <w:lang w:eastAsia="en-GB"/>
        </w:rPr>
        <w:t xml:space="preserve"> </w:t>
      </w:r>
      <w:r w:rsidR="003F4B35" w:rsidRPr="008D0104">
        <w:rPr>
          <w:lang w:eastAsia="en-GB"/>
        </w:rPr>
        <w:t>n</w:t>
      </w:r>
      <w:r w:rsidRPr="008D0104">
        <w:rPr>
          <w:lang w:eastAsia="en-GB"/>
        </w:rPr>
        <w:t xml:space="preserve">ational </w:t>
      </w:r>
      <w:r w:rsidR="003F4B35" w:rsidRPr="008D0104">
        <w:rPr>
          <w:lang w:eastAsia="en-GB"/>
        </w:rPr>
        <w:t>r</w:t>
      </w:r>
      <w:r w:rsidRPr="008D0104">
        <w:rPr>
          <w:lang w:eastAsia="en-GB"/>
        </w:rPr>
        <w:t xml:space="preserve">isk </w:t>
      </w:r>
      <w:r w:rsidR="003F4B35" w:rsidRPr="008D0104">
        <w:rPr>
          <w:lang w:eastAsia="en-GB"/>
        </w:rPr>
        <w:t>a</w:t>
      </w:r>
      <w:r w:rsidRPr="008D0104">
        <w:rPr>
          <w:lang w:eastAsia="en-GB"/>
        </w:rPr>
        <w:t xml:space="preserve">ssessment and more locally by </w:t>
      </w:r>
      <w:r w:rsidR="009D5A7F">
        <w:rPr>
          <w:lang w:eastAsia="en-GB"/>
        </w:rPr>
        <w:t xml:space="preserve">the </w:t>
      </w:r>
      <w:r w:rsidR="009D5A7F" w:rsidRPr="008D0104">
        <w:t>L</w:t>
      </w:r>
      <w:r w:rsidR="009D5A7F">
        <w:t>ancashire Resilience Forum</w:t>
      </w:r>
      <w:r w:rsidRPr="008D0104">
        <w:rPr>
          <w:lang w:eastAsia="en-GB"/>
        </w:rPr>
        <w:t xml:space="preserve">. </w:t>
      </w:r>
      <w:r w:rsidR="0003241A" w:rsidRPr="008D0104">
        <w:rPr>
          <w:lang w:eastAsia="en-GB"/>
        </w:rPr>
        <w:t xml:space="preserve"> </w:t>
      </w:r>
      <w:r w:rsidRPr="008D0104">
        <w:t xml:space="preserve">The </w:t>
      </w:r>
      <w:r w:rsidR="003F4B35" w:rsidRPr="008D0104">
        <w:t>n</w:t>
      </w:r>
      <w:r w:rsidRPr="008D0104">
        <w:t xml:space="preserve">ational </w:t>
      </w:r>
      <w:r w:rsidR="003F4B35" w:rsidRPr="008D0104">
        <w:t>r</w:t>
      </w:r>
      <w:r w:rsidRPr="008D0104">
        <w:t xml:space="preserve">isk </w:t>
      </w:r>
      <w:r w:rsidR="003F4B35" w:rsidRPr="008D0104">
        <w:t>a</w:t>
      </w:r>
      <w:r w:rsidRPr="008D0104">
        <w:t xml:space="preserve">ssessment is a yearly process intended to identify, </w:t>
      </w:r>
      <w:r w:rsidR="00D02585" w:rsidRPr="008D0104">
        <w:t>characterise,</w:t>
      </w:r>
      <w:r w:rsidRPr="008D0104">
        <w:t xml:space="preserve"> and compare all the major hazards and threats of national significance that may cause </w:t>
      </w:r>
      <w:r w:rsidR="00D02585" w:rsidRPr="008D0104">
        <w:t>widespread</w:t>
      </w:r>
      <w:r w:rsidRPr="008D0104">
        <w:t xml:space="preserve"> impacts in the UK on a five-year horizon.</w:t>
      </w:r>
      <w:r w:rsidR="0003241A" w:rsidRPr="008D0104">
        <w:t xml:space="preserve"> </w:t>
      </w:r>
      <w:r w:rsidRPr="008D0104">
        <w:t xml:space="preserve"> It involves a large multi-agency process that allows ranking risks based on the likelihood and impact of the “reasonable worst-case scenario”. </w:t>
      </w:r>
      <w:r w:rsidR="0003241A" w:rsidRPr="008D0104">
        <w:t xml:space="preserve"> </w:t>
      </w:r>
      <w:r w:rsidRPr="008D0104">
        <w:t xml:space="preserve">It provides a national picture of the risks we </w:t>
      </w:r>
      <w:r w:rsidR="00D02585" w:rsidRPr="008D0104">
        <w:t>face and</w:t>
      </w:r>
      <w:r w:rsidRPr="008D0104">
        <w:t xml:space="preserve"> is designed to complement </w:t>
      </w:r>
      <w:r w:rsidR="003F4B35" w:rsidRPr="008D0104">
        <w:t>l</w:t>
      </w:r>
      <w:r w:rsidRPr="008D0104">
        <w:t xml:space="preserve">ocal </w:t>
      </w:r>
      <w:r w:rsidR="003F4B35" w:rsidRPr="008D0104">
        <w:t>r</w:t>
      </w:r>
      <w:r w:rsidRPr="008D0104">
        <w:t xml:space="preserve">isk </w:t>
      </w:r>
      <w:r w:rsidR="003F4B35" w:rsidRPr="008D0104">
        <w:t>a</w:t>
      </w:r>
      <w:r w:rsidRPr="008D0104">
        <w:t>ssessments produced by the L</w:t>
      </w:r>
      <w:r w:rsidR="00F84C42">
        <w:t>ancashire resilience forum</w:t>
      </w:r>
      <w:r w:rsidRPr="008D0104">
        <w:t>.</w:t>
      </w:r>
    </w:p>
    <w:p w14:paraId="585C589D" w14:textId="7C112FCC" w:rsidR="00937DA5" w:rsidRPr="00B118A8" w:rsidRDefault="00937DA5" w:rsidP="0087330D">
      <w:r w:rsidRPr="00B118A8">
        <w:t>The</w:t>
      </w:r>
      <w:r w:rsidR="00F84C42">
        <w:t xml:space="preserve"> </w:t>
      </w:r>
      <w:r w:rsidR="00F84C42" w:rsidRPr="008D0104">
        <w:t>L</w:t>
      </w:r>
      <w:r w:rsidR="00F84C42">
        <w:t>ancashire resilience forum</w:t>
      </w:r>
      <w:r w:rsidR="00F84C42" w:rsidRPr="00B118A8">
        <w:t xml:space="preserve"> </w:t>
      </w:r>
      <w:r w:rsidRPr="00B118A8">
        <w:t>considers the national issues alongside the local risk context, identifying the risks such as new issues or highlight situations where risk may be changing within the county.</w:t>
      </w:r>
      <w:r w:rsidR="0003241A" w:rsidRPr="00B118A8">
        <w:t xml:space="preserve"> </w:t>
      </w:r>
      <w:r w:rsidRPr="00B118A8">
        <w:t xml:space="preserve"> Each identified risk is then analysed and given a rating according to how likely the risk is to lead to an emergency and their potential impact on safety and security, health, economy, </w:t>
      </w:r>
      <w:r w:rsidR="00D02585" w:rsidRPr="00B118A8">
        <w:t>environment,</w:t>
      </w:r>
      <w:r w:rsidRPr="00B118A8">
        <w:t xml:space="preserve"> and society. </w:t>
      </w:r>
      <w:r w:rsidR="0003241A" w:rsidRPr="00B118A8">
        <w:t xml:space="preserve"> </w:t>
      </w:r>
      <w:r w:rsidRPr="00B118A8">
        <w:t>Th</w:t>
      </w:r>
      <w:r w:rsidR="00F84C42">
        <w:t xml:space="preserve">e </w:t>
      </w:r>
      <w:r w:rsidR="00F84C42" w:rsidRPr="008D0104">
        <w:t>L</w:t>
      </w:r>
      <w:r w:rsidR="00F84C42">
        <w:t>ancashire resilience forum then</w:t>
      </w:r>
      <w:r w:rsidRPr="00B118A8">
        <w:t xml:space="preserve"> evaluates the analysis and determines whether to include it in the community risk register, identifying where plans are </w:t>
      </w:r>
      <w:r w:rsidR="00D02585" w:rsidRPr="00B118A8">
        <w:t>needed,</w:t>
      </w:r>
      <w:r w:rsidRPr="00B118A8">
        <w:t xml:space="preserve"> and arrangements required to deliver a multi-agency response.</w:t>
      </w:r>
    </w:p>
    <w:p w14:paraId="432B3E23" w14:textId="3C9B140E" w:rsidR="00CA2CEF" w:rsidRDefault="00CA2CEF" w:rsidP="00CA2CEF">
      <w:pPr>
        <w:rPr>
          <w:lang w:eastAsia="en-GB"/>
        </w:rPr>
      </w:pPr>
      <w:bookmarkStart w:id="4" w:name="_Toc526867172"/>
      <w:bookmarkStart w:id="5" w:name="_Toc526867448"/>
      <w:r>
        <w:rPr>
          <w:lang w:eastAsia="en-GB"/>
        </w:rPr>
        <w:t xml:space="preserve">The following section, our </w:t>
      </w:r>
      <w:r w:rsidR="00987CB0">
        <w:rPr>
          <w:lang w:eastAsia="en-GB"/>
        </w:rPr>
        <w:t>PESTELO</w:t>
      </w:r>
      <w:r w:rsidR="00F84C42">
        <w:rPr>
          <w:lang w:eastAsia="en-GB"/>
        </w:rPr>
        <w:t>.</w:t>
      </w:r>
      <w:r>
        <w:rPr>
          <w:lang w:eastAsia="en-GB"/>
        </w:rPr>
        <w:t xml:space="preserve"> analysis, </w:t>
      </w:r>
      <w:r>
        <w:t xml:space="preserve">looks at </w:t>
      </w:r>
      <w:r w:rsidR="00020CE6">
        <w:t xml:space="preserve">the </w:t>
      </w:r>
      <w:r>
        <w:t xml:space="preserve">seven areas of external influence on an </w:t>
      </w:r>
      <w:r w:rsidR="00AB1C0E">
        <w:t>organisation:</w:t>
      </w:r>
      <w:r>
        <w:t xml:space="preserve"> Political, Economic, Socio-cultural, Technological and Infrastructure, Environmental, Legislative and Organisational.  By analysing these factors, </w:t>
      </w:r>
      <w:r>
        <w:lastRenderedPageBreak/>
        <w:t xml:space="preserve">we can gain insight into the external influences which may impact </w:t>
      </w:r>
      <w:r w:rsidR="00A12BCB" w:rsidRPr="008E0B8F">
        <w:rPr>
          <w:lang w:eastAsia="en-GB"/>
        </w:rPr>
        <w:t>L</w:t>
      </w:r>
      <w:r w:rsidR="00A12BCB">
        <w:rPr>
          <w:lang w:eastAsia="en-GB"/>
        </w:rPr>
        <w:t>ancashire Fire and Rescue Service</w:t>
      </w:r>
      <w:r>
        <w:t xml:space="preserve">. </w:t>
      </w:r>
      <w:r>
        <w:rPr>
          <w:lang w:eastAsia="en-GB"/>
        </w:rPr>
        <w:t xml:space="preserve"> </w:t>
      </w:r>
      <w:r w:rsidRPr="000E5042">
        <w:rPr>
          <w:lang w:eastAsia="en-GB"/>
        </w:rPr>
        <w:t>The chapter highlights the relevance of aspects of deprivation within Lancashire, not least the prevalence of fuel poverty across an ageing population profile; one which statistically looks to continue to increase significantly in age terms over the next fifteen years at least.  The combination of such factors poses risks to members of the communities we serve and hence it is incumbent upon us to be aware of the changing needs and the potential for increased risk in areas traditionally seen as low risk</w:t>
      </w:r>
      <w:r w:rsidRPr="00CA2CEF">
        <w:rPr>
          <w:lang w:eastAsia="en-GB"/>
        </w:rPr>
        <w:t>.</w:t>
      </w:r>
    </w:p>
    <w:p w14:paraId="69C05DE4" w14:textId="27FD385D" w:rsidR="00937DA5" w:rsidRPr="00B118A8" w:rsidRDefault="00937DA5" w:rsidP="0087330D">
      <w:pPr>
        <w:rPr>
          <w:lang w:eastAsia="en-GB"/>
        </w:rPr>
      </w:pPr>
      <w:r w:rsidRPr="00B118A8">
        <w:rPr>
          <w:lang w:eastAsia="en-GB"/>
        </w:rPr>
        <w:t xml:space="preserve">Finally, we finish </w:t>
      </w:r>
      <w:r w:rsidR="00CA2CEF">
        <w:rPr>
          <w:lang w:eastAsia="en-GB"/>
        </w:rPr>
        <w:t xml:space="preserve">by looking at historical response data for Lancashire along </w:t>
      </w:r>
      <w:r w:rsidRPr="00B118A8">
        <w:rPr>
          <w:lang w:eastAsia="en-GB"/>
        </w:rPr>
        <w:t>with a collation of our risk scores across our Response section which aims to illustrate via a risk m</w:t>
      </w:r>
      <w:r w:rsidR="4CE255FB" w:rsidRPr="00B118A8">
        <w:rPr>
          <w:lang w:eastAsia="en-GB"/>
        </w:rPr>
        <w:t>atrix</w:t>
      </w:r>
      <w:r w:rsidRPr="00B118A8">
        <w:rPr>
          <w:lang w:eastAsia="en-GB"/>
        </w:rPr>
        <w:t xml:space="preserve"> our most common responses and our highest risks within the </w:t>
      </w:r>
      <w:r w:rsidR="003F4B35" w:rsidRPr="00B118A8">
        <w:rPr>
          <w:lang w:eastAsia="en-GB"/>
        </w:rPr>
        <w:t>f</w:t>
      </w:r>
      <w:r w:rsidRPr="00B118A8">
        <w:rPr>
          <w:lang w:eastAsia="en-GB"/>
        </w:rPr>
        <w:t xml:space="preserve">ire </w:t>
      </w:r>
      <w:r w:rsidR="003F4B35" w:rsidRPr="00B118A8">
        <w:rPr>
          <w:lang w:eastAsia="en-GB"/>
        </w:rPr>
        <w:t>s</w:t>
      </w:r>
      <w:r w:rsidRPr="00B118A8">
        <w:rPr>
          <w:lang w:eastAsia="en-GB"/>
        </w:rPr>
        <w:t xml:space="preserve">ector. </w:t>
      </w:r>
      <w:r w:rsidR="0003241A" w:rsidRPr="00B118A8">
        <w:rPr>
          <w:lang w:eastAsia="en-GB"/>
        </w:rPr>
        <w:t xml:space="preserve"> </w:t>
      </w:r>
      <w:r w:rsidRPr="00B118A8">
        <w:rPr>
          <w:lang w:eastAsia="en-GB"/>
        </w:rPr>
        <w:t>This matrix is the product of our novel risk methodology, which has been designed to incorporate the frequency and trends of incident activity in Lancashire with consequences of the same activity.</w:t>
      </w:r>
      <w:r w:rsidR="0003241A" w:rsidRPr="00B118A8">
        <w:rPr>
          <w:lang w:eastAsia="en-GB"/>
        </w:rPr>
        <w:t xml:space="preserve"> </w:t>
      </w:r>
      <w:r w:rsidRPr="00B118A8">
        <w:rPr>
          <w:lang w:eastAsia="en-GB"/>
        </w:rPr>
        <w:t xml:space="preserve"> The methodology classifies pump-attended activity into one of 32 incident types and ranks these incidents based on a calculated risk score.</w:t>
      </w:r>
      <w:r w:rsidR="0003241A" w:rsidRPr="00B118A8">
        <w:rPr>
          <w:lang w:eastAsia="en-GB"/>
        </w:rPr>
        <w:t xml:space="preserve"> </w:t>
      </w:r>
      <w:r w:rsidRPr="00B118A8">
        <w:rPr>
          <w:lang w:eastAsia="en-GB"/>
        </w:rPr>
        <w:t xml:space="preserve"> Each incident type has a respective consequence score which is based on the average consequence score of seven categories determined by a panel of industry professionals. </w:t>
      </w:r>
      <w:r w:rsidR="0003241A" w:rsidRPr="00B118A8">
        <w:rPr>
          <w:lang w:eastAsia="en-GB"/>
        </w:rPr>
        <w:t xml:space="preserve"> </w:t>
      </w:r>
      <w:r w:rsidRPr="00B118A8">
        <w:rPr>
          <w:lang w:eastAsia="en-GB"/>
        </w:rPr>
        <w:t xml:space="preserve">This score is combined with a likelihood score calculated using the average incident frequency for the previous three years. </w:t>
      </w:r>
      <w:r w:rsidR="0003241A" w:rsidRPr="00B118A8">
        <w:rPr>
          <w:lang w:eastAsia="en-GB"/>
        </w:rPr>
        <w:t xml:space="preserve"> </w:t>
      </w:r>
      <w:r w:rsidRPr="00B118A8">
        <w:rPr>
          <w:lang w:eastAsia="en-GB"/>
        </w:rPr>
        <w:t xml:space="preserve">We apply a directional multiplier determined through statistical analysis of </w:t>
      </w:r>
      <w:r w:rsidR="00D02585" w:rsidRPr="00B118A8">
        <w:rPr>
          <w:lang w:eastAsia="en-GB"/>
        </w:rPr>
        <w:t>long-term</w:t>
      </w:r>
      <w:r w:rsidRPr="00B118A8">
        <w:rPr>
          <w:lang w:eastAsia="en-GB"/>
        </w:rPr>
        <w:t xml:space="preserve"> incident data to this likelihood score to identify incident types which represent emerging or declining risk and impact their order in the overall risk ranking.</w:t>
      </w:r>
    </w:p>
    <w:p w14:paraId="6B056B6C" w14:textId="44653672" w:rsidR="00937DA5" w:rsidRPr="00B118A8" w:rsidRDefault="00937DA5" w:rsidP="0087330D">
      <w:pPr>
        <w:rPr>
          <w:lang w:eastAsia="en-GB"/>
        </w:rPr>
      </w:pPr>
      <w:r w:rsidRPr="00B118A8">
        <w:rPr>
          <w:lang w:eastAsia="en-GB"/>
        </w:rPr>
        <w:t>The methodology utilises the experience and knowledge of industry professionals with the robustness of data-driven statistical analysis to rank the majority of L</w:t>
      </w:r>
      <w:r w:rsidR="00A12BCB">
        <w:rPr>
          <w:lang w:eastAsia="en-GB"/>
        </w:rPr>
        <w:t>ancashire fire and rescue service</w:t>
      </w:r>
      <w:r w:rsidR="00BB2639">
        <w:rPr>
          <w:lang w:eastAsia="en-GB"/>
        </w:rPr>
        <w:t>’s</w:t>
      </w:r>
      <w:r w:rsidRPr="00B118A8">
        <w:rPr>
          <w:lang w:eastAsia="en-GB"/>
        </w:rPr>
        <w:t xml:space="preserve"> activity by the risk they pose and therefore establishes an appropriate position of response from the service in mitigating the impacts of these risks on communities in Lancashire.</w:t>
      </w:r>
    </w:p>
    <w:p w14:paraId="22375B5F" w14:textId="6AE49520" w:rsidR="00937DA5" w:rsidRPr="00B118A8" w:rsidRDefault="00C67E7F" w:rsidP="00FF653C">
      <w:pPr>
        <w:pStyle w:val="Heading1"/>
        <w:rPr>
          <w:b w:val="0"/>
          <w:lang w:eastAsia="en-GB"/>
        </w:rPr>
      </w:pPr>
      <w:r w:rsidRPr="008E0B8F">
        <w:rPr>
          <w:highlight w:val="yellow"/>
          <w:lang w:eastAsia="en-GB"/>
        </w:rPr>
        <w:br w:type="page"/>
      </w:r>
      <w:bookmarkStart w:id="6" w:name="_Toc74639644"/>
      <w:bookmarkStart w:id="7" w:name="_Toc155619838"/>
      <w:bookmarkStart w:id="8" w:name="_Toc155685683"/>
      <w:bookmarkStart w:id="9" w:name="_Toc208329907"/>
      <w:r w:rsidR="00937DA5" w:rsidRPr="00B118A8">
        <w:lastRenderedPageBreak/>
        <w:t>I</w:t>
      </w:r>
      <w:bookmarkEnd w:id="4"/>
      <w:bookmarkEnd w:id="5"/>
      <w:r w:rsidR="00937DA5" w:rsidRPr="00B118A8">
        <w:t>ntroduction</w:t>
      </w:r>
      <w:bookmarkEnd w:id="6"/>
      <w:bookmarkEnd w:id="7"/>
      <w:bookmarkEnd w:id="8"/>
      <w:bookmarkEnd w:id="9"/>
    </w:p>
    <w:p w14:paraId="18E66A5D" w14:textId="5D9E30EE" w:rsidR="00937DA5" w:rsidRPr="00B118A8" w:rsidRDefault="00937DA5" w:rsidP="00EC0A23">
      <w:pPr>
        <w:rPr>
          <w:lang w:eastAsia="en-GB"/>
        </w:rPr>
      </w:pPr>
      <w:r w:rsidRPr="00B118A8">
        <w:rPr>
          <w:lang w:eastAsia="en-GB"/>
        </w:rPr>
        <w:t xml:space="preserve">The Fire and Rescue National Framework identifies challenges that we have to deal with such as the continued threat of terrorism, the impacts of climate change, impacts of an ageing population and the need to cut the national deficit. </w:t>
      </w:r>
      <w:r w:rsidR="0003241A" w:rsidRPr="00B118A8">
        <w:rPr>
          <w:lang w:eastAsia="en-GB"/>
        </w:rPr>
        <w:t xml:space="preserve"> </w:t>
      </w:r>
      <w:r w:rsidRPr="00B118A8">
        <w:rPr>
          <w:lang w:eastAsia="en-GB"/>
        </w:rPr>
        <w:t>In pursuit of our vision of ‘Making Lancashire Safer’, it is important that these wider challenges are understood to help us plan to achieve our strategic objectives in a more informed manner.</w:t>
      </w:r>
    </w:p>
    <w:p w14:paraId="5A8B29D5" w14:textId="2157C122" w:rsidR="00937DA5" w:rsidRPr="00B118A8" w:rsidRDefault="00D02585" w:rsidP="00EC0A23">
      <w:pPr>
        <w:rPr>
          <w:lang w:eastAsia="en-GB"/>
        </w:rPr>
      </w:pPr>
      <w:r w:rsidRPr="00B118A8">
        <w:rPr>
          <w:lang w:eastAsia="en-GB"/>
        </w:rPr>
        <w:t>To</w:t>
      </w:r>
      <w:r w:rsidR="00937DA5" w:rsidRPr="00B118A8">
        <w:rPr>
          <w:lang w:eastAsia="en-GB"/>
        </w:rPr>
        <w:t xml:space="preserve"> address these challenges </w:t>
      </w:r>
      <w:r w:rsidR="00BB2639" w:rsidRPr="00B118A8">
        <w:rPr>
          <w:lang w:eastAsia="en-GB"/>
        </w:rPr>
        <w:t>L</w:t>
      </w:r>
      <w:r w:rsidR="00BB2639">
        <w:rPr>
          <w:lang w:eastAsia="en-GB"/>
        </w:rPr>
        <w:t>ancashire fire and rescue service</w:t>
      </w:r>
      <w:r w:rsidR="00BB2639" w:rsidRPr="00B118A8">
        <w:rPr>
          <w:lang w:eastAsia="en-GB"/>
        </w:rPr>
        <w:t xml:space="preserve"> </w:t>
      </w:r>
      <w:r w:rsidR="00937DA5" w:rsidRPr="00B118A8">
        <w:rPr>
          <w:lang w:eastAsia="en-GB"/>
        </w:rPr>
        <w:t xml:space="preserve">carry out a periodic assessment of risk to help us to consider the potential impact of external factors that may be a risk to our business.  Where we identify risks, we need to </w:t>
      </w:r>
      <w:r w:rsidR="7CF7BAEE" w:rsidRPr="00B118A8">
        <w:rPr>
          <w:lang w:eastAsia="en-GB"/>
        </w:rPr>
        <w:t>act</w:t>
      </w:r>
      <w:r w:rsidR="00937DA5" w:rsidRPr="00B118A8">
        <w:rPr>
          <w:lang w:eastAsia="en-GB"/>
        </w:rPr>
        <w:t xml:space="preserve">.  This may be to actively mitigate the risk or simply to monitor it, and indeed there may be risks that we choose to accept and to take no action. </w:t>
      </w:r>
      <w:r w:rsidR="0003241A" w:rsidRPr="00B118A8">
        <w:rPr>
          <w:lang w:eastAsia="en-GB"/>
        </w:rPr>
        <w:t xml:space="preserve"> </w:t>
      </w:r>
      <w:r w:rsidR="00937DA5" w:rsidRPr="00B118A8">
        <w:rPr>
          <w:lang w:eastAsia="en-GB"/>
        </w:rPr>
        <w:t>Ultimately, we must satisfy ourselves through this strategic assessment of risk that there is no threat to our vision and that our strategic objectives are not compromised.</w:t>
      </w:r>
    </w:p>
    <w:p w14:paraId="38C092A1" w14:textId="7F8C20CF" w:rsidR="0018763D" w:rsidRDefault="00937DA5" w:rsidP="00EC0A23">
      <w:pPr>
        <w:rPr>
          <w:lang w:eastAsia="en-GB"/>
        </w:rPr>
      </w:pPr>
      <w:r w:rsidRPr="00B118A8">
        <w:rPr>
          <w:lang w:eastAsia="en-GB"/>
        </w:rPr>
        <w:t xml:space="preserve">As a </w:t>
      </w:r>
      <w:r w:rsidR="003F4B35" w:rsidRPr="00B118A8">
        <w:rPr>
          <w:lang w:eastAsia="en-GB"/>
        </w:rPr>
        <w:t>s</w:t>
      </w:r>
      <w:r w:rsidRPr="00B118A8">
        <w:rPr>
          <w:lang w:eastAsia="en-GB"/>
        </w:rPr>
        <w:t xml:space="preserve">ervice we review our assessment of risk at least annually by analysing our external and internal operating environments as part of our corporate planning process.  This edition of Lancashire’s </w:t>
      </w:r>
      <w:r w:rsidR="00295B77">
        <w:rPr>
          <w:lang w:eastAsia="en-GB"/>
        </w:rPr>
        <w:t>Strategic Assessment of Risk</w:t>
      </w:r>
      <w:r w:rsidRPr="00B118A8">
        <w:rPr>
          <w:lang w:eastAsia="en-GB"/>
        </w:rPr>
        <w:t xml:space="preserve"> document aims to highlight the risks we face </w:t>
      </w:r>
      <w:r w:rsidRPr="00466282">
        <w:rPr>
          <w:lang w:eastAsia="en-GB"/>
        </w:rPr>
        <w:t xml:space="preserve">and </w:t>
      </w:r>
      <w:r w:rsidRPr="00B118A8">
        <w:rPr>
          <w:lang w:eastAsia="en-GB"/>
        </w:rPr>
        <w:t xml:space="preserve">how we intend to deal with them. </w:t>
      </w:r>
      <w:r w:rsidR="0003241A" w:rsidRPr="00B118A8">
        <w:rPr>
          <w:lang w:eastAsia="en-GB"/>
        </w:rPr>
        <w:t xml:space="preserve"> </w:t>
      </w:r>
      <w:r w:rsidRPr="00B118A8">
        <w:rPr>
          <w:lang w:eastAsia="en-GB"/>
        </w:rPr>
        <w:t xml:space="preserve">The information is based on current and historical risk data which is presented to inform our plans and strategies both now and in the future.  This </w:t>
      </w:r>
      <w:r w:rsidR="00C17120">
        <w:rPr>
          <w:lang w:eastAsia="en-GB"/>
        </w:rPr>
        <w:t>s</w:t>
      </w:r>
      <w:r w:rsidR="00295B77">
        <w:rPr>
          <w:lang w:eastAsia="en-GB"/>
        </w:rPr>
        <w:t xml:space="preserve">trategic </w:t>
      </w:r>
      <w:r w:rsidR="00C17120">
        <w:rPr>
          <w:lang w:eastAsia="en-GB"/>
        </w:rPr>
        <w:t>a</w:t>
      </w:r>
      <w:r w:rsidR="00295B77">
        <w:rPr>
          <w:lang w:eastAsia="en-GB"/>
        </w:rPr>
        <w:t xml:space="preserve">ssessment of </w:t>
      </w:r>
      <w:r w:rsidR="00C17120">
        <w:rPr>
          <w:lang w:eastAsia="en-GB"/>
        </w:rPr>
        <w:t>r</w:t>
      </w:r>
      <w:r w:rsidR="00295B77">
        <w:rPr>
          <w:lang w:eastAsia="en-GB"/>
        </w:rPr>
        <w:t>isk</w:t>
      </w:r>
      <w:r w:rsidRPr="00B118A8">
        <w:rPr>
          <w:lang w:eastAsia="en-GB"/>
        </w:rPr>
        <w:t xml:space="preserve"> underpins our corporate planning process and will strengthen our </w:t>
      </w:r>
      <w:r w:rsidR="00C17120">
        <w:rPr>
          <w:lang w:eastAsia="en-GB"/>
        </w:rPr>
        <w:t>community risk management plan</w:t>
      </w:r>
      <w:r w:rsidRPr="00B118A8">
        <w:rPr>
          <w:lang w:eastAsia="en-GB"/>
        </w:rPr>
        <w:t xml:space="preserve">, which we have a statutory duty to provide.  Whilst the summarises how, through planning, we consider fire and rescue related dangers that could affect our communities and how we aim to tackle them, the </w:t>
      </w:r>
      <w:r w:rsidR="00C17120">
        <w:rPr>
          <w:lang w:eastAsia="en-GB"/>
        </w:rPr>
        <w:t>s</w:t>
      </w:r>
      <w:r w:rsidR="00295B77">
        <w:rPr>
          <w:lang w:eastAsia="en-GB"/>
        </w:rPr>
        <w:t xml:space="preserve">trategic </w:t>
      </w:r>
      <w:r w:rsidR="00C17120">
        <w:rPr>
          <w:lang w:eastAsia="en-GB"/>
        </w:rPr>
        <w:t>a</w:t>
      </w:r>
      <w:r w:rsidR="00295B77">
        <w:rPr>
          <w:lang w:eastAsia="en-GB"/>
        </w:rPr>
        <w:t xml:space="preserve">ssessment of </w:t>
      </w:r>
      <w:r w:rsidR="00C17120">
        <w:rPr>
          <w:lang w:eastAsia="en-GB"/>
        </w:rPr>
        <w:t>r</w:t>
      </w:r>
      <w:r w:rsidR="00295B77">
        <w:rPr>
          <w:lang w:eastAsia="en-GB"/>
        </w:rPr>
        <w:t>isk</w:t>
      </w:r>
      <w:r w:rsidRPr="00B118A8">
        <w:rPr>
          <w:lang w:eastAsia="en-GB"/>
        </w:rPr>
        <w:t xml:space="preserve"> provides some of the detail on these risks </w:t>
      </w:r>
      <w:r w:rsidR="00466282">
        <w:rPr>
          <w:lang w:eastAsia="en-GB"/>
        </w:rPr>
        <w:t>and on</w:t>
      </w:r>
      <w:r w:rsidRPr="00B118A8">
        <w:rPr>
          <w:lang w:eastAsia="en-GB"/>
        </w:rPr>
        <w:t xml:space="preserve"> </w:t>
      </w:r>
      <w:r w:rsidR="00466282">
        <w:rPr>
          <w:lang w:eastAsia="en-GB"/>
        </w:rPr>
        <w:t>where we are targeting our resources in the most efficient and effective way to manage the risk</w:t>
      </w:r>
      <w:r w:rsidR="0043418C" w:rsidRPr="0043418C">
        <w:rPr>
          <w:lang w:eastAsia="en-GB"/>
        </w:rPr>
        <w:t>.</w:t>
      </w:r>
    </w:p>
    <w:p w14:paraId="1CF18414" w14:textId="583D0D9A" w:rsidR="0018763D" w:rsidRPr="00533EE4" w:rsidRDefault="0018763D" w:rsidP="0018763D">
      <w:r w:rsidRPr="00533EE4">
        <w:t xml:space="preserve">Each </w:t>
      </w:r>
      <w:r w:rsidR="00A905A6" w:rsidRPr="00533EE4">
        <w:t xml:space="preserve">of the 14 </w:t>
      </w:r>
      <w:r w:rsidRPr="00533EE4">
        <w:t>district</w:t>
      </w:r>
      <w:r w:rsidR="00A905A6" w:rsidRPr="00533EE4">
        <w:t xml:space="preserve"> areas which make up the county</w:t>
      </w:r>
      <w:r w:rsidRPr="00533EE4">
        <w:t xml:space="preserve"> faces its own unique risks</w:t>
      </w:r>
      <w:r w:rsidR="00533EE4">
        <w:t>.  T</w:t>
      </w:r>
      <w:r w:rsidRPr="00533EE4">
        <w:t xml:space="preserve">o effectively assess the risk, district plans are developed based on local intelligence and </w:t>
      </w:r>
      <w:r w:rsidR="00533EE4">
        <w:t xml:space="preserve">are </w:t>
      </w:r>
      <w:r w:rsidRPr="00533EE4">
        <w:t>supported by a district intelligence profile that is produced annually.</w:t>
      </w:r>
      <w:r w:rsidR="00A905A6" w:rsidRPr="00533EE4">
        <w:t xml:space="preserve">  </w:t>
      </w:r>
      <w:r w:rsidRPr="00533EE4">
        <w:t>The purpose of the profiles is to highlight activity and risk across each district both in terms of incident, geographical and people risk.  This evidence-based document is designed to support the district plans by highlighting the most significant issues, the highest risk groups to target and the most significant areas to target.</w:t>
      </w:r>
    </w:p>
    <w:p w14:paraId="73696A46" w14:textId="2670A3FF" w:rsidR="00C67E7F" w:rsidRPr="00B118A8" w:rsidRDefault="00937DA5" w:rsidP="00EC0A23">
      <w:pPr>
        <w:rPr>
          <w:lang w:eastAsia="en-GB"/>
        </w:rPr>
      </w:pPr>
      <w:r w:rsidRPr="00B118A8">
        <w:rPr>
          <w:lang w:eastAsia="en-GB"/>
        </w:rPr>
        <w:t xml:space="preserve">The environment in which we operate is constantly changing and new risks to our communities will always emerge.  It is our job to ensure that we continually assess these changing risks and ensure we keep the communities of Lancashire safe through our assessment of risk and prioritising our response to those risks.  In addition to our annual </w:t>
      </w:r>
      <w:r w:rsidR="00D02585" w:rsidRPr="00B118A8">
        <w:rPr>
          <w:lang w:eastAsia="en-GB"/>
        </w:rPr>
        <w:t>process,</w:t>
      </w:r>
      <w:r w:rsidRPr="00B118A8">
        <w:rPr>
          <w:lang w:eastAsia="en-GB"/>
        </w:rPr>
        <w:t xml:space="preserve"> we continue to analyse any emerging opportunities and threats throughout the year through our normal risk management processes.</w:t>
      </w:r>
    </w:p>
    <w:p w14:paraId="47D82223" w14:textId="77777777" w:rsidR="00C67E7F" w:rsidRPr="008E0B8F" w:rsidRDefault="00C67E7F" w:rsidP="00745C17">
      <w:pPr>
        <w:rPr>
          <w:rFonts w:cs="Arial"/>
          <w:color w:val="000000" w:themeColor="text1"/>
          <w:szCs w:val="24"/>
          <w:highlight w:val="yellow"/>
          <w:lang w:eastAsia="en-GB"/>
        </w:rPr>
      </w:pPr>
      <w:r w:rsidRPr="008E0B8F">
        <w:rPr>
          <w:rFonts w:cs="Arial"/>
          <w:color w:val="000000" w:themeColor="text1"/>
          <w:szCs w:val="24"/>
          <w:highlight w:val="yellow"/>
          <w:lang w:eastAsia="en-GB"/>
        </w:rPr>
        <w:br w:type="page"/>
      </w:r>
    </w:p>
    <w:p w14:paraId="2E1F00E8" w14:textId="150057E5" w:rsidR="00937DA5" w:rsidRPr="00B118A8" w:rsidRDefault="002819A8" w:rsidP="00FF653C">
      <w:pPr>
        <w:pStyle w:val="Heading1"/>
        <w:rPr>
          <w:b w:val="0"/>
        </w:rPr>
      </w:pPr>
      <w:bookmarkStart w:id="10" w:name="_Toc22545642"/>
      <w:bookmarkStart w:id="11" w:name="_Toc74639645"/>
      <w:bookmarkStart w:id="12" w:name="_Toc155619839"/>
      <w:bookmarkStart w:id="13" w:name="_Toc155685684"/>
      <w:bookmarkStart w:id="14" w:name="_Toc208329908"/>
      <w:r w:rsidRPr="00B118A8">
        <w:lastRenderedPageBreak/>
        <w:t xml:space="preserve">Lancashire </w:t>
      </w:r>
      <w:r w:rsidR="00937DA5" w:rsidRPr="00B118A8">
        <w:t>Combined Fire Authority</w:t>
      </w:r>
      <w:bookmarkEnd w:id="10"/>
      <w:bookmarkEnd w:id="11"/>
      <w:bookmarkEnd w:id="12"/>
      <w:bookmarkEnd w:id="13"/>
      <w:bookmarkEnd w:id="14"/>
    </w:p>
    <w:p w14:paraId="4F987D87" w14:textId="1324FAEB" w:rsidR="003F4B35" w:rsidRPr="00B118A8" w:rsidRDefault="0070120A" w:rsidP="00EC0A23">
      <w:r w:rsidRPr="00B118A8">
        <w:rPr>
          <w:rFonts w:cs="Arial"/>
        </w:rPr>
        <w:t xml:space="preserve">The </w:t>
      </w:r>
      <w:r w:rsidR="00235950">
        <w:rPr>
          <w:rFonts w:cs="Arial"/>
        </w:rPr>
        <w:t>C</w:t>
      </w:r>
      <w:r w:rsidR="00C17120">
        <w:rPr>
          <w:rFonts w:cs="Arial"/>
        </w:rPr>
        <w:t>ombined</w:t>
      </w:r>
      <w:r w:rsidR="00D71765">
        <w:rPr>
          <w:rFonts w:cs="Arial"/>
        </w:rPr>
        <w:t xml:space="preserve"> </w:t>
      </w:r>
      <w:r w:rsidR="00235950">
        <w:rPr>
          <w:rFonts w:cs="Arial"/>
        </w:rPr>
        <w:t>F</w:t>
      </w:r>
      <w:r w:rsidR="00D71765">
        <w:rPr>
          <w:rFonts w:cs="Arial"/>
        </w:rPr>
        <w:t xml:space="preserve">ire </w:t>
      </w:r>
      <w:r w:rsidR="00235950">
        <w:rPr>
          <w:rFonts w:cs="Arial"/>
        </w:rPr>
        <w:t>A</w:t>
      </w:r>
      <w:r w:rsidR="00D71765">
        <w:rPr>
          <w:rFonts w:cs="Arial"/>
        </w:rPr>
        <w:t>uthority</w:t>
      </w:r>
      <w:r w:rsidR="007B70C0">
        <w:rPr>
          <w:rFonts w:cs="Arial"/>
        </w:rPr>
        <w:t xml:space="preserve"> (CFA)</w:t>
      </w:r>
      <w:r w:rsidRPr="00B118A8">
        <w:rPr>
          <w:rFonts w:cs="Arial"/>
        </w:rPr>
        <w:t xml:space="preserve"> is responsible for leading and supporting</w:t>
      </w:r>
      <w:r w:rsidR="00BB2639">
        <w:rPr>
          <w:rFonts w:cs="Arial"/>
        </w:rPr>
        <w:t xml:space="preserve"> </w:t>
      </w:r>
      <w:r w:rsidR="00BB2639" w:rsidRPr="00B118A8">
        <w:rPr>
          <w:lang w:eastAsia="en-GB"/>
        </w:rPr>
        <w:t>L</w:t>
      </w:r>
      <w:r w:rsidR="00BB2639">
        <w:rPr>
          <w:lang w:eastAsia="en-GB"/>
        </w:rPr>
        <w:t xml:space="preserve">ancashire </w:t>
      </w:r>
      <w:r w:rsidR="007B70C0">
        <w:rPr>
          <w:lang w:eastAsia="en-GB"/>
        </w:rPr>
        <w:t>F</w:t>
      </w:r>
      <w:r w:rsidR="00BB2639">
        <w:rPr>
          <w:lang w:eastAsia="en-GB"/>
        </w:rPr>
        <w:t xml:space="preserve">ire and </w:t>
      </w:r>
      <w:r w:rsidR="007B70C0">
        <w:rPr>
          <w:lang w:eastAsia="en-GB"/>
        </w:rPr>
        <w:t>R</w:t>
      </w:r>
      <w:r w:rsidR="00BB2639">
        <w:rPr>
          <w:lang w:eastAsia="en-GB"/>
        </w:rPr>
        <w:t xml:space="preserve">escue </w:t>
      </w:r>
      <w:r w:rsidR="007B70C0">
        <w:rPr>
          <w:lang w:eastAsia="en-GB"/>
        </w:rPr>
        <w:t>S</w:t>
      </w:r>
      <w:r w:rsidR="00BB2639">
        <w:rPr>
          <w:lang w:eastAsia="en-GB"/>
        </w:rPr>
        <w:t>ervice</w:t>
      </w:r>
      <w:r w:rsidRPr="00B118A8">
        <w:rPr>
          <w:rFonts w:cs="Arial"/>
        </w:rPr>
        <w:t xml:space="preserve">. </w:t>
      </w:r>
      <w:r w:rsidR="003B3330" w:rsidRPr="00B118A8">
        <w:rPr>
          <w:rFonts w:cs="Arial"/>
        </w:rPr>
        <w:t xml:space="preserve"> </w:t>
      </w:r>
      <w:r w:rsidRPr="00B118A8">
        <w:rPr>
          <w:rFonts w:cs="Arial"/>
        </w:rPr>
        <w:t>The</w:t>
      </w:r>
      <w:r w:rsidR="00D71765">
        <w:rPr>
          <w:rFonts w:cs="Arial"/>
        </w:rPr>
        <w:t xml:space="preserve"> </w:t>
      </w:r>
      <w:r w:rsidR="007B70C0">
        <w:rPr>
          <w:rFonts w:cs="Arial"/>
        </w:rPr>
        <w:t>CFA</w:t>
      </w:r>
      <w:r w:rsidR="00D71765" w:rsidRPr="00B118A8">
        <w:rPr>
          <w:rFonts w:cs="Arial"/>
        </w:rPr>
        <w:t xml:space="preserve"> </w:t>
      </w:r>
      <w:r w:rsidR="00D71765">
        <w:rPr>
          <w:rFonts w:cs="Arial"/>
        </w:rPr>
        <w:t xml:space="preserve">has </w:t>
      </w:r>
      <w:r w:rsidRPr="00B118A8">
        <w:rPr>
          <w:rFonts w:cs="Arial"/>
        </w:rPr>
        <w:t>a membership of 25 elected councillors consisting of 19 from Lancashire County Council, 3 from Blackburn with Darwen Council and</w:t>
      </w:r>
      <w:r w:rsidR="003B3330" w:rsidRPr="00B118A8">
        <w:rPr>
          <w:rFonts w:cs="Arial"/>
        </w:rPr>
        <w:t xml:space="preserve"> </w:t>
      </w:r>
      <w:r w:rsidRPr="00B118A8">
        <w:rPr>
          <w:rFonts w:cs="Arial"/>
        </w:rPr>
        <w:t xml:space="preserve">3 from Blackpool Council. </w:t>
      </w:r>
      <w:r w:rsidR="00435BEF" w:rsidRPr="00B118A8">
        <w:rPr>
          <w:rFonts w:cs="Arial"/>
        </w:rPr>
        <w:t xml:space="preserve"> </w:t>
      </w:r>
      <w:r w:rsidRPr="00B118A8">
        <w:rPr>
          <w:rFonts w:cs="Arial"/>
        </w:rPr>
        <w:t xml:space="preserve">Under the Fire and Rescue Services Act 2004 the </w:t>
      </w:r>
      <w:r w:rsidR="007B70C0">
        <w:rPr>
          <w:rFonts w:cs="Arial"/>
        </w:rPr>
        <w:t>CFA</w:t>
      </w:r>
      <w:r w:rsidR="00D71765" w:rsidRPr="00B118A8">
        <w:rPr>
          <w:rFonts w:cs="Arial"/>
        </w:rPr>
        <w:t xml:space="preserve"> </w:t>
      </w:r>
      <w:r w:rsidRPr="00B118A8">
        <w:rPr>
          <w:rFonts w:cs="Arial"/>
        </w:rPr>
        <w:t>is legally required to enforce fire safety legislation and to reduce the risk of fire causing death,</w:t>
      </w:r>
      <w:r w:rsidR="003B3330" w:rsidRPr="00B118A8">
        <w:rPr>
          <w:rFonts w:cs="Arial"/>
        </w:rPr>
        <w:t xml:space="preserve"> </w:t>
      </w:r>
      <w:r w:rsidRPr="00B118A8">
        <w:rPr>
          <w:rFonts w:cs="Arial"/>
        </w:rPr>
        <w:t>severe</w:t>
      </w:r>
      <w:r w:rsidR="003B3330" w:rsidRPr="00B118A8">
        <w:rPr>
          <w:rFonts w:cs="Arial"/>
        </w:rPr>
        <w:t xml:space="preserve"> </w:t>
      </w:r>
      <w:r w:rsidRPr="00B118A8">
        <w:rPr>
          <w:rFonts w:cs="Arial"/>
        </w:rPr>
        <w:t>injury</w:t>
      </w:r>
      <w:r w:rsidR="003B3330" w:rsidRPr="00B118A8">
        <w:rPr>
          <w:rFonts w:cs="Arial"/>
        </w:rPr>
        <w:t xml:space="preserve"> </w:t>
      </w:r>
      <w:r w:rsidRPr="00B118A8">
        <w:rPr>
          <w:rFonts w:cs="Arial"/>
        </w:rPr>
        <w:t>and property related losses to the community.</w:t>
      </w:r>
      <w:r w:rsidR="003B3330" w:rsidRPr="00B118A8">
        <w:rPr>
          <w:rFonts w:cs="Arial"/>
        </w:rPr>
        <w:t xml:space="preserve"> </w:t>
      </w:r>
      <w:r w:rsidRPr="00B118A8">
        <w:rPr>
          <w:rFonts w:cs="Arial"/>
        </w:rPr>
        <w:t xml:space="preserve"> It must also make provision for rescuing people in the event of road traffic collisions and for protecting people from serious harm arising from road traffic collisions in the Lancashire area.</w:t>
      </w:r>
    </w:p>
    <w:p w14:paraId="35B81291" w14:textId="758C49FE" w:rsidR="003F4B35" w:rsidRPr="00B118A8" w:rsidRDefault="0070120A" w:rsidP="00EC0A23">
      <w:r w:rsidRPr="00B118A8">
        <w:rPr>
          <w:rFonts w:cs="Arial"/>
        </w:rPr>
        <w:t>The</w:t>
      </w:r>
      <w:r w:rsidR="00D71765">
        <w:rPr>
          <w:rFonts w:cs="Arial"/>
        </w:rPr>
        <w:t xml:space="preserve"> </w:t>
      </w:r>
      <w:r w:rsidR="007B70C0">
        <w:rPr>
          <w:rFonts w:cs="Arial"/>
        </w:rPr>
        <w:t>CFA</w:t>
      </w:r>
      <w:r w:rsidR="00F02673">
        <w:rPr>
          <w:rFonts w:cs="Arial"/>
        </w:rPr>
        <w:t xml:space="preserve"> </w:t>
      </w:r>
      <w:r w:rsidR="00D71765">
        <w:rPr>
          <w:rFonts w:cs="Arial"/>
        </w:rPr>
        <w:t>are le</w:t>
      </w:r>
      <w:r w:rsidRPr="00B118A8">
        <w:rPr>
          <w:rFonts w:cs="Arial"/>
        </w:rPr>
        <w:t>gally responsible for the enforcement of the Regulatory Reform 2005 (Fire Safety) Order which is applicable across England and Wales.</w:t>
      </w:r>
      <w:r w:rsidR="003B3330" w:rsidRPr="00B118A8">
        <w:rPr>
          <w:rFonts w:cs="Arial"/>
        </w:rPr>
        <w:t xml:space="preserve"> </w:t>
      </w:r>
      <w:r w:rsidRPr="00B118A8">
        <w:rPr>
          <w:rFonts w:cs="Arial"/>
        </w:rPr>
        <w:t xml:space="preserve"> This Order</w:t>
      </w:r>
      <w:r w:rsidR="003B3330" w:rsidRPr="00B118A8">
        <w:rPr>
          <w:rFonts w:cs="Arial"/>
        </w:rPr>
        <w:t xml:space="preserve"> </w:t>
      </w:r>
      <w:r w:rsidRPr="00B118A8">
        <w:rPr>
          <w:rFonts w:cs="Arial"/>
        </w:rPr>
        <w:t>places the responsibility on individuals within an organisation to carry out risk assessments to identify, manage and reduce the risk of fire within public and commercial buildings.</w:t>
      </w:r>
    </w:p>
    <w:p w14:paraId="7905AE16" w14:textId="7BB25CA8" w:rsidR="00340809" w:rsidRPr="008E0B8F" w:rsidRDefault="0070120A" w:rsidP="00D20288">
      <w:pPr>
        <w:rPr>
          <w:highlight w:val="yellow"/>
        </w:rPr>
      </w:pPr>
      <w:r w:rsidRPr="00B118A8">
        <w:rPr>
          <w:rFonts w:cs="Arial"/>
        </w:rPr>
        <w:t xml:space="preserve">The </w:t>
      </w:r>
      <w:r w:rsidR="007B70C0">
        <w:rPr>
          <w:rFonts w:cs="Arial"/>
        </w:rPr>
        <w:t>CFA</w:t>
      </w:r>
      <w:r w:rsidR="003B3330" w:rsidRPr="00B118A8">
        <w:rPr>
          <w:rFonts w:cs="Arial"/>
        </w:rPr>
        <w:t xml:space="preserve"> </w:t>
      </w:r>
      <w:r w:rsidRPr="00B118A8">
        <w:rPr>
          <w:rFonts w:cs="Arial"/>
        </w:rPr>
        <w:t>governs</w:t>
      </w:r>
      <w:r w:rsidR="00BB2639">
        <w:rPr>
          <w:rFonts w:cs="Arial"/>
        </w:rPr>
        <w:t xml:space="preserve"> </w:t>
      </w:r>
      <w:r w:rsidR="00BB2639" w:rsidRPr="00B118A8">
        <w:rPr>
          <w:lang w:eastAsia="en-GB"/>
        </w:rPr>
        <w:t>L</w:t>
      </w:r>
      <w:r w:rsidR="00BB2639">
        <w:rPr>
          <w:lang w:eastAsia="en-GB"/>
        </w:rPr>
        <w:t xml:space="preserve">ancashire </w:t>
      </w:r>
      <w:r w:rsidR="007B70C0">
        <w:rPr>
          <w:lang w:eastAsia="en-GB"/>
        </w:rPr>
        <w:t>F</w:t>
      </w:r>
      <w:r w:rsidR="00BB2639">
        <w:rPr>
          <w:lang w:eastAsia="en-GB"/>
        </w:rPr>
        <w:t xml:space="preserve">ire and </w:t>
      </w:r>
      <w:r w:rsidR="007B70C0">
        <w:rPr>
          <w:lang w:eastAsia="en-GB"/>
        </w:rPr>
        <w:t>R</w:t>
      </w:r>
      <w:r w:rsidR="00BB2639">
        <w:rPr>
          <w:lang w:eastAsia="en-GB"/>
        </w:rPr>
        <w:t xml:space="preserve">escue </w:t>
      </w:r>
      <w:r w:rsidR="007B70C0">
        <w:rPr>
          <w:lang w:eastAsia="en-GB"/>
        </w:rPr>
        <w:t>S</w:t>
      </w:r>
      <w:r w:rsidR="00BB2639">
        <w:rPr>
          <w:lang w:eastAsia="en-GB"/>
        </w:rPr>
        <w:t xml:space="preserve">ervice, which </w:t>
      </w:r>
      <w:r w:rsidRPr="00B118A8">
        <w:rPr>
          <w:rFonts w:cs="Arial"/>
        </w:rPr>
        <w:t>is</w:t>
      </w:r>
      <w:r w:rsidR="003B3330" w:rsidRPr="00B118A8">
        <w:rPr>
          <w:rFonts w:cs="Arial"/>
        </w:rPr>
        <w:t xml:space="preserve"> </w:t>
      </w:r>
      <w:r w:rsidRPr="00B118A8">
        <w:rPr>
          <w:rFonts w:cs="Arial"/>
        </w:rPr>
        <w:t xml:space="preserve">a designated Category 1 responder under the Civil Contingencies Act 2004. </w:t>
      </w:r>
      <w:r w:rsidR="003B3330" w:rsidRPr="00B118A8">
        <w:rPr>
          <w:rFonts w:cs="Arial"/>
        </w:rPr>
        <w:t xml:space="preserve"> </w:t>
      </w:r>
      <w:r w:rsidRPr="00B118A8">
        <w:rPr>
          <w:rFonts w:cs="Arial"/>
        </w:rPr>
        <w:t>This Act requires emergency responders in England and Wales to co-operate in maintaining a public</w:t>
      </w:r>
      <w:r w:rsidR="003B3330" w:rsidRPr="00B118A8">
        <w:rPr>
          <w:rFonts w:cs="Arial"/>
        </w:rPr>
        <w:t xml:space="preserve"> </w:t>
      </w:r>
      <w:r w:rsidRPr="00B118A8">
        <w:rPr>
          <w:rFonts w:cs="Arial"/>
        </w:rPr>
        <w:t>community</w:t>
      </w:r>
      <w:r w:rsidR="003B3330" w:rsidRPr="00B118A8">
        <w:rPr>
          <w:rFonts w:cs="Arial"/>
        </w:rPr>
        <w:t xml:space="preserve"> </w:t>
      </w:r>
      <w:r w:rsidRPr="00B118A8">
        <w:rPr>
          <w:rFonts w:cs="Arial"/>
        </w:rPr>
        <w:t>risk</w:t>
      </w:r>
      <w:r w:rsidR="003B3330" w:rsidRPr="00B118A8">
        <w:rPr>
          <w:rFonts w:cs="Arial"/>
        </w:rPr>
        <w:t xml:space="preserve"> </w:t>
      </w:r>
      <w:r w:rsidRPr="00B118A8">
        <w:rPr>
          <w:rFonts w:cs="Arial"/>
        </w:rPr>
        <w:t>register</w:t>
      </w:r>
      <w:r w:rsidR="003B3330" w:rsidRPr="00B118A8">
        <w:rPr>
          <w:rFonts w:cs="Arial"/>
        </w:rPr>
        <w:t xml:space="preserve"> </w:t>
      </w:r>
      <w:r w:rsidRPr="00B118A8">
        <w:rPr>
          <w:rFonts w:cs="Arial"/>
        </w:rPr>
        <w:t xml:space="preserve">which is a product of the </w:t>
      </w:r>
      <w:r w:rsidR="00F84C42" w:rsidRPr="008D0104">
        <w:t>L</w:t>
      </w:r>
      <w:r w:rsidR="00F84C42">
        <w:t xml:space="preserve">ancashire </w:t>
      </w:r>
      <w:r w:rsidR="007B70C0">
        <w:t>R</w:t>
      </w:r>
      <w:r w:rsidR="00F84C42">
        <w:t xml:space="preserve">esilience </w:t>
      </w:r>
      <w:r w:rsidR="007B70C0">
        <w:t>F</w:t>
      </w:r>
      <w:r w:rsidR="00F84C42">
        <w:t>orum</w:t>
      </w:r>
      <w:r w:rsidR="007B70C0">
        <w:t xml:space="preserve"> (LRF)</w:t>
      </w:r>
      <w:r w:rsidRPr="00B118A8">
        <w:rPr>
          <w:rFonts w:cs="Arial"/>
        </w:rPr>
        <w:t xml:space="preserve">. </w:t>
      </w:r>
      <w:r w:rsidR="003B3330" w:rsidRPr="00B118A8">
        <w:rPr>
          <w:rFonts w:cs="Arial"/>
        </w:rPr>
        <w:t xml:space="preserve"> </w:t>
      </w:r>
      <w:r w:rsidRPr="00B118A8">
        <w:rPr>
          <w:rFonts w:cs="Arial"/>
        </w:rPr>
        <w:t>The</w:t>
      </w:r>
      <w:r w:rsidR="00F84C42">
        <w:rPr>
          <w:rFonts w:cs="Arial"/>
        </w:rPr>
        <w:t xml:space="preserve"> </w:t>
      </w:r>
      <w:r w:rsidR="00F84C42" w:rsidRPr="008D0104">
        <w:t>L</w:t>
      </w:r>
      <w:r w:rsidR="00F84C42">
        <w:t xml:space="preserve">ancashire </w:t>
      </w:r>
      <w:r w:rsidR="00F02673">
        <w:t>R</w:t>
      </w:r>
      <w:r w:rsidR="00F84C42">
        <w:t xml:space="preserve">esilience </w:t>
      </w:r>
      <w:r w:rsidR="00F02673">
        <w:t>F</w:t>
      </w:r>
      <w:r w:rsidR="00F84C42">
        <w:t>orum</w:t>
      </w:r>
      <w:r w:rsidR="003B3330" w:rsidRPr="00B118A8">
        <w:rPr>
          <w:rFonts w:cs="Arial"/>
        </w:rPr>
        <w:t xml:space="preserve"> </w:t>
      </w:r>
      <w:r w:rsidRPr="00B118A8">
        <w:rPr>
          <w:rFonts w:cs="Arial"/>
        </w:rPr>
        <w:t>gives</w:t>
      </w:r>
      <w:r w:rsidR="003B3330" w:rsidRPr="00B118A8">
        <w:rPr>
          <w:rFonts w:cs="Arial"/>
        </w:rPr>
        <w:t xml:space="preserve"> </w:t>
      </w:r>
      <w:r w:rsidRPr="00B118A8">
        <w:rPr>
          <w:rFonts w:cs="Arial"/>
        </w:rPr>
        <w:t>responders the opportunity to consult, collaborate and share information with each other</w:t>
      </w:r>
      <w:r w:rsidR="003B3330" w:rsidRPr="00B118A8">
        <w:rPr>
          <w:rFonts w:cs="Arial"/>
        </w:rPr>
        <w:t xml:space="preserve"> </w:t>
      </w:r>
      <w:r w:rsidRPr="00B118A8">
        <w:rPr>
          <w:rFonts w:cs="Arial"/>
        </w:rPr>
        <w:t>to</w:t>
      </w:r>
      <w:r w:rsidR="003B3330" w:rsidRPr="00B118A8">
        <w:rPr>
          <w:rFonts w:cs="Arial"/>
        </w:rPr>
        <w:t xml:space="preserve"> </w:t>
      </w:r>
      <w:r w:rsidRPr="00B118A8">
        <w:rPr>
          <w:rFonts w:cs="Arial"/>
        </w:rPr>
        <w:t>facilitate planning and response to emergencies.</w:t>
      </w:r>
    </w:p>
    <w:p w14:paraId="50E04416" w14:textId="285F82BD" w:rsidR="00C966C1" w:rsidRPr="00A74E9A" w:rsidRDefault="00937DA5" w:rsidP="00FF653C">
      <w:pPr>
        <w:pStyle w:val="Heading1"/>
        <w:rPr>
          <w:b w:val="0"/>
          <w:lang w:eastAsia="en-GB"/>
        </w:rPr>
      </w:pPr>
      <w:bookmarkStart w:id="15" w:name="_Toc74639646"/>
      <w:bookmarkStart w:id="16" w:name="_Toc155619840"/>
      <w:bookmarkStart w:id="17" w:name="_Toc155685685"/>
      <w:bookmarkStart w:id="18" w:name="_Toc208329909"/>
      <w:r w:rsidRPr="00A74E9A">
        <w:rPr>
          <w:lang w:eastAsia="en-GB"/>
        </w:rPr>
        <w:t>About Lancashire</w:t>
      </w:r>
      <w:bookmarkEnd w:id="15"/>
      <w:bookmarkEnd w:id="16"/>
      <w:bookmarkEnd w:id="17"/>
      <w:bookmarkEnd w:id="18"/>
    </w:p>
    <w:p w14:paraId="5C3721E8" w14:textId="495064F8" w:rsidR="00937DA5" w:rsidRPr="00A74E9A" w:rsidRDefault="00937DA5" w:rsidP="00EC0A23">
      <w:pPr>
        <w:rPr>
          <w:shd w:val="clear" w:color="auto" w:fill="FFFFFF"/>
        </w:rPr>
      </w:pPr>
      <w:r w:rsidRPr="00A74E9A">
        <w:rPr>
          <w:shd w:val="clear" w:color="auto" w:fill="FFFFFF"/>
        </w:rPr>
        <w:t>We respond to the area of Lancashire, covering</w:t>
      </w:r>
      <w:r w:rsidR="003B3330" w:rsidRPr="00A74E9A">
        <w:rPr>
          <w:shd w:val="clear" w:color="auto" w:fill="FFFFFF"/>
        </w:rPr>
        <w:t xml:space="preserve"> </w:t>
      </w:r>
      <w:r w:rsidRPr="00A74E9A">
        <w:rPr>
          <w:shd w:val="clear" w:color="auto" w:fill="FFFFFF"/>
        </w:rPr>
        <w:t xml:space="preserve">3,076 </w:t>
      </w:r>
      <w:r w:rsidR="62123C5B" w:rsidRPr="00A74E9A">
        <w:rPr>
          <w:shd w:val="clear" w:color="auto" w:fill="FFFFFF"/>
        </w:rPr>
        <w:t>sq.</w:t>
      </w:r>
      <w:r w:rsidRPr="00A74E9A">
        <w:rPr>
          <w:shd w:val="clear" w:color="auto" w:fill="FFFFFF"/>
        </w:rPr>
        <w:t xml:space="preserve"> km and with a large resident population,</w:t>
      </w:r>
      <w:r w:rsidR="003B3330" w:rsidRPr="00A74E9A">
        <w:rPr>
          <w:shd w:val="clear" w:color="auto" w:fill="FFFFFF"/>
        </w:rPr>
        <w:t xml:space="preserve"> </w:t>
      </w:r>
      <w:r w:rsidRPr="00A74E9A">
        <w:rPr>
          <w:shd w:val="clear" w:color="auto" w:fill="FFFFFF"/>
        </w:rPr>
        <w:t>the Lancashire-14 area</w:t>
      </w:r>
      <w:r w:rsidR="003B3330" w:rsidRPr="00A74E9A">
        <w:rPr>
          <w:shd w:val="clear" w:color="auto" w:fill="FFFFFF"/>
        </w:rPr>
        <w:t xml:space="preserve"> </w:t>
      </w:r>
      <w:r w:rsidRPr="00A74E9A">
        <w:rPr>
          <w:shd w:val="clear" w:color="auto" w:fill="FFFFFF"/>
        </w:rPr>
        <w:t>is one of the most populous and urbanised</w:t>
      </w:r>
      <w:r w:rsidR="003B3330" w:rsidRPr="00A74E9A">
        <w:rPr>
          <w:shd w:val="clear" w:color="auto" w:fill="FFFFFF"/>
        </w:rPr>
        <w:t xml:space="preserve"> </w:t>
      </w:r>
      <w:r w:rsidRPr="00A74E9A">
        <w:rPr>
          <w:shd w:val="clear" w:color="auto" w:fill="FFFFFF"/>
        </w:rPr>
        <w:t xml:space="preserve">localities in Britain, but still manages to be an area of astonishing diversity. </w:t>
      </w:r>
      <w:r w:rsidR="003B3330" w:rsidRPr="00A74E9A">
        <w:rPr>
          <w:shd w:val="clear" w:color="auto" w:fill="FFFFFF"/>
        </w:rPr>
        <w:t xml:space="preserve"> </w:t>
      </w:r>
      <w:r w:rsidRPr="00A74E9A">
        <w:rPr>
          <w:shd w:val="clear" w:color="auto" w:fill="FFFFFF"/>
        </w:rPr>
        <w:t>The 20</w:t>
      </w:r>
      <w:r w:rsidR="00853737" w:rsidRPr="00A74E9A">
        <w:rPr>
          <w:shd w:val="clear" w:color="auto" w:fill="FFFFFF"/>
        </w:rPr>
        <w:t>2</w:t>
      </w:r>
      <w:r w:rsidRPr="00A74E9A">
        <w:rPr>
          <w:shd w:val="clear" w:color="auto" w:fill="FFFFFF"/>
        </w:rPr>
        <w:t xml:space="preserve">1 Census usual resident population figure for Lancashire-14 area was </w:t>
      </w:r>
      <w:r w:rsidR="00853737" w:rsidRPr="00A74E9A">
        <w:rPr>
          <w:shd w:val="clear" w:color="auto" w:fill="FFFFFF"/>
        </w:rPr>
        <w:t>1,531,200</w:t>
      </w:r>
      <w:r w:rsidRPr="00A74E9A">
        <w:rPr>
          <w:shd w:val="clear" w:color="auto" w:fill="FFFFFF"/>
        </w:rPr>
        <w:t xml:space="preserve">; all of whom we aim to target and serve.  This represented an increase of </w:t>
      </w:r>
      <w:r w:rsidR="00853737" w:rsidRPr="00A74E9A">
        <w:rPr>
          <w:shd w:val="clear" w:color="auto" w:fill="FFFFFF"/>
        </w:rPr>
        <w:t>70,300</w:t>
      </w:r>
      <w:r w:rsidRPr="00A74E9A">
        <w:rPr>
          <w:shd w:val="clear" w:color="auto" w:fill="FFFFFF"/>
        </w:rPr>
        <w:t xml:space="preserve"> people or a population growth rate of </w:t>
      </w:r>
      <w:r w:rsidR="00853737" w:rsidRPr="00A74E9A">
        <w:rPr>
          <w:shd w:val="clear" w:color="auto" w:fill="FFFFFF"/>
        </w:rPr>
        <w:t>4.8</w:t>
      </w:r>
      <w:r w:rsidRPr="00A74E9A">
        <w:rPr>
          <w:shd w:val="clear" w:color="auto" w:fill="FFFFFF"/>
        </w:rPr>
        <w:t>% since the last census in 20</w:t>
      </w:r>
      <w:r w:rsidR="0068335D" w:rsidRPr="00A74E9A">
        <w:rPr>
          <w:shd w:val="clear" w:color="auto" w:fill="FFFFFF"/>
        </w:rPr>
        <w:t>1</w:t>
      </w:r>
      <w:r w:rsidRPr="00A74E9A">
        <w:rPr>
          <w:shd w:val="clear" w:color="auto" w:fill="FFFFFF"/>
        </w:rPr>
        <w:t>1.</w:t>
      </w:r>
    </w:p>
    <w:p w14:paraId="57AC7B91" w14:textId="6979E5BD" w:rsidR="00C67E7F" w:rsidRPr="00A74E9A" w:rsidRDefault="00937DA5" w:rsidP="00EC0A23">
      <w:pPr>
        <w:rPr>
          <w:shd w:val="clear" w:color="auto" w:fill="FFFFFF"/>
        </w:rPr>
      </w:pPr>
      <w:r w:rsidRPr="00A74E9A">
        <w:rPr>
          <w:shd w:val="clear" w:color="auto" w:fill="FFFFFF"/>
        </w:rPr>
        <w:t xml:space="preserve">Our </w:t>
      </w:r>
      <w:r w:rsidR="003F4B35" w:rsidRPr="00A74E9A">
        <w:rPr>
          <w:shd w:val="clear" w:color="auto" w:fill="FFFFFF"/>
        </w:rPr>
        <w:t>s</w:t>
      </w:r>
      <w:r w:rsidRPr="00A74E9A">
        <w:rPr>
          <w:shd w:val="clear" w:color="auto" w:fill="FFFFFF"/>
        </w:rPr>
        <w:t xml:space="preserve">ervice is split into six </w:t>
      </w:r>
      <w:r w:rsidR="007B70C0">
        <w:rPr>
          <w:shd w:val="clear" w:color="auto" w:fill="FFFFFF"/>
        </w:rPr>
        <w:t>areas</w:t>
      </w:r>
      <w:r w:rsidRPr="00A74E9A">
        <w:rPr>
          <w:shd w:val="clear" w:color="auto" w:fill="FFFFFF"/>
        </w:rPr>
        <w:t xml:space="preserve">, all with their own unique challenges and risks that influence our prevention, </w:t>
      </w:r>
      <w:r w:rsidR="00C67E7F" w:rsidRPr="00A74E9A">
        <w:rPr>
          <w:shd w:val="clear" w:color="auto" w:fill="FFFFFF"/>
        </w:rPr>
        <w:t>protection,</w:t>
      </w:r>
      <w:r w:rsidRPr="00A74E9A">
        <w:rPr>
          <w:shd w:val="clear" w:color="auto" w:fill="FFFFFF"/>
        </w:rPr>
        <w:t xml:space="preserve"> and response activities locally. </w:t>
      </w:r>
      <w:r w:rsidR="003B3330" w:rsidRPr="00A74E9A">
        <w:rPr>
          <w:shd w:val="clear" w:color="auto" w:fill="FFFFFF"/>
        </w:rPr>
        <w:t xml:space="preserve"> </w:t>
      </w:r>
      <w:r w:rsidRPr="00A74E9A">
        <w:rPr>
          <w:shd w:val="clear" w:color="auto" w:fill="FFFFFF"/>
        </w:rPr>
        <w:t xml:space="preserve">These </w:t>
      </w:r>
      <w:r w:rsidR="007B70C0">
        <w:rPr>
          <w:shd w:val="clear" w:color="auto" w:fill="FFFFFF"/>
        </w:rPr>
        <w:t>areas</w:t>
      </w:r>
      <w:r w:rsidR="007B70C0" w:rsidRPr="00A74E9A">
        <w:rPr>
          <w:shd w:val="clear" w:color="auto" w:fill="FFFFFF"/>
        </w:rPr>
        <w:t xml:space="preserve"> </w:t>
      </w:r>
      <w:r w:rsidRPr="00A74E9A">
        <w:rPr>
          <w:shd w:val="clear" w:color="auto" w:fill="FFFFFF"/>
        </w:rPr>
        <w:t>are</w:t>
      </w:r>
      <w:r w:rsidR="00C67E7F" w:rsidRPr="00A74E9A">
        <w:rPr>
          <w:shd w:val="clear" w:color="auto" w:fill="FFFFFF"/>
        </w:rPr>
        <w:t xml:space="preserve"> </w:t>
      </w:r>
      <w:r w:rsidRPr="00A74E9A">
        <w:rPr>
          <w:shd w:val="clear" w:color="auto" w:fill="FFFFFF"/>
        </w:rPr>
        <w:t xml:space="preserve">Central, </w:t>
      </w:r>
      <w:r w:rsidR="00C67E7F" w:rsidRPr="00A74E9A">
        <w:rPr>
          <w:shd w:val="clear" w:color="auto" w:fill="FFFFFF"/>
        </w:rPr>
        <w:t>Eastern, Northern, Pennine</w:t>
      </w:r>
      <w:r w:rsidR="2A258A5F" w:rsidRPr="00A74E9A">
        <w:rPr>
          <w:shd w:val="clear" w:color="auto" w:fill="FFFFFF"/>
        </w:rPr>
        <w:t>, Southern</w:t>
      </w:r>
      <w:r w:rsidR="00C67E7F" w:rsidRPr="00A74E9A">
        <w:rPr>
          <w:shd w:val="clear" w:color="auto" w:fill="FFFFFF"/>
        </w:rPr>
        <w:t xml:space="preserve"> and Western.</w:t>
      </w:r>
    </w:p>
    <w:p w14:paraId="4785F9C7" w14:textId="0C935252" w:rsidR="00937DA5" w:rsidRPr="00A74E9A" w:rsidRDefault="00937DA5" w:rsidP="00EC0A23">
      <w:pPr>
        <w:rPr>
          <w:shd w:val="clear" w:color="auto" w:fill="FFFFFF"/>
        </w:rPr>
      </w:pPr>
      <w:r w:rsidRPr="00A74E9A">
        <w:rPr>
          <w:shd w:val="clear" w:color="auto" w:fill="FFFFFF"/>
        </w:rPr>
        <w:t>There is much to be admired in the traditional townscapes, however with a broad range of building types from stone-built dwellings and mills, timber frame apartments and iconic heritage listed buildings, the risk of the built environment is large and ever changing.</w:t>
      </w:r>
    </w:p>
    <w:p w14:paraId="79CC1CEF" w14:textId="11120332" w:rsidR="00937DA5" w:rsidRPr="00A74E9A" w:rsidRDefault="00937DA5" w:rsidP="00EC0A23">
      <w:pPr>
        <w:rPr>
          <w:rFonts w:eastAsia="Times New Roman"/>
          <w:lang w:eastAsia="en-GB"/>
        </w:rPr>
      </w:pPr>
      <w:r w:rsidRPr="00A74E9A">
        <w:rPr>
          <w:rFonts w:eastAsia="Times New Roman"/>
          <w:lang w:eastAsia="en-GB"/>
        </w:rPr>
        <w:t xml:space="preserve">Lancashire is well connected to bordering counties with an expansive range of transport networks, </w:t>
      </w:r>
      <w:r w:rsidR="00C67E7F" w:rsidRPr="00A74E9A">
        <w:rPr>
          <w:rFonts w:eastAsia="Times New Roman"/>
          <w:lang w:eastAsia="en-GB"/>
        </w:rPr>
        <w:t>including</w:t>
      </w:r>
      <w:r w:rsidRPr="00A74E9A">
        <w:rPr>
          <w:rFonts w:eastAsia="Times New Roman"/>
          <w:lang w:eastAsia="en-GB"/>
        </w:rPr>
        <w:t xml:space="preserve"> </w:t>
      </w:r>
      <w:r w:rsidR="003F4B35" w:rsidRPr="00A74E9A">
        <w:rPr>
          <w:rFonts w:eastAsia="Times New Roman"/>
          <w:lang w:eastAsia="en-GB"/>
        </w:rPr>
        <w:t xml:space="preserve">five </w:t>
      </w:r>
      <w:r w:rsidRPr="00A74E9A">
        <w:rPr>
          <w:rFonts w:eastAsia="Times New Roman"/>
          <w:lang w:eastAsia="en-GB"/>
        </w:rPr>
        <w:t xml:space="preserve">motorways and </w:t>
      </w:r>
      <w:r w:rsidR="0070120A" w:rsidRPr="00A74E9A">
        <w:rPr>
          <w:rFonts w:eastAsia="Times New Roman"/>
          <w:lang w:eastAsia="en-GB"/>
        </w:rPr>
        <w:t xml:space="preserve">5091.7km of road. </w:t>
      </w:r>
      <w:r w:rsidR="003B3330" w:rsidRPr="00A74E9A">
        <w:rPr>
          <w:rFonts w:eastAsia="Times New Roman"/>
          <w:lang w:eastAsia="en-GB"/>
        </w:rPr>
        <w:t xml:space="preserve"> </w:t>
      </w:r>
      <w:r w:rsidR="0070120A" w:rsidRPr="00A74E9A">
        <w:rPr>
          <w:rFonts w:eastAsia="Times New Roman"/>
          <w:lang w:eastAsia="en-GB"/>
        </w:rPr>
        <w:t>K</w:t>
      </w:r>
      <w:r w:rsidRPr="00A74E9A">
        <w:rPr>
          <w:rFonts w:eastAsia="Times New Roman"/>
          <w:lang w:eastAsia="en-GB"/>
        </w:rPr>
        <w:t>ey railway lines, shipping ports and airport</w:t>
      </w:r>
      <w:r w:rsidR="0070120A" w:rsidRPr="00A74E9A">
        <w:rPr>
          <w:rFonts w:eastAsia="Times New Roman"/>
          <w:lang w:eastAsia="en-GB"/>
        </w:rPr>
        <w:t>s can also be found within the region.</w:t>
      </w:r>
      <w:r w:rsidRPr="00A74E9A">
        <w:rPr>
          <w:rFonts w:eastAsia="Times New Roman"/>
          <w:lang w:eastAsia="en-GB"/>
        </w:rPr>
        <w:t xml:space="preserve"> </w:t>
      </w:r>
      <w:r w:rsidR="003B3330" w:rsidRPr="00A74E9A">
        <w:rPr>
          <w:rFonts w:eastAsia="Times New Roman"/>
          <w:lang w:eastAsia="en-GB"/>
        </w:rPr>
        <w:t xml:space="preserve"> </w:t>
      </w:r>
      <w:r w:rsidRPr="00A74E9A">
        <w:rPr>
          <w:rFonts w:eastAsia="Times New Roman"/>
          <w:lang w:eastAsia="en-GB"/>
        </w:rPr>
        <w:t xml:space="preserve">These provide rapid access for both </w:t>
      </w:r>
      <w:r w:rsidRPr="00A74E9A">
        <w:rPr>
          <w:rFonts w:eastAsia="Times New Roman"/>
          <w:lang w:eastAsia="en-GB"/>
        </w:rPr>
        <w:lastRenderedPageBreak/>
        <w:t>north-south and east-west travel, making Lancashire and other parts of the region easily accessible for work and tourism.</w:t>
      </w:r>
    </w:p>
    <w:p w14:paraId="267EEE44" w14:textId="68F82DCB" w:rsidR="00937DA5" w:rsidRPr="00A74E9A" w:rsidRDefault="00937DA5" w:rsidP="00EC0A23">
      <w:r w:rsidRPr="00A74E9A">
        <w:t>There is something for everyone in Lancashire, with</w:t>
      </w:r>
      <w:r w:rsidR="003B3330" w:rsidRPr="00A74E9A">
        <w:t xml:space="preserve"> </w:t>
      </w:r>
      <w:r w:rsidRPr="00A74E9A">
        <w:t>countryside,</w:t>
      </w:r>
      <w:r w:rsidR="003B3330" w:rsidRPr="00A74E9A">
        <w:t xml:space="preserve"> </w:t>
      </w:r>
      <w:r w:rsidRPr="00A74E9A">
        <w:t xml:space="preserve">canals, 123-km of coastline and towns attracting </w:t>
      </w:r>
      <w:r w:rsidR="00151AA7">
        <w:t>66.7</w:t>
      </w:r>
      <w:r w:rsidR="00115B9A">
        <w:t xml:space="preserve"> </w:t>
      </w:r>
      <w:r w:rsidRPr="00115B9A">
        <w:t xml:space="preserve">million visitors per year </w:t>
      </w:r>
      <w:r w:rsidR="00115B9A" w:rsidRPr="00EC0A23">
        <w:t>(the most recent 202</w:t>
      </w:r>
      <w:r w:rsidR="00151AA7">
        <w:t>3 STEAM</w:t>
      </w:r>
      <w:r w:rsidR="00115B9A" w:rsidRPr="00EC0A23">
        <w:t xml:space="preserve"> data shows a </w:t>
      </w:r>
      <w:r w:rsidR="00151AA7">
        <w:t>rise</w:t>
      </w:r>
      <w:r w:rsidR="00151AA7" w:rsidRPr="00EC0A23">
        <w:t xml:space="preserve"> </w:t>
      </w:r>
      <w:r w:rsidR="00115B9A" w:rsidRPr="00EC0A23">
        <w:t>from 6</w:t>
      </w:r>
      <w:r w:rsidR="00151AA7">
        <w:t>4.8</w:t>
      </w:r>
      <w:r w:rsidR="00115B9A" w:rsidRPr="00EC0A23">
        <w:t xml:space="preserve"> in 20</w:t>
      </w:r>
      <w:r w:rsidR="00151AA7">
        <w:t>22</w:t>
      </w:r>
      <w:r w:rsidR="00115B9A" w:rsidRPr="00EC0A23">
        <w:t xml:space="preserve">) </w:t>
      </w:r>
      <w:r w:rsidRPr="00115B9A">
        <w:t>with</w:t>
      </w:r>
      <w:r w:rsidRPr="00A74E9A">
        <w:t xml:space="preserve"> staying visitors accounting for approximately </w:t>
      </w:r>
      <w:r w:rsidR="00115B9A">
        <w:t>1</w:t>
      </w:r>
      <w:r w:rsidR="00151AA7">
        <w:t>2</w:t>
      </w:r>
      <w:r w:rsidRPr="00A74E9A">
        <w:t>% (</w:t>
      </w:r>
      <w:r w:rsidR="00151AA7">
        <w:t>7</w:t>
      </w:r>
      <w:r w:rsidR="00115B9A">
        <w:t>.8</w:t>
      </w:r>
      <w:r w:rsidRPr="00A74E9A">
        <w:t xml:space="preserve"> million).</w:t>
      </w:r>
    </w:p>
    <w:p w14:paraId="306A14F7" w14:textId="77777777" w:rsidR="00625CCA" w:rsidRDefault="00625CCA" w:rsidP="00625CCA">
      <w:pPr>
        <w:pStyle w:val="Heading1"/>
        <w:spacing w:after="0" w:line="240" w:lineRule="auto"/>
      </w:pPr>
      <w:bookmarkStart w:id="19" w:name="_Toc208329910"/>
      <w:bookmarkStart w:id="20" w:name="_Toc74639647"/>
      <w:bookmarkStart w:id="21" w:name="_Toc155619841"/>
      <w:bookmarkStart w:id="22" w:name="_Toc155685686"/>
      <w:r w:rsidRPr="00FC15CC">
        <w:t>Lancashire Fire and Rescue Service - community risk identification process</w:t>
      </w:r>
      <w:bookmarkEnd w:id="19"/>
    </w:p>
    <w:p w14:paraId="70B30671" w14:textId="77777777" w:rsidR="00625CCA" w:rsidRPr="007B1584" w:rsidRDefault="00625CCA" w:rsidP="00625CCA">
      <w:pPr>
        <w:jc w:val="center"/>
      </w:pPr>
      <w:r>
        <w:rPr>
          <w:noProof/>
        </w:rPr>
        <w:drawing>
          <wp:inline distT="0" distB="0" distL="0" distR="0" wp14:anchorId="089EF617" wp14:editId="55538A0D">
            <wp:extent cx="4979881" cy="4362450"/>
            <wp:effectExtent l="0" t="0" r="0" b="0"/>
            <wp:docPr id="134315595" name="Picture 3" descr="A flow chart that describes how national assessment of risk links to the National Risk Register of Civil Emergencies and Community risk register and feeds into Lancashire Fire and Rescue Service's corporate risk management which includes examples such as operational risk management and community risk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flow chart that describes how national assessment of risk links to the National Risk Register of Civil Emergencies and Community risk register and feeds into Lancashire Fire and Rescue Service's corporate risk management which includes examples such as operational risk management and community risk manag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l="5907" t="5064" r="3995" b="4751"/>
                    <a:stretch/>
                  </pic:blipFill>
                  <pic:spPr bwMode="auto">
                    <a:xfrm>
                      <a:off x="0" y="0"/>
                      <a:ext cx="5000694" cy="4380682"/>
                    </a:xfrm>
                    <a:prstGeom prst="rect">
                      <a:avLst/>
                    </a:prstGeom>
                    <a:noFill/>
                    <a:ln>
                      <a:noFill/>
                    </a:ln>
                    <a:extLst>
                      <a:ext uri="{53640926-AAD7-44D8-BBD7-CCE9431645EC}">
                        <a14:shadowObscured xmlns:a14="http://schemas.microsoft.com/office/drawing/2010/main"/>
                      </a:ext>
                    </a:extLst>
                  </pic:spPr>
                </pic:pic>
              </a:graphicData>
            </a:graphic>
          </wp:inline>
        </w:drawing>
      </w:r>
    </w:p>
    <w:p w14:paraId="1F0B1E87" w14:textId="314ACD97" w:rsidR="00625CCA" w:rsidRPr="007B1584" w:rsidRDefault="00625CCA" w:rsidP="00625CCA">
      <w:pPr>
        <w:pStyle w:val="NoSpacing"/>
        <w:rPr>
          <w:sz w:val="24"/>
          <w:szCs w:val="24"/>
        </w:rPr>
      </w:pPr>
      <w:r w:rsidRPr="007B1584">
        <w:rPr>
          <w:sz w:val="24"/>
          <w:szCs w:val="24"/>
        </w:rPr>
        <w:t>Figure 4</w:t>
      </w:r>
      <w:r>
        <w:rPr>
          <w:sz w:val="24"/>
          <w:szCs w:val="24"/>
        </w:rPr>
        <w:t>:</w:t>
      </w:r>
      <w:r w:rsidRPr="007B1584">
        <w:rPr>
          <w:sz w:val="24"/>
          <w:szCs w:val="24"/>
        </w:rPr>
        <w:t xml:space="preserve"> A Flow chart that describes how national assessment of risk links to the National Risk Register of Civil Emergencies and Community </w:t>
      </w:r>
      <w:r w:rsidR="00F02673">
        <w:rPr>
          <w:sz w:val="24"/>
          <w:szCs w:val="24"/>
        </w:rPr>
        <w:t>r</w:t>
      </w:r>
      <w:r w:rsidRPr="007B1584">
        <w:rPr>
          <w:sz w:val="24"/>
          <w:szCs w:val="24"/>
        </w:rPr>
        <w:t>isk register and feeds into Lancashire Fire and Rescue Service's corporate risk management which includes examples such as operational risk management and community risk management.</w:t>
      </w:r>
    </w:p>
    <w:p w14:paraId="203363B0" w14:textId="77777777" w:rsidR="00625CCA" w:rsidRPr="00DD4939" w:rsidRDefault="00625CCA" w:rsidP="00625CCA">
      <w:pPr>
        <w:pStyle w:val="Heading1"/>
      </w:pPr>
      <w:bookmarkStart w:id="23" w:name="_Toc208329911"/>
      <w:r w:rsidRPr="00DD4939">
        <w:lastRenderedPageBreak/>
        <w:t>National and local risks</w:t>
      </w:r>
      <w:bookmarkEnd w:id="23"/>
    </w:p>
    <w:p w14:paraId="6E84180C" w14:textId="77777777" w:rsidR="00625CCA" w:rsidRDefault="00625CCA" w:rsidP="00625CCA">
      <w:pPr>
        <w:pStyle w:val="Heading2"/>
      </w:pPr>
      <w:bookmarkStart w:id="24" w:name="_Toc208329912"/>
      <w:r>
        <w:t>National Risk Register</w:t>
      </w:r>
      <w:bookmarkEnd w:id="24"/>
    </w:p>
    <w:p w14:paraId="5C9B7EA4" w14:textId="0A162D31" w:rsidR="00625CCA" w:rsidRDefault="00625CCA" w:rsidP="004A49CC">
      <w:r w:rsidRPr="00DD4939">
        <w:t>The National Risk Register</w:t>
      </w:r>
      <w:r w:rsidR="009D5A7F">
        <w:t xml:space="preserve"> </w:t>
      </w:r>
      <w:r w:rsidRPr="00DD4939">
        <w:t>202</w:t>
      </w:r>
      <w:r w:rsidR="004A49CC">
        <w:t>5</w:t>
      </w:r>
      <w:r w:rsidRPr="00DD4939">
        <w:t xml:space="preserve"> </w:t>
      </w:r>
      <w:r w:rsidR="004A49CC">
        <w:t>is the external version of the National Security Risk Assessment (NSRA), which is the government’s assessment of the most serious risks facing the UK.</w:t>
      </w:r>
    </w:p>
    <w:p w14:paraId="1DE80F5B" w14:textId="6D87F545" w:rsidR="004A49CC" w:rsidRDefault="004A49CC" w:rsidP="004A49CC">
      <w:r>
        <w:t>The NRR includes information about 89 risks, within 9 risk themes – although several risks could be categorised under more than one theme. These are:</w:t>
      </w:r>
    </w:p>
    <w:p w14:paraId="6AA1E8C7" w14:textId="7C3DAF4D" w:rsidR="004A49CC" w:rsidRPr="00D0265C" w:rsidRDefault="004A49CC" w:rsidP="00D0265C">
      <w:pPr>
        <w:pStyle w:val="bullet"/>
      </w:pPr>
      <w:r w:rsidRPr="00D0265C">
        <w:t>Terrorism</w:t>
      </w:r>
    </w:p>
    <w:p w14:paraId="606C0883" w14:textId="2729FA20" w:rsidR="004A49CC" w:rsidRPr="00D0265C" w:rsidRDefault="004A49CC" w:rsidP="00D0265C">
      <w:pPr>
        <w:pStyle w:val="bullet"/>
      </w:pPr>
      <w:r w:rsidRPr="00D0265C">
        <w:t>Cyber</w:t>
      </w:r>
    </w:p>
    <w:p w14:paraId="2B8F6AD9" w14:textId="44C5AB0A" w:rsidR="004A49CC" w:rsidRPr="00D0265C" w:rsidRDefault="004A49CC" w:rsidP="00D0265C">
      <w:pPr>
        <w:pStyle w:val="bullet"/>
      </w:pPr>
      <w:r w:rsidRPr="00D0265C">
        <w:t>State Threats</w:t>
      </w:r>
    </w:p>
    <w:p w14:paraId="3802D7D5" w14:textId="66453133" w:rsidR="004A49CC" w:rsidRPr="00D0265C" w:rsidRDefault="004A49CC" w:rsidP="00D0265C">
      <w:pPr>
        <w:pStyle w:val="bullet"/>
      </w:pPr>
      <w:r w:rsidRPr="00D0265C">
        <w:t xml:space="preserve">Geographic and diplomatic </w:t>
      </w:r>
    </w:p>
    <w:p w14:paraId="601EC76A" w14:textId="53A7424B" w:rsidR="004A49CC" w:rsidRPr="00D0265C" w:rsidRDefault="004A49CC" w:rsidP="00D0265C">
      <w:pPr>
        <w:pStyle w:val="bullet"/>
      </w:pPr>
      <w:r w:rsidRPr="00D0265C">
        <w:t>Accidents and systems failures</w:t>
      </w:r>
    </w:p>
    <w:p w14:paraId="17D520D3" w14:textId="0133107C" w:rsidR="004A49CC" w:rsidRPr="00D0265C" w:rsidRDefault="004A49CC" w:rsidP="00D0265C">
      <w:pPr>
        <w:pStyle w:val="bullet"/>
      </w:pPr>
      <w:r w:rsidRPr="00D0265C">
        <w:t>Natural and environmental hazards</w:t>
      </w:r>
    </w:p>
    <w:p w14:paraId="66590708" w14:textId="3FA76488" w:rsidR="004A49CC" w:rsidRPr="00D0265C" w:rsidRDefault="004A49CC" w:rsidP="00D0265C">
      <w:pPr>
        <w:pStyle w:val="bullet"/>
      </w:pPr>
      <w:r w:rsidRPr="00D0265C">
        <w:t>Human, animal and plant health</w:t>
      </w:r>
    </w:p>
    <w:p w14:paraId="006FA995" w14:textId="1F354F18" w:rsidR="004A49CC" w:rsidRPr="00D0265C" w:rsidRDefault="004A49CC" w:rsidP="00D0265C">
      <w:pPr>
        <w:pStyle w:val="bullet"/>
      </w:pPr>
      <w:r w:rsidRPr="00D0265C">
        <w:t>Societal</w:t>
      </w:r>
    </w:p>
    <w:p w14:paraId="56C96D47" w14:textId="19E09874" w:rsidR="004A49CC" w:rsidRDefault="004A49CC" w:rsidP="00D0265C">
      <w:pPr>
        <w:pStyle w:val="bullet"/>
      </w:pPr>
      <w:r w:rsidRPr="00D0265C">
        <w:t>Conflict</w:t>
      </w:r>
      <w:r>
        <w:t xml:space="preserve"> and instability</w:t>
      </w:r>
    </w:p>
    <w:p w14:paraId="00D2E72F" w14:textId="77777777" w:rsidR="004A49CC" w:rsidRDefault="004A49CC" w:rsidP="004A49CC">
      <w:r>
        <w:t xml:space="preserve">The NRR assesses the likelihood and impact for each risk, following a rigorous and well-tested methodology </w:t>
      </w:r>
    </w:p>
    <w:p w14:paraId="54564433" w14:textId="5296DE17" w:rsidR="00625CCA" w:rsidRDefault="00625CCA" w:rsidP="004A49CC">
      <w:r>
        <w:t xml:space="preserve">The UK faces a broad and diverse range of risks, including threats to lives, health, society, critical infrastructure, economy and sovereignty.  Risks may be non-malicious, such as accidents or natural hazards, or they may be malicious threats from malign actors who seek to do us harm.  The risks that meet the threshold for inclusion in the </w:t>
      </w:r>
      <w:r w:rsidR="009D5A7F" w:rsidRPr="005067E2">
        <w:t xml:space="preserve">National Risk Register </w:t>
      </w:r>
      <w:r>
        <w:t xml:space="preserve">would have a substantial impact on the UK’s safety, security and/or critical systems at a national level.  The </w:t>
      </w:r>
      <w:r w:rsidR="009D5A7F" w:rsidRPr="005067E2">
        <w:t xml:space="preserve">National Risk Register </w:t>
      </w:r>
      <w:r>
        <w:t xml:space="preserve">includes information about 89 risks, within 9 risk themes.  </w:t>
      </w:r>
      <w:r w:rsidRPr="00FC15CC">
        <w:t>The risks are thematically grouped to bring together risks that share similar risk exposure and require similar capabilities to prepare mitigate and respond.</w:t>
      </w:r>
    </w:p>
    <w:p w14:paraId="56DE328A" w14:textId="77777777" w:rsidR="00D0265C" w:rsidRDefault="00D0265C">
      <w:pPr>
        <w:spacing w:before="0" w:after="160" w:line="259" w:lineRule="auto"/>
        <w:rPr>
          <w:b/>
          <w:bCs/>
        </w:rPr>
      </w:pPr>
      <w:r>
        <w:rPr>
          <w:b/>
          <w:bCs/>
        </w:rPr>
        <w:br w:type="page"/>
      </w:r>
    </w:p>
    <w:p w14:paraId="0C834494" w14:textId="64882AC8" w:rsidR="00625CCA" w:rsidRPr="00C51730" w:rsidRDefault="009D5A7F" w:rsidP="00D0265C">
      <w:pPr>
        <w:keepNext/>
        <w:rPr>
          <w:rFonts w:eastAsia="Arial" w:cs="Arial"/>
          <w:b/>
          <w:bCs/>
          <w:color w:val="000000" w:themeColor="text1"/>
          <w:szCs w:val="24"/>
        </w:rPr>
      </w:pPr>
      <w:r w:rsidRPr="009D5A7F">
        <w:rPr>
          <w:b/>
          <w:bCs/>
        </w:rPr>
        <w:lastRenderedPageBreak/>
        <w:t>National Risk Register</w:t>
      </w:r>
      <w:r w:rsidR="00625CCA" w:rsidRPr="00C51730">
        <w:rPr>
          <w:rFonts w:eastAsia="Arial" w:cs="Arial"/>
          <w:b/>
          <w:bCs/>
          <w:color w:val="000000" w:themeColor="text1"/>
          <w:szCs w:val="24"/>
        </w:rPr>
        <w:t xml:space="preserve"> Assessment Matrix</w:t>
      </w:r>
    </w:p>
    <w:tbl>
      <w:tblPr>
        <w:tblStyle w:val="TableGrid"/>
        <w:tblW w:w="10078" w:type="dxa"/>
        <w:tblLook w:val="04A0" w:firstRow="1" w:lastRow="0" w:firstColumn="1" w:lastColumn="0" w:noHBand="0" w:noVBand="1"/>
        <w:tblCaption w:val="NRR Risk Assessment Matrix"/>
        <w:tblDescription w:val="National Risk Register - Risk Assessment Matrix - outlining the impact and likelihood of national risks"/>
      </w:tblPr>
      <w:tblGrid>
        <w:gridCol w:w="518"/>
        <w:gridCol w:w="682"/>
        <w:gridCol w:w="13"/>
        <w:gridCol w:w="1801"/>
        <w:gridCol w:w="13"/>
        <w:gridCol w:w="1820"/>
        <w:gridCol w:w="13"/>
        <w:gridCol w:w="1820"/>
        <w:gridCol w:w="13"/>
        <w:gridCol w:w="1819"/>
        <w:gridCol w:w="13"/>
        <w:gridCol w:w="1540"/>
        <w:gridCol w:w="13"/>
      </w:tblGrid>
      <w:tr w:rsidR="008B4C44" w:rsidRPr="00D35A8D" w14:paraId="1842D41A" w14:textId="77777777" w:rsidTr="00D0265C">
        <w:trPr>
          <w:cantSplit/>
          <w:trHeight w:val="1471"/>
        </w:trPr>
        <w:tc>
          <w:tcPr>
            <w:tcW w:w="518" w:type="dxa"/>
            <w:vMerge w:val="restart"/>
            <w:tcBorders>
              <w:top w:val="nil"/>
              <w:left w:val="nil"/>
              <w:right w:val="nil"/>
            </w:tcBorders>
            <w:tcMar>
              <w:left w:w="0" w:type="dxa"/>
              <w:right w:w="0" w:type="dxa"/>
            </w:tcMar>
            <w:textDirection w:val="btLr"/>
          </w:tcPr>
          <w:p w14:paraId="22EA9265" w14:textId="3CF9C96F" w:rsidR="008B4C44" w:rsidRPr="00D35A8D" w:rsidRDefault="008B4C44" w:rsidP="00E43704">
            <w:pPr>
              <w:spacing w:before="0" w:after="0" w:line="240" w:lineRule="auto"/>
              <w:ind w:left="113" w:right="113"/>
              <w:jc w:val="center"/>
              <w:rPr>
                <w:rFonts w:eastAsia="Arial" w:cs="Arial"/>
                <w:b/>
                <w:bCs/>
                <w:color w:val="000000" w:themeColor="text1"/>
                <w:szCs w:val="24"/>
              </w:rPr>
            </w:pPr>
            <w:r w:rsidRPr="00D35A8D">
              <w:rPr>
                <w:rFonts w:eastAsia="Arial" w:cs="Arial"/>
                <w:b/>
                <w:bCs/>
                <w:color w:val="000000" w:themeColor="text1"/>
                <w:szCs w:val="24"/>
              </w:rPr>
              <w:t>Impact</w:t>
            </w:r>
          </w:p>
        </w:tc>
        <w:tc>
          <w:tcPr>
            <w:tcW w:w="695" w:type="dxa"/>
            <w:gridSpan w:val="2"/>
            <w:tcBorders>
              <w:top w:val="nil"/>
              <w:left w:val="nil"/>
              <w:bottom w:val="nil"/>
            </w:tcBorders>
            <w:tcMar>
              <w:left w:w="0" w:type="dxa"/>
              <w:right w:w="0" w:type="dxa"/>
            </w:tcMar>
            <w:textDirection w:val="btLr"/>
            <w:vAlign w:val="center"/>
          </w:tcPr>
          <w:p w14:paraId="1BFF021D"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Catastrophic</w:t>
            </w:r>
          </w:p>
          <w:p w14:paraId="2100C8B6"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5</w:t>
            </w:r>
          </w:p>
        </w:tc>
        <w:tc>
          <w:tcPr>
            <w:tcW w:w="1814" w:type="dxa"/>
            <w:gridSpan w:val="2"/>
            <w:shd w:val="clear" w:color="auto" w:fill="D9E2F3" w:themeFill="accent1" w:themeFillTint="33"/>
            <w:tcMar>
              <w:left w:w="0" w:type="dxa"/>
              <w:right w:w="0" w:type="dxa"/>
            </w:tcMar>
            <w:vAlign w:val="center"/>
          </w:tcPr>
          <w:p w14:paraId="3620AE1B"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28, 29</w:t>
            </w:r>
          </w:p>
        </w:tc>
        <w:tc>
          <w:tcPr>
            <w:tcW w:w="1833" w:type="dxa"/>
            <w:gridSpan w:val="2"/>
            <w:shd w:val="clear" w:color="auto" w:fill="D9E2F3" w:themeFill="accent1" w:themeFillTint="33"/>
            <w:tcMar>
              <w:left w:w="0" w:type="dxa"/>
              <w:right w:w="0" w:type="dxa"/>
            </w:tcMar>
            <w:vAlign w:val="center"/>
          </w:tcPr>
          <w:p w14:paraId="1EC4204C" w14:textId="77777777" w:rsidR="008B4C44" w:rsidRPr="00D35A8D" w:rsidRDefault="008B4C44" w:rsidP="00E43704">
            <w:pPr>
              <w:spacing w:before="0" w:after="0" w:line="240" w:lineRule="auto"/>
              <w:jc w:val="center"/>
              <w:rPr>
                <w:rFonts w:eastAsia="Arial" w:cs="Arial"/>
                <w:color w:val="000000" w:themeColor="text1"/>
                <w:szCs w:val="24"/>
              </w:rPr>
            </w:pPr>
            <w:r>
              <w:rPr>
                <w:rFonts w:eastAsia="Arial" w:cs="Arial"/>
                <w:color w:val="000000" w:themeColor="text1"/>
                <w:szCs w:val="24"/>
              </w:rPr>
              <w:t>-</w:t>
            </w:r>
          </w:p>
        </w:tc>
        <w:tc>
          <w:tcPr>
            <w:tcW w:w="1833" w:type="dxa"/>
            <w:gridSpan w:val="2"/>
            <w:shd w:val="clear" w:color="auto" w:fill="B4C6E7" w:themeFill="accent1" w:themeFillTint="66"/>
            <w:tcMar>
              <w:left w:w="0" w:type="dxa"/>
              <w:right w:w="0" w:type="dxa"/>
            </w:tcMar>
            <w:vAlign w:val="center"/>
          </w:tcPr>
          <w:p w14:paraId="6517B8F5" w14:textId="65E2BCFF" w:rsidR="008B4C44" w:rsidRPr="00D35A8D" w:rsidRDefault="004A49CC" w:rsidP="00E43704">
            <w:pPr>
              <w:spacing w:before="0" w:after="0" w:line="240" w:lineRule="auto"/>
              <w:jc w:val="center"/>
              <w:rPr>
                <w:rFonts w:eastAsia="Arial" w:cs="Arial"/>
                <w:color w:val="000000" w:themeColor="text1"/>
                <w:szCs w:val="24"/>
              </w:rPr>
            </w:pPr>
            <w:r>
              <w:rPr>
                <w:rFonts w:eastAsia="Arial" w:cs="Arial"/>
                <w:color w:val="000000" w:themeColor="text1"/>
                <w:szCs w:val="24"/>
              </w:rPr>
              <w:t>7</w:t>
            </w:r>
            <w:r w:rsidR="008B4C44" w:rsidRPr="00D35A8D">
              <w:rPr>
                <w:rFonts w:eastAsia="Arial" w:cs="Arial"/>
                <w:color w:val="000000" w:themeColor="text1"/>
                <w:szCs w:val="24"/>
              </w:rPr>
              <w:t>, 26a</w:t>
            </w:r>
          </w:p>
        </w:tc>
        <w:tc>
          <w:tcPr>
            <w:tcW w:w="1832" w:type="dxa"/>
            <w:gridSpan w:val="2"/>
            <w:shd w:val="clear" w:color="auto" w:fill="B4C6E7" w:themeFill="accent1" w:themeFillTint="66"/>
            <w:tcMar>
              <w:left w:w="0" w:type="dxa"/>
              <w:right w:w="0" w:type="dxa"/>
            </w:tcMar>
            <w:vAlign w:val="center"/>
          </w:tcPr>
          <w:p w14:paraId="5A1F756E"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54</w:t>
            </w:r>
          </w:p>
        </w:tc>
        <w:tc>
          <w:tcPr>
            <w:tcW w:w="1553" w:type="dxa"/>
            <w:gridSpan w:val="2"/>
            <w:shd w:val="clear" w:color="auto" w:fill="B4C6E7" w:themeFill="accent1" w:themeFillTint="66"/>
            <w:tcMar>
              <w:left w:w="0" w:type="dxa"/>
              <w:right w:w="0" w:type="dxa"/>
            </w:tcMar>
            <w:vAlign w:val="center"/>
          </w:tcPr>
          <w:p w14:paraId="03E8E26B" w14:textId="77777777" w:rsidR="008B4C44" w:rsidRPr="00D35A8D" w:rsidRDefault="008B4C44" w:rsidP="00E43704">
            <w:pPr>
              <w:spacing w:before="0" w:after="0" w:line="240" w:lineRule="auto"/>
              <w:jc w:val="center"/>
              <w:rPr>
                <w:rFonts w:eastAsia="Arial" w:cs="Arial"/>
                <w:color w:val="000000" w:themeColor="text1"/>
                <w:szCs w:val="24"/>
              </w:rPr>
            </w:pPr>
            <w:r>
              <w:rPr>
                <w:rFonts w:eastAsia="Arial" w:cs="Arial"/>
                <w:color w:val="000000" w:themeColor="text1"/>
                <w:szCs w:val="24"/>
              </w:rPr>
              <w:t>-</w:t>
            </w:r>
          </w:p>
        </w:tc>
      </w:tr>
      <w:tr w:rsidR="008B4C44" w:rsidRPr="00D35A8D" w14:paraId="63443D0D" w14:textId="77777777" w:rsidTr="00D0265C">
        <w:trPr>
          <w:cantSplit/>
          <w:trHeight w:val="1279"/>
        </w:trPr>
        <w:tc>
          <w:tcPr>
            <w:tcW w:w="518" w:type="dxa"/>
            <w:vMerge/>
            <w:tcBorders>
              <w:left w:val="nil"/>
              <w:right w:val="nil"/>
            </w:tcBorders>
            <w:tcMar>
              <w:left w:w="0" w:type="dxa"/>
              <w:right w:w="0" w:type="dxa"/>
            </w:tcMar>
          </w:tcPr>
          <w:p w14:paraId="56CFA9E2" w14:textId="5D133DC2" w:rsidR="008B4C44" w:rsidRPr="00D35A8D" w:rsidRDefault="008B4C44" w:rsidP="00E43704">
            <w:pPr>
              <w:spacing w:before="0" w:after="0" w:line="240" w:lineRule="auto"/>
              <w:rPr>
                <w:rFonts w:eastAsia="Arial" w:cs="Arial"/>
                <w:color w:val="000000" w:themeColor="text1"/>
                <w:szCs w:val="24"/>
              </w:rPr>
            </w:pPr>
          </w:p>
        </w:tc>
        <w:tc>
          <w:tcPr>
            <w:tcW w:w="695" w:type="dxa"/>
            <w:gridSpan w:val="2"/>
            <w:tcBorders>
              <w:top w:val="nil"/>
              <w:left w:val="nil"/>
              <w:bottom w:val="nil"/>
            </w:tcBorders>
            <w:tcMar>
              <w:left w:w="0" w:type="dxa"/>
              <w:right w:w="0" w:type="dxa"/>
            </w:tcMar>
            <w:textDirection w:val="btLr"/>
            <w:vAlign w:val="center"/>
          </w:tcPr>
          <w:p w14:paraId="77B52508"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Significant</w:t>
            </w:r>
          </w:p>
          <w:p w14:paraId="7B5A8D41"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4</w:t>
            </w:r>
          </w:p>
        </w:tc>
        <w:tc>
          <w:tcPr>
            <w:tcW w:w="1814" w:type="dxa"/>
            <w:gridSpan w:val="2"/>
            <w:shd w:val="clear" w:color="auto" w:fill="D9E2F3" w:themeFill="accent1" w:themeFillTint="33"/>
            <w:tcMar>
              <w:left w:w="0" w:type="dxa"/>
              <w:right w:w="0" w:type="dxa"/>
            </w:tcMar>
            <w:vAlign w:val="center"/>
          </w:tcPr>
          <w:p w14:paraId="5BE9DF70"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21</w:t>
            </w:r>
          </w:p>
        </w:tc>
        <w:tc>
          <w:tcPr>
            <w:tcW w:w="1833" w:type="dxa"/>
            <w:gridSpan w:val="2"/>
            <w:shd w:val="clear" w:color="auto" w:fill="D9E2F3" w:themeFill="accent1" w:themeFillTint="33"/>
            <w:tcMar>
              <w:left w:w="0" w:type="dxa"/>
              <w:right w:w="0" w:type="dxa"/>
            </w:tcMar>
            <w:vAlign w:val="center"/>
          </w:tcPr>
          <w:p w14:paraId="362DAA06"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24, 38, 56a</w:t>
            </w:r>
          </w:p>
        </w:tc>
        <w:tc>
          <w:tcPr>
            <w:tcW w:w="1833" w:type="dxa"/>
            <w:gridSpan w:val="2"/>
            <w:shd w:val="clear" w:color="auto" w:fill="B4C6E7" w:themeFill="accent1" w:themeFillTint="66"/>
            <w:tcMar>
              <w:left w:w="0" w:type="dxa"/>
              <w:right w:w="0" w:type="dxa"/>
            </w:tcMar>
            <w:vAlign w:val="center"/>
          </w:tcPr>
          <w:p w14:paraId="10E075F5" w14:textId="3F57162A" w:rsidR="008B4C44" w:rsidRPr="00D35A8D" w:rsidRDefault="004A49CC" w:rsidP="00E43704">
            <w:pPr>
              <w:spacing w:before="0" w:after="0" w:line="240" w:lineRule="auto"/>
              <w:jc w:val="center"/>
              <w:rPr>
                <w:rFonts w:eastAsia="Arial" w:cs="Arial"/>
                <w:color w:val="000000" w:themeColor="text1"/>
                <w:szCs w:val="24"/>
              </w:rPr>
            </w:pPr>
            <w:r>
              <w:rPr>
                <w:rFonts w:eastAsia="Arial" w:cs="Arial"/>
                <w:color w:val="000000" w:themeColor="text1"/>
                <w:szCs w:val="24"/>
              </w:rPr>
              <w:t xml:space="preserve">10, </w:t>
            </w:r>
            <w:r w:rsidR="008B4C44" w:rsidRPr="00D35A8D">
              <w:rPr>
                <w:rFonts w:eastAsia="Arial" w:cs="Arial"/>
                <w:color w:val="000000" w:themeColor="text1"/>
                <w:szCs w:val="24"/>
              </w:rPr>
              <w:t>27, 49, 51a, 51b, 51c, 61</w:t>
            </w:r>
          </w:p>
        </w:tc>
        <w:tc>
          <w:tcPr>
            <w:tcW w:w="1832" w:type="dxa"/>
            <w:gridSpan w:val="2"/>
            <w:shd w:val="clear" w:color="auto" w:fill="B4C6E7" w:themeFill="accent1" w:themeFillTint="66"/>
            <w:tcMar>
              <w:left w:w="0" w:type="dxa"/>
              <w:right w:w="0" w:type="dxa"/>
            </w:tcMar>
            <w:vAlign w:val="center"/>
          </w:tcPr>
          <w:p w14:paraId="0E1A0050" w14:textId="45F97B2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47, 50, 55, 63</w:t>
            </w:r>
          </w:p>
        </w:tc>
        <w:tc>
          <w:tcPr>
            <w:tcW w:w="1553" w:type="dxa"/>
            <w:gridSpan w:val="2"/>
            <w:shd w:val="clear" w:color="auto" w:fill="B4C6E7" w:themeFill="accent1" w:themeFillTint="66"/>
            <w:tcMar>
              <w:left w:w="0" w:type="dxa"/>
              <w:right w:w="0" w:type="dxa"/>
            </w:tcMar>
            <w:vAlign w:val="center"/>
          </w:tcPr>
          <w:p w14:paraId="168ABB68" w14:textId="77777777" w:rsidR="008B4C44" w:rsidRPr="00D35A8D" w:rsidRDefault="008B4C44" w:rsidP="00E43704">
            <w:pPr>
              <w:spacing w:before="0" w:after="0" w:line="240" w:lineRule="auto"/>
              <w:jc w:val="center"/>
              <w:rPr>
                <w:rFonts w:eastAsia="Arial" w:cs="Arial"/>
                <w:color w:val="000000" w:themeColor="text1"/>
                <w:szCs w:val="24"/>
              </w:rPr>
            </w:pPr>
            <w:r>
              <w:rPr>
                <w:rFonts w:eastAsia="Arial" w:cs="Arial"/>
                <w:color w:val="000000" w:themeColor="text1"/>
                <w:szCs w:val="24"/>
              </w:rPr>
              <w:t>-</w:t>
            </w:r>
          </w:p>
        </w:tc>
      </w:tr>
      <w:tr w:rsidR="008B4C44" w:rsidRPr="00D35A8D" w14:paraId="5B648538" w14:textId="77777777" w:rsidTr="00D0265C">
        <w:trPr>
          <w:cantSplit/>
          <w:trHeight w:val="1255"/>
        </w:trPr>
        <w:tc>
          <w:tcPr>
            <w:tcW w:w="518" w:type="dxa"/>
            <w:vMerge/>
            <w:tcBorders>
              <w:left w:val="nil"/>
              <w:right w:val="nil"/>
            </w:tcBorders>
            <w:tcMar>
              <w:left w:w="0" w:type="dxa"/>
              <w:right w:w="0" w:type="dxa"/>
            </w:tcMar>
          </w:tcPr>
          <w:p w14:paraId="4BE7055F" w14:textId="1E07D801" w:rsidR="008B4C44" w:rsidRPr="00D35A8D" w:rsidRDefault="008B4C44" w:rsidP="00E43704">
            <w:pPr>
              <w:spacing w:before="0" w:after="0" w:line="240" w:lineRule="auto"/>
              <w:rPr>
                <w:rFonts w:eastAsia="Arial" w:cs="Arial"/>
                <w:color w:val="000000" w:themeColor="text1"/>
                <w:szCs w:val="24"/>
              </w:rPr>
            </w:pPr>
          </w:p>
        </w:tc>
        <w:tc>
          <w:tcPr>
            <w:tcW w:w="695" w:type="dxa"/>
            <w:gridSpan w:val="2"/>
            <w:tcBorders>
              <w:top w:val="nil"/>
              <w:left w:val="nil"/>
              <w:bottom w:val="nil"/>
            </w:tcBorders>
            <w:tcMar>
              <w:left w:w="0" w:type="dxa"/>
              <w:right w:w="0" w:type="dxa"/>
            </w:tcMar>
            <w:textDirection w:val="btLr"/>
            <w:vAlign w:val="center"/>
          </w:tcPr>
          <w:p w14:paraId="78C5EBB2" w14:textId="77777777" w:rsidR="008B4C44" w:rsidRPr="00D35A8D" w:rsidRDefault="008B4C44" w:rsidP="00E43704">
            <w:pPr>
              <w:spacing w:before="0" w:after="0" w:line="240" w:lineRule="auto"/>
              <w:ind w:left="113" w:right="113"/>
              <w:jc w:val="center"/>
              <w:rPr>
                <w:rFonts w:eastAsia="Arial" w:cs="Arial"/>
                <w:color w:val="000000" w:themeColor="text1"/>
                <w:szCs w:val="24"/>
              </w:rPr>
            </w:pPr>
            <w:r w:rsidRPr="00D35A8D">
              <w:rPr>
                <w:rFonts w:eastAsia="Arial" w:cs="Arial"/>
                <w:color w:val="000000" w:themeColor="text1"/>
                <w:szCs w:val="24"/>
              </w:rPr>
              <w:t>Moderate</w:t>
            </w:r>
          </w:p>
          <w:p w14:paraId="5BEFF1DD" w14:textId="77777777" w:rsidR="008B4C44" w:rsidRPr="00D35A8D" w:rsidRDefault="008B4C44" w:rsidP="00E43704">
            <w:pPr>
              <w:spacing w:before="0" w:after="0" w:line="240" w:lineRule="auto"/>
              <w:ind w:left="113" w:right="113"/>
              <w:jc w:val="center"/>
              <w:rPr>
                <w:rFonts w:eastAsia="Arial" w:cs="Arial"/>
                <w:color w:val="000000" w:themeColor="text1"/>
                <w:szCs w:val="24"/>
              </w:rPr>
            </w:pPr>
            <w:r w:rsidRPr="00D35A8D">
              <w:rPr>
                <w:rFonts w:eastAsia="Arial" w:cs="Arial"/>
                <w:color w:val="000000" w:themeColor="text1"/>
                <w:szCs w:val="24"/>
              </w:rPr>
              <w:t>3</w:t>
            </w:r>
          </w:p>
        </w:tc>
        <w:tc>
          <w:tcPr>
            <w:tcW w:w="1814" w:type="dxa"/>
            <w:gridSpan w:val="2"/>
            <w:shd w:val="clear" w:color="auto" w:fill="D9E2F3" w:themeFill="accent1" w:themeFillTint="33"/>
            <w:tcMar>
              <w:left w:w="0" w:type="dxa"/>
              <w:right w:w="0" w:type="dxa"/>
            </w:tcMar>
            <w:vAlign w:val="center"/>
          </w:tcPr>
          <w:p w14:paraId="1F1EA233"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17, 32,33, 34, 35, 36, 56c</w:t>
            </w:r>
          </w:p>
        </w:tc>
        <w:tc>
          <w:tcPr>
            <w:tcW w:w="1833" w:type="dxa"/>
            <w:gridSpan w:val="2"/>
            <w:shd w:val="clear" w:color="auto" w:fill="D9E2F3" w:themeFill="accent1" w:themeFillTint="33"/>
            <w:tcMar>
              <w:left w:w="0" w:type="dxa"/>
              <w:right w:w="0" w:type="dxa"/>
            </w:tcMar>
            <w:vAlign w:val="center"/>
          </w:tcPr>
          <w:p w14:paraId="75413C1E" w14:textId="32562FF8"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 23, 52</w:t>
            </w:r>
          </w:p>
        </w:tc>
        <w:tc>
          <w:tcPr>
            <w:tcW w:w="1833" w:type="dxa"/>
            <w:gridSpan w:val="2"/>
            <w:shd w:val="clear" w:color="auto" w:fill="B4C6E7" w:themeFill="accent1" w:themeFillTint="66"/>
            <w:tcMar>
              <w:left w:w="0" w:type="dxa"/>
              <w:right w:w="0" w:type="dxa"/>
            </w:tcMar>
            <w:vAlign w:val="center"/>
          </w:tcPr>
          <w:p w14:paraId="62AC3093" w14:textId="14D4DB13" w:rsidR="008B4C44" w:rsidRPr="00D35A8D" w:rsidRDefault="004A49CC" w:rsidP="00E43704">
            <w:pPr>
              <w:spacing w:before="0" w:after="0" w:line="240" w:lineRule="auto"/>
              <w:jc w:val="center"/>
              <w:rPr>
                <w:rFonts w:eastAsia="Arial" w:cs="Arial"/>
                <w:color w:val="000000" w:themeColor="text1"/>
                <w:szCs w:val="24"/>
              </w:rPr>
            </w:pPr>
            <w:r>
              <w:rPr>
                <w:rFonts w:eastAsia="Arial" w:cs="Arial"/>
                <w:color w:val="000000" w:themeColor="text1"/>
                <w:szCs w:val="24"/>
              </w:rPr>
              <w:t xml:space="preserve">12, </w:t>
            </w:r>
            <w:r w:rsidR="008B4C44" w:rsidRPr="00D35A8D">
              <w:rPr>
                <w:rFonts w:eastAsia="Arial" w:cs="Arial"/>
                <w:color w:val="000000" w:themeColor="text1"/>
                <w:szCs w:val="24"/>
              </w:rPr>
              <w:t xml:space="preserve">25, 26b, </w:t>
            </w:r>
            <w:r>
              <w:rPr>
                <w:rFonts w:eastAsia="Arial" w:cs="Arial"/>
                <w:color w:val="000000" w:themeColor="text1"/>
                <w:szCs w:val="24"/>
              </w:rPr>
              <w:t xml:space="preserve">31a, </w:t>
            </w:r>
            <w:r w:rsidR="008B4C44" w:rsidRPr="00D35A8D">
              <w:rPr>
                <w:rFonts w:eastAsia="Arial" w:cs="Arial"/>
                <w:color w:val="000000" w:themeColor="text1"/>
                <w:szCs w:val="24"/>
              </w:rPr>
              <w:t>45, 53, 56b</w:t>
            </w:r>
            <w:r>
              <w:rPr>
                <w:rFonts w:eastAsia="Arial" w:cs="Arial"/>
                <w:color w:val="000000" w:themeColor="text1"/>
                <w:szCs w:val="24"/>
              </w:rPr>
              <w:t>, 56d</w:t>
            </w:r>
          </w:p>
        </w:tc>
        <w:tc>
          <w:tcPr>
            <w:tcW w:w="1832" w:type="dxa"/>
            <w:gridSpan w:val="2"/>
            <w:shd w:val="clear" w:color="auto" w:fill="B4C6E7" w:themeFill="accent1" w:themeFillTint="66"/>
            <w:tcMar>
              <w:left w:w="0" w:type="dxa"/>
              <w:right w:w="0" w:type="dxa"/>
            </w:tcMar>
            <w:vAlign w:val="center"/>
          </w:tcPr>
          <w:p w14:paraId="02D063FA" w14:textId="3706E176"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 xml:space="preserve">4, </w:t>
            </w:r>
            <w:r w:rsidR="004A49CC">
              <w:rPr>
                <w:rFonts w:eastAsia="Arial" w:cs="Arial"/>
                <w:color w:val="000000" w:themeColor="text1"/>
                <w:szCs w:val="24"/>
              </w:rPr>
              <w:t>9</w:t>
            </w:r>
            <w:r w:rsidRPr="00D35A8D">
              <w:rPr>
                <w:rFonts w:eastAsia="Arial" w:cs="Arial"/>
                <w:color w:val="000000" w:themeColor="text1"/>
                <w:szCs w:val="24"/>
              </w:rPr>
              <w:t>, 11, 40, 43, 48, 60</w:t>
            </w:r>
          </w:p>
        </w:tc>
        <w:tc>
          <w:tcPr>
            <w:tcW w:w="1553" w:type="dxa"/>
            <w:gridSpan w:val="2"/>
            <w:shd w:val="clear" w:color="auto" w:fill="B4C6E7" w:themeFill="accent1" w:themeFillTint="66"/>
            <w:tcMar>
              <w:left w:w="0" w:type="dxa"/>
              <w:right w:w="0" w:type="dxa"/>
            </w:tcMar>
            <w:vAlign w:val="center"/>
          </w:tcPr>
          <w:p w14:paraId="0F9828DE"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3, 31b, 46, 62</w:t>
            </w:r>
          </w:p>
        </w:tc>
      </w:tr>
      <w:tr w:rsidR="008B4C44" w:rsidRPr="00D35A8D" w14:paraId="74BA18C3" w14:textId="77777777" w:rsidTr="008B4C44">
        <w:trPr>
          <w:cantSplit/>
          <w:trHeight w:val="1134"/>
        </w:trPr>
        <w:tc>
          <w:tcPr>
            <w:tcW w:w="518" w:type="dxa"/>
            <w:vMerge/>
            <w:tcBorders>
              <w:left w:val="nil"/>
              <w:right w:val="nil"/>
            </w:tcBorders>
            <w:tcMar>
              <w:left w:w="0" w:type="dxa"/>
              <w:right w:w="0" w:type="dxa"/>
            </w:tcMar>
          </w:tcPr>
          <w:p w14:paraId="3A57AB82" w14:textId="0A06D1C7" w:rsidR="008B4C44" w:rsidRPr="00D35A8D" w:rsidRDefault="008B4C44" w:rsidP="00E43704">
            <w:pPr>
              <w:spacing w:before="0" w:after="0" w:line="240" w:lineRule="auto"/>
              <w:rPr>
                <w:rFonts w:eastAsia="Arial" w:cs="Arial"/>
                <w:color w:val="000000" w:themeColor="text1"/>
                <w:szCs w:val="24"/>
              </w:rPr>
            </w:pPr>
          </w:p>
        </w:tc>
        <w:tc>
          <w:tcPr>
            <w:tcW w:w="695" w:type="dxa"/>
            <w:gridSpan w:val="2"/>
            <w:tcBorders>
              <w:top w:val="nil"/>
              <w:left w:val="nil"/>
              <w:bottom w:val="nil"/>
            </w:tcBorders>
            <w:tcMar>
              <w:left w:w="0" w:type="dxa"/>
              <w:right w:w="0" w:type="dxa"/>
            </w:tcMar>
            <w:textDirection w:val="btLr"/>
            <w:vAlign w:val="center"/>
          </w:tcPr>
          <w:p w14:paraId="505B5EDC" w14:textId="77777777" w:rsidR="008B4C44" w:rsidRPr="00D35A8D" w:rsidRDefault="008B4C44" w:rsidP="00E43704">
            <w:pPr>
              <w:spacing w:before="0" w:after="0" w:line="240" w:lineRule="auto"/>
              <w:ind w:left="113" w:right="113"/>
              <w:jc w:val="center"/>
              <w:rPr>
                <w:rFonts w:eastAsia="Arial" w:cs="Arial"/>
                <w:color w:val="000000" w:themeColor="text1"/>
                <w:szCs w:val="24"/>
              </w:rPr>
            </w:pPr>
            <w:r w:rsidRPr="00D35A8D">
              <w:rPr>
                <w:rFonts w:eastAsia="Arial" w:cs="Arial"/>
                <w:color w:val="000000" w:themeColor="text1"/>
                <w:szCs w:val="24"/>
              </w:rPr>
              <w:t>Limited</w:t>
            </w:r>
          </w:p>
          <w:p w14:paraId="5C530672" w14:textId="77777777" w:rsidR="008B4C44" w:rsidRPr="00D35A8D" w:rsidRDefault="008B4C44" w:rsidP="00E43704">
            <w:pPr>
              <w:spacing w:before="0" w:after="0" w:line="240" w:lineRule="auto"/>
              <w:ind w:left="113" w:right="113"/>
              <w:jc w:val="center"/>
              <w:rPr>
                <w:rFonts w:eastAsia="Arial" w:cs="Arial"/>
                <w:color w:val="000000" w:themeColor="text1"/>
                <w:szCs w:val="24"/>
              </w:rPr>
            </w:pPr>
            <w:r w:rsidRPr="00D35A8D">
              <w:rPr>
                <w:rFonts w:eastAsia="Arial" w:cs="Arial"/>
                <w:color w:val="000000" w:themeColor="text1"/>
                <w:szCs w:val="24"/>
              </w:rPr>
              <w:t>2</w:t>
            </w:r>
          </w:p>
        </w:tc>
        <w:tc>
          <w:tcPr>
            <w:tcW w:w="1814" w:type="dxa"/>
            <w:gridSpan w:val="2"/>
            <w:shd w:val="clear" w:color="auto" w:fill="D9E2F3" w:themeFill="accent1" w:themeFillTint="33"/>
            <w:tcMar>
              <w:left w:w="0" w:type="dxa"/>
              <w:right w:w="0" w:type="dxa"/>
            </w:tcMar>
            <w:vAlign w:val="center"/>
          </w:tcPr>
          <w:p w14:paraId="782B2C29"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18, 19, 30, 37</w:t>
            </w:r>
          </w:p>
        </w:tc>
        <w:tc>
          <w:tcPr>
            <w:tcW w:w="1833" w:type="dxa"/>
            <w:gridSpan w:val="2"/>
            <w:shd w:val="clear" w:color="auto" w:fill="D9E2F3" w:themeFill="accent1" w:themeFillTint="33"/>
            <w:tcMar>
              <w:left w:w="0" w:type="dxa"/>
              <w:right w:w="0" w:type="dxa"/>
            </w:tcMar>
            <w:vAlign w:val="center"/>
          </w:tcPr>
          <w:p w14:paraId="2B4A1E8D"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5, 16, 41, 42</w:t>
            </w:r>
          </w:p>
        </w:tc>
        <w:tc>
          <w:tcPr>
            <w:tcW w:w="1833" w:type="dxa"/>
            <w:gridSpan w:val="2"/>
            <w:shd w:val="clear" w:color="auto" w:fill="D9E2F3" w:themeFill="accent1" w:themeFillTint="33"/>
            <w:tcMar>
              <w:left w:w="0" w:type="dxa"/>
              <w:right w:w="0" w:type="dxa"/>
            </w:tcMar>
            <w:vAlign w:val="center"/>
          </w:tcPr>
          <w:p w14:paraId="5582D23A" w14:textId="4974E563"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14, 20, 58, 59</w:t>
            </w:r>
          </w:p>
        </w:tc>
        <w:tc>
          <w:tcPr>
            <w:tcW w:w="1832" w:type="dxa"/>
            <w:gridSpan w:val="2"/>
            <w:shd w:val="clear" w:color="auto" w:fill="D9E2F3" w:themeFill="accent1" w:themeFillTint="33"/>
            <w:tcMar>
              <w:left w:w="0" w:type="dxa"/>
              <w:right w:w="0" w:type="dxa"/>
            </w:tcMar>
            <w:vAlign w:val="center"/>
          </w:tcPr>
          <w:p w14:paraId="16C7CE18" w14:textId="42DB670B" w:rsidR="008B4C44" w:rsidRPr="00D35A8D" w:rsidRDefault="004A49CC" w:rsidP="00E43704">
            <w:pPr>
              <w:spacing w:before="0" w:after="0" w:line="240" w:lineRule="auto"/>
              <w:jc w:val="center"/>
              <w:rPr>
                <w:rFonts w:eastAsia="Arial" w:cs="Arial"/>
                <w:color w:val="000000" w:themeColor="text1"/>
                <w:szCs w:val="24"/>
              </w:rPr>
            </w:pPr>
            <w:r>
              <w:rPr>
                <w:rFonts w:eastAsia="Arial" w:cs="Arial"/>
                <w:color w:val="000000" w:themeColor="text1"/>
                <w:szCs w:val="24"/>
              </w:rPr>
              <w:t>8</w:t>
            </w:r>
            <w:r w:rsidR="008B4C44" w:rsidRPr="00D35A8D">
              <w:rPr>
                <w:rFonts w:eastAsia="Arial" w:cs="Arial"/>
                <w:color w:val="000000" w:themeColor="text1"/>
                <w:szCs w:val="24"/>
              </w:rPr>
              <w:t>, 13, 57b</w:t>
            </w:r>
          </w:p>
        </w:tc>
        <w:tc>
          <w:tcPr>
            <w:tcW w:w="1553" w:type="dxa"/>
            <w:gridSpan w:val="2"/>
            <w:shd w:val="clear" w:color="auto" w:fill="D9E2F3" w:themeFill="accent1" w:themeFillTint="33"/>
            <w:tcMar>
              <w:left w:w="0" w:type="dxa"/>
              <w:right w:w="0" w:type="dxa"/>
            </w:tcMar>
            <w:vAlign w:val="center"/>
          </w:tcPr>
          <w:p w14:paraId="0A3A2C17"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2, 6</w:t>
            </w:r>
          </w:p>
        </w:tc>
      </w:tr>
      <w:tr w:rsidR="008B4C44" w:rsidRPr="00D35A8D" w14:paraId="3873A2D7" w14:textId="77777777" w:rsidTr="008B4C44">
        <w:trPr>
          <w:cantSplit/>
          <w:trHeight w:val="1020"/>
        </w:trPr>
        <w:tc>
          <w:tcPr>
            <w:tcW w:w="518" w:type="dxa"/>
            <w:vMerge/>
            <w:tcBorders>
              <w:left w:val="nil"/>
              <w:bottom w:val="nil"/>
              <w:right w:val="nil"/>
            </w:tcBorders>
            <w:tcMar>
              <w:left w:w="0" w:type="dxa"/>
              <w:right w:w="0" w:type="dxa"/>
            </w:tcMar>
          </w:tcPr>
          <w:p w14:paraId="2254E9B4" w14:textId="1BB0E317" w:rsidR="008B4C44" w:rsidRPr="00D35A8D" w:rsidRDefault="008B4C44" w:rsidP="00E43704">
            <w:pPr>
              <w:spacing w:before="0" w:after="0" w:line="240" w:lineRule="auto"/>
              <w:rPr>
                <w:rFonts w:eastAsia="Arial" w:cs="Arial"/>
                <w:color w:val="000000" w:themeColor="text1"/>
                <w:szCs w:val="24"/>
              </w:rPr>
            </w:pPr>
          </w:p>
        </w:tc>
        <w:tc>
          <w:tcPr>
            <w:tcW w:w="695" w:type="dxa"/>
            <w:gridSpan w:val="2"/>
            <w:tcBorders>
              <w:top w:val="nil"/>
              <w:left w:val="nil"/>
              <w:bottom w:val="nil"/>
            </w:tcBorders>
            <w:tcMar>
              <w:left w:w="0" w:type="dxa"/>
              <w:right w:w="0" w:type="dxa"/>
            </w:tcMar>
            <w:textDirection w:val="btLr"/>
            <w:vAlign w:val="center"/>
          </w:tcPr>
          <w:p w14:paraId="2E96516B"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Minor</w:t>
            </w:r>
          </w:p>
          <w:p w14:paraId="57BE4418"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1</w:t>
            </w:r>
          </w:p>
        </w:tc>
        <w:tc>
          <w:tcPr>
            <w:tcW w:w="1814" w:type="dxa"/>
            <w:gridSpan w:val="2"/>
            <w:tcBorders>
              <w:bottom w:val="single" w:sz="4" w:space="0" w:color="auto"/>
            </w:tcBorders>
            <w:shd w:val="clear" w:color="auto" w:fill="D9E2F3" w:themeFill="accent1" w:themeFillTint="33"/>
            <w:tcMar>
              <w:left w:w="0" w:type="dxa"/>
              <w:right w:w="0" w:type="dxa"/>
            </w:tcMar>
            <w:vAlign w:val="center"/>
          </w:tcPr>
          <w:p w14:paraId="39473ED6"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44</w:t>
            </w:r>
          </w:p>
        </w:tc>
        <w:tc>
          <w:tcPr>
            <w:tcW w:w="1833" w:type="dxa"/>
            <w:gridSpan w:val="2"/>
            <w:tcBorders>
              <w:bottom w:val="single" w:sz="4" w:space="0" w:color="auto"/>
            </w:tcBorders>
            <w:shd w:val="clear" w:color="auto" w:fill="D9E2F3" w:themeFill="accent1" w:themeFillTint="33"/>
            <w:tcMar>
              <w:left w:w="0" w:type="dxa"/>
              <w:right w:w="0" w:type="dxa"/>
            </w:tcMar>
            <w:vAlign w:val="center"/>
          </w:tcPr>
          <w:p w14:paraId="7D4263B7"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39</w:t>
            </w:r>
          </w:p>
        </w:tc>
        <w:tc>
          <w:tcPr>
            <w:tcW w:w="1833" w:type="dxa"/>
            <w:gridSpan w:val="2"/>
            <w:tcBorders>
              <w:bottom w:val="single" w:sz="4" w:space="0" w:color="auto"/>
            </w:tcBorders>
            <w:shd w:val="clear" w:color="auto" w:fill="D9E2F3" w:themeFill="accent1" w:themeFillTint="33"/>
            <w:tcMar>
              <w:left w:w="0" w:type="dxa"/>
              <w:right w:w="0" w:type="dxa"/>
            </w:tcMar>
            <w:vAlign w:val="center"/>
          </w:tcPr>
          <w:p w14:paraId="76F86AB9" w14:textId="77777777" w:rsidR="008B4C44" w:rsidRPr="00D35A8D" w:rsidRDefault="008B4C44" w:rsidP="00E43704">
            <w:pPr>
              <w:spacing w:before="0" w:after="0" w:line="240" w:lineRule="auto"/>
              <w:jc w:val="center"/>
              <w:rPr>
                <w:rFonts w:eastAsia="Arial" w:cs="Arial"/>
                <w:color w:val="000000" w:themeColor="text1"/>
                <w:szCs w:val="24"/>
              </w:rPr>
            </w:pPr>
            <w:r>
              <w:rPr>
                <w:rFonts w:eastAsia="Arial" w:cs="Arial"/>
                <w:color w:val="000000" w:themeColor="text1"/>
                <w:szCs w:val="24"/>
              </w:rPr>
              <w:t>-</w:t>
            </w:r>
          </w:p>
        </w:tc>
        <w:tc>
          <w:tcPr>
            <w:tcW w:w="1832" w:type="dxa"/>
            <w:gridSpan w:val="2"/>
            <w:tcBorders>
              <w:bottom w:val="single" w:sz="4" w:space="0" w:color="auto"/>
            </w:tcBorders>
            <w:shd w:val="clear" w:color="auto" w:fill="D9E2F3" w:themeFill="accent1" w:themeFillTint="33"/>
            <w:tcMar>
              <w:left w:w="0" w:type="dxa"/>
              <w:right w:w="0" w:type="dxa"/>
            </w:tcMar>
            <w:vAlign w:val="center"/>
          </w:tcPr>
          <w:p w14:paraId="3323362A"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15</w:t>
            </w:r>
          </w:p>
        </w:tc>
        <w:tc>
          <w:tcPr>
            <w:tcW w:w="1553" w:type="dxa"/>
            <w:gridSpan w:val="2"/>
            <w:tcBorders>
              <w:bottom w:val="single" w:sz="4" w:space="0" w:color="auto"/>
            </w:tcBorders>
            <w:shd w:val="clear" w:color="auto" w:fill="D9E2F3" w:themeFill="accent1" w:themeFillTint="33"/>
            <w:tcMar>
              <w:left w:w="0" w:type="dxa"/>
              <w:right w:w="0" w:type="dxa"/>
            </w:tcMar>
            <w:vAlign w:val="center"/>
          </w:tcPr>
          <w:p w14:paraId="68E1C5F1" w14:textId="77777777" w:rsidR="008B4C44" w:rsidRPr="00D35A8D" w:rsidRDefault="008B4C44"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1, 57a</w:t>
            </w:r>
          </w:p>
        </w:tc>
      </w:tr>
      <w:tr w:rsidR="00625CCA" w:rsidRPr="00D35A8D" w14:paraId="07904442" w14:textId="77777777" w:rsidTr="008B4C44">
        <w:trPr>
          <w:gridAfter w:val="1"/>
          <w:wAfter w:w="13" w:type="dxa"/>
          <w:trHeight w:val="567"/>
        </w:trPr>
        <w:tc>
          <w:tcPr>
            <w:tcW w:w="1200" w:type="dxa"/>
            <w:gridSpan w:val="2"/>
            <w:vMerge w:val="restart"/>
            <w:tcBorders>
              <w:top w:val="nil"/>
              <w:left w:val="nil"/>
              <w:bottom w:val="nil"/>
              <w:right w:val="nil"/>
            </w:tcBorders>
            <w:tcMar>
              <w:left w:w="0" w:type="dxa"/>
              <w:right w:w="0" w:type="dxa"/>
            </w:tcMar>
            <w:vAlign w:val="center"/>
          </w:tcPr>
          <w:p w14:paraId="473AE859" w14:textId="77777777" w:rsidR="00625CCA" w:rsidRPr="00D35A8D" w:rsidRDefault="00625CCA" w:rsidP="00E43704">
            <w:pPr>
              <w:jc w:val="center"/>
              <w:rPr>
                <w:rFonts w:eastAsia="Arial" w:cs="Arial"/>
                <w:szCs w:val="24"/>
              </w:rPr>
            </w:pPr>
            <w:r>
              <w:rPr>
                <w:rFonts w:eastAsia="Arial" w:cs="Arial"/>
                <w:szCs w:val="24"/>
              </w:rPr>
              <w:t>-</w:t>
            </w:r>
          </w:p>
        </w:tc>
        <w:tc>
          <w:tcPr>
            <w:tcW w:w="1814" w:type="dxa"/>
            <w:gridSpan w:val="2"/>
            <w:tcBorders>
              <w:left w:val="nil"/>
              <w:bottom w:val="nil"/>
              <w:right w:val="nil"/>
            </w:tcBorders>
            <w:tcMar>
              <w:left w:w="0" w:type="dxa"/>
              <w:right w:w="0" w:type="dxa"/>
            </w:tcMar>
          </w:tcPr>
          <w:p w14:paraId="39F07ACB" w14:textId="77777777" w:rsidR="00625CCA" w:rsidRPr="00D35A8D" w:rsidRDefault="00625CCA"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1</w:t>
            </w:r>
          </w:p>
          <w:p w14:paraId="59A39D21" w14:textId="77777777" w:rsidR="00625CCA" w:rsidRPr="00D35A8D" w:rsidRDefault="00625CCA"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&lt;0.2%</w:t>
            </w:r>
          </w:p>
        </w:tc>
        <w:tc>
          <w:tcPr>
            <w:tcW w:w="1833" w:type="dxa"/>
            <w:gridSpan w:val="2"/>
            <w:tcBorders>
              <w:left w:val="nil"/>
              <w:bottom w:val="nil"/>
              <w:right w:val="nil"/>
            </w:tcBorders>
            <w:tcMar>
              <w:left w:w="0" w:type="dxa"/>
              <w:right w:w="0" w:type="dxa"/>
            </w:tcMar>
          </w:tcPr>
          <w:p w14:paraId="74CFDD97" w14:textId="77777777" w:rsidR="00625CCA" w:rsidRPr="00D35A8D" w:rsidRDefault="00625CCA"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2</w:t>
            </w:r>
          </w:p>
          <w:p w14:paraId="6574EB8E" w14:textId="77777777" w:rsidR="00625CCA" w:rsidRPr="00D35A8D" w:rsidRDefault="00625CCA"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0.2-1%</w:t>
            </w:r>
          </w:p>
        </w:tc>
        <w:tc>
          <w:tcPr>
            <w:tcW w:w="1833" w:type="dxa"/>
            <w:gridSpan w:val="2"/>
            <w:tcBorders>
              <w:left w:val="nil"/>
              <w:bottom w:val="nil"/>
              <w:right w:val="nil"/>
            </w:tcBorders>
            <w:tcMar>
              <w:left w:w="0" w:type="dxa"/>
              <w:right w:w="0" w:type="dxa"/>
            </w:tcMar>
          </w:tcPr>
          <w:p w14:paraId="517D909C" w14:textId="77777777" w:rsidR="00625CCA" w:rsidRPr="00D35A8D" w:rsidRDefault="00625CCA"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3</w:t>
            </w:r>
          </w:p>
          <w:p w14:paraId="59218B55" w14:textId="77777777" w:rsidR="00625CCA" w:rsidRPr="00D35A8D" w:rsidRDefault="00625CCA"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1-5%</w:t>
            </w:r>
          </w:p>
        </w:tc>
        <w:tc>
          <w:tcPr>
            <w:tcW w:w="1832" w:type="dxa"/>
            <w:gridSpan w:val="2"/>
            <w:tcBorders>
              <w:left w:val="nil"/>
              <w:bottom w:val="nil"/>
              <w:right w:val="nil"/>
            </w:tcBorders>
            <w:tcMar>
              <w:left w:w="0" w:type="dxa"/>
              <w:right w:w="0" w:type="dxa"/>
            </w:tcMar>
          </w:tcPr>
          <w:p w14:paraId="76EB33D6" w14:textId="77777777" w:rsidR="00625CCA" w:rsidRPr="00D35A8D" w:rsidRDefault="00625CCA"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4</w:t>
            </w:r>
          </w:p>
          <w:p w14:paraId="38309187" w14:textId="77777777" w:rsidR="00625CCA" w:rsidRPr="00D35A8D" w:rsidRDefault="00625CCA"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5-25%</w:t>
            </w:r>
          </w:p>
        </w:tc>
        <w:tc>
          <w:tcPr>
            <w:tcW w:w="1553" w:type="dxa"/>
            <w:gridSpan w:val="2"/>
            <w:tcBorders>
              <w:left w:val="nil"/>
              <w:bottom w:val="nil"/>
              <w:right w:val="nil"/>
            </w:tcBorders>
            <w:tcMar>
              <w:left w:w="0" w:type="dxa"/>
              <w:right w:w="0" w:type="dxa"/>
            </w:tcMar>
          </w:tcPr>
          <w:p w14:paraId="3A4BBA64" w14:textId="77777777" w:rsidR="00625CCA" w:rsidRPr="00D35A8D" w:rsidRDefault="00625CCA"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5</w:t>
            </w:r>
          </w:p>
          <w:p w14:paraId="063A59B6" w14:textId="77777777" w:rsidR="00625CCA" w:rsidRPr="00D35A8D" w:rsidRDefault="00625CCA" w:rsidP="00E43704">
            <w:pPr>
              <w:spacing w:before="0" w:after="0" w:line="240" w:lineRule="auto"/>
              <w:jc w:val="center"/>
              <w:rPr>
                <w:rFonts w:eastAsia="Arial" w:cs="Arial"/>
                <w:color w:val="000000" w:themeColor="text1"/>
                <w:szCs w:val="24"/>
              </w:rPr>
            </w:pPr>
            <w:r w:rsidRPr="00D35A8D">
              <w:rPr>
                <w:rFonts w:eastAsia="Arial" w:cs="Arial"/>
                <w:color w:val="000000" w:themeColor="text1"/>
                <w:szCs w:val="24"/>
              </w:rPr>
              <w:t>&gt;25%</w:t>
            </w:r>
          </w:p>
        </w:tc>
      </w:tr>
      <w:tr w:rsidR="00625CCA" w:rsidRPr="00D35A8D" w14:paraId="598A4896" w14:textId="77777777" w:rsidTr="008B4C44">
        <w:trPr>
          <w:gridAfter w:val="1"/>
          <w:wAfter w:w="13" w:type="dxa"/>
          <w:trHeight w:val="283"/>
        </w:trPr>
        <w:tc>
          <w:tcPr>
            <w:tcW w:w="1200" w:type="dxa"/>
            <w:gridSpan w:val="2"/>
            <w:vMerge/>
            <w:tcBorders>
              <w:left w:val="nil"/>
              <w:bottom w:val="nil"/>
              <w:right w:val="nil"/>
            </w:tcBorders>
            <w:tcMar>
              <w:left w:w="0" w:type="dxa"/>
              <w:right w:w="0" w:type="dxa"/>
            </w:tcMar>
            <w:vAlign w:val="center"/>
          </w:tcPr>
          <w:p w14:paraId="449740BD" w14:textId="77777777" w:rsidR="00625CCA" w:rsidRPr="00D35A8D" w:rsidRDefault="00625CCA" w:rsidP="00E43704">
            <w:pPr>
              <w:spacing w:before="0" w:after="0" w:line="240" w:lineRule="auto"/>
              <w:jc w:val="center"/>
              <w:rPr>
                <w:rFonts w:eastAsia="Arial" w:cs="Arial"/>
                <w:color w:val="000000" w:themeColor="text1"/>
                <w:szCs w:val="24"/>
              </w:rPr>
            </w:pPr>
          </w:p>
        </w:tc>
        <w:tc>
          <w:tcPr>
            <w:tcW w:w="8865" w:type="dxa"/>
            <w:gridSpan w:val="10"/>
            <w:tcBorders>
              <w:top w:val="nil"/>
              <w:left w:val="nil"/>
              <w:bottom w:val="nil"/>
              <w:right w:val="nil"/>
            </w:tcBorders>
            <w:tcMar>
              <w:left w:w="0" w:type="dxa"/>
              <w:right w:w="0" w:type="dxa"/>
            </w:tcMar>
          </w:tcPr>
          <w:p w14:paraId="799B654E" w14:textId="77777777" w:rsidR="00625CCA" w:rsidRPr="00D35A8D" w:rsidRDefault="00625CCA" w:rsidP="00E43704">
            <w:pPr>
              <w:spacing w:before="0" w:after="0" w:line="240" w:lineRule="auto"/>
              <w:jc w:val="center"/>
              <w:rPr>
                <w:rFonts w:eastAsia="Arial" w:cs="Arial"/>
                <w:b/>
                <w:bCs/>
                <w:color w:val="000000" w:themeColor="text1"/>
                <w:szCs w:val="24"/>
              </w:rPr>
            </w:pPr>
            <w:r w:rsidRPr="00D35A8D">
              <w:rPr>
                <w:rFonts w:eastAsia="Arial" w:cs="Arial"/>
                <w:b/>
                <w:bCs/>
                <w:color w:val="000000" w:themeColor="text1"/>
                <w:szCs w:val="24"/>
              </w:rPr>
              <w:t>Likelihood</w:t>
            </w:r>
          </w:p>
        </w:tc>
      </w:tr>
    </w:tbl>
    <w:p w14:paraId="211B738F" w14:textId="77777777" w:rsidR="00625CCA" w:rsidRPr="00FC15CC" w:rsidRDefault="00625CCA" w:rsidP="009D68DC">
      <w:pPr>
        <w:rPr>
          <w:highlight w:val="yellow"/>
        </w:rPr>
      </w:pPr>
    </w:p>
    <w:tbl>
      <w:tblPr>
        <w:tblStyle w:val="TableGrid"/>
        <w:tblW w:w="10349"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Thematic groups and risks"/>
        <w:tblDescription w:val="Numbered list of national risks in thematic groups"/>
      </w:tblPr>
      <w:tblGrid>
        <w:gridCol w:w="1135"/>
        <w:gridCol w:w="9214"/>
      </w:tblGrid>
      <w:tr w:rsidR="00625CCA" w:rsidRPr="001E28E5" w14:paraId="75174119" w14:textId="77777777" w:rsidTr="009D68DC">
        <w:trPr>
          <w:tblHeader/>
        </w:trPr>
        <w:tc>
          <w:tcPr>
            <w:tcW w:w="1135" w:type="dxa"/>
            <w:vAlign w:val="center"/>
          </w:tcPr>
          <w:p w14:paraId="352CF0E5" w14:textId="77777777" w:rsidR="00625CCA" w:rsidRDefault="00625CCA" w:rsidP="00E43704">
            <w:pPr>
              <w:spacing w:before="0" w:after="0" w:line="240" w:lineRule="auto"/>
              <w:rPr>
                <w:rFonts w:cs="Arial"/>
                <w:b/>
                <w:bCs/>
                <w:szCs w:val="24"/>
              </w:rPr>
            </w:pPr>
            <w:r>
              <w:rPr>
                <w:rFonts w:cs="Arial"/>
                <w:b/>
                <w:bCs/>
                <w:szCs w:val="24"/>
              </w:rPr>
              <w:t>Number</w:t>
            </w:r>
          </w:p>
        </w:tc>
        <w:tc>
          <w:tcPr>
            <w:tcW w:w="9214" w:type="dxa"/>
            <w:vAlign w:val="center"/>
          </w:tcPr>
          <w:p w14:paraId="182240A9" w14:textId="77777777" w:rsidR="00625CCA" w:rsidRPr="001E28E5" w:rsidRDefault="00625CCA" w:rsidP="00E43704">
            <w:pPr>
              <w:spacing w:before="0" w:after="0" w:line="240" w:lineRule="auto"/>
              <w:rPr>
                <w:rFonts w:cs="Arial"/>
                <w:b/>
                <w:bCs/>
                <w:szCs w:val="24"/>
              </w:rPr>
            </w:pPr>
            <w:r>
              <w:rPr>
                <w:rFonts w:cs="Arial"/>
                <w:b/>
                <w:bCs/>
                <w:szCs w:val="24"/>
              </w:rPr>
              <w:t>Thematic group of risk</w:t>
            </w:r>
          </w:p>
        </w:tc>
      </w:tr>
      <w:tr w:rsidR="00625CCA" w:rsidRPr="001E28E5" w14:paraId="2EDB9637" w14:textId="77777777" w:rsidTr="00E43704">
        <w:tc>
          <w:tcPr>
            <w:tcW w:w="1135" w:type="dxa"/>
            <w:vAlign w:val="center"/>
          </w:tcPr>
          <w:p w14:paraId="182954A5" w14:textId="77777777" w:rsidR="00625CCA" w:rsidRPr="00F55893" w:rsidRDefault="00625CCA" w:rsidP="00E43704">
            <w:pPr>
              <w:spacing w:before="0" w:after="0" w:line="240" w:lineRule="auto"/>
              <w:rPr>
                <w:rFonts w:cs="Arial"/>
                <w:szCs w:val="24"/>
              </w:rPr>
            </w:pPr>
            <w:r w:rsidRPr="00F55893">
              <w:rPr>
                <w:rFonts w:cs="Arial"/>
                <w:szCs w:val="24"/>
              </w:rPr>
              <w:t>-</w:t>
            </w:r>
          </w:p>
        </w:tc>
        <w:tc>
          <w:tcPr>
            <w:tcW w:w="9214" w:type="dxa"/>
            <w:vAlign w:val="center"/>
          </w:tcPr>
          <w:p w14:paraId="04A0FB76" w14:textId="3CB24A91" w:rsidR="00625CCA" w:rsidRPr="001E28E5" w:rsidRDefault="00625CCA" w:rsidP="00E43704">
            <w:pPr>
              <w:spacing w:before="0" w:after="0" w:line="240" w:lineRule="auto"/>
              <w:rPr>
                <w:rFonts w:cs="Arial"/>
                <w:b/>
                <w:bCs/>
                <w:szCs w:val="24"/>
              </w:rPr>
            </w:pPr>
            <w:r w:rsidRPr="001E28E5">
              <w:rPr>
                <w:rFonts w:cs="Arial"/>
                <w:b/>
                <w:bCs/>
                <w:szCs w:val="24"/>
              </w:rPr>
              <w:t>Terrorism</w:t>
            </w:r>
          </w:p>
        </w:tc>
      </w:tr>
      <w:tr w:rsidR="00625CCA" w:rsidRPr="001E28E5" w14:paraId="0BEC2F81" w14:textId="77777777" w:rsidTr="00E43704">
        <w:tc>
          <w:tcPr>
            <w:tcW w:w="1135" w:type="dxa"/>
            <w:vAlign w:val="center"/>
          </w:tcPr>
          <w:p w14:paraId="391E863C" w14:textId="77777777" w:rsidR="00625CCA" w:rsidRPr="001E28E5" w:rsidRDefault="00625CCA" w:rsidP="00E43704">
            <w:pPr>
              <w:spacing w:before="0" w:after="0" w:line="240" w:lineRule="auto"/>
              <w:rPr>
                <w:rFonts w:cs="Arial"/>
                <w:szCs w:val="24"/>
              </w:rPr>
            </w:pPr>
            <w:r w:rsidRPr="001E28E5">
              <w:rPr>
                <w:rFonts w:cs="Arial"/>
                <w:szCs w:val="24"/>
              </w:rPr>
              <w:t>1</w:t>
            </w:r>
          </w:p>
        </w:tc>
        <w:tc>
          <w:tcPr>
            <w:tcW w:w="9214" w:type="dxa"/>
            <w:vAlign w:val="center"/>
          </w:tcPr>
          <w:p w14:paraId="631085DC" w14:textId="77777777" w:rsidR="00625CCA" w:rsidRPr="001E28E5" w:rsidRDefault="00625CCA" w:rsidP="00E43704">
            <w:pPr>
              <w:spacing w:before="0" w:after="0" w:line="240" w:lineRule="auto"/>
              <w:rPr>
                <w:rFonts w:cs="Arial"/>
                <w:szCs w:val="24"/>
              </w:rPr>
            </w:pPr>
            <w:r w:rsidRPr="001E28E5">
              <w:rPr>
                <w:rFonts w:cs="Arial"/>
                <w:szCs w:val="24"/>
              </w:rPr>
              <w:t>International terrorist attack</w:t>
            </w:r>
          </w:p>
        </w:tc>
      </w:tr>
      <w:tr w:rsidR="00625CCA" w:rsidRPr="001E28E5" w14:paraId="085883F5" w14:textId="77777777" w:rsidTr="00E43704">
        <w:tc>
          <w:tcPr>
            <w:tcW w:w="1135" w:type="dxa"/>
            <w:vAlign w:val="center"/>
          </w:tcPr>
          <w:p w14:paraId="7EE70E86" w14:textId="77777777" w:rsidR="00625CCA" w:rsidRPr="001E28E5" w:rsidRDefault="00625CCA" w:rsidP="00E43704">
            <w:pPr>
              <w:spacing w:before="0" w:after="0" w:line="240" w:lineRule="auto"/>
              <w:rPr>
                <w:rFonts w:cs="Arial"/>
                <w:szCs w:val="24"/>
              </w:rPr>
            </w:pPr>
            <w:r w:rsidRPr="001E28E5">
              <w:rPr>
                <w:rFonts w:cs="Arial"/>
                <w:szCs w:val="24"/>
              </w:rPr>
              <w:t>2</w:t>
            </w:r>
          </w:p>
        </w:tc>
        <w:tc>
          <w:tcPr>
            <w:tcW w:w="9214" w:type="dxa"/>
            <w:vAlign w:val="center"/>
          </w:tcPr>
          <w:p w14:paraId="01252065" w14:textId="77777777" w:rsidR="00625CCA" w:rsidRPr="001E28E5" w:rsidRDefault="00625CCA" w:rsidP="00E43704">
            <w:pPr>
              <w:spacing w:before="0" w:after="0" w:line="240" w:lineRule="auto"/>
              <w:rPr>
                <w:rFonts w:cs="Arial"/>
                <w:szCs w:val="24"/>
              </w:rPr>
            </w:pPr>
            <w:r w:rsidRPr="001E28E5">
              <w:rPr>
                <w:rFonts w:cs="Arial"/>
                <w:szCs w:val="24"/>
              </w:rPr>
              <w:t>Northern Ireland related terrorism</w:t>
            </w:r>
          </w:p>
        </w:tc>
      </w:tr>
      <w:tr w:rsidR="00625CCA" w:rsidRPr="001E28E5" w14:paraId="663D03EF" w14:textId="77777777" w:rsidTr="00E43704">
        <w:tc>
          <w:tcPr>
            <w:tcW w:w="1135" w:type="dxa"/>
            <w:vAlign w:val="center"/>
          </w:tcPr>
          <w:p w14:paraId="46CB0980" w14:textId="77777777" w:rsidR="00625CCA" w:rsidRPr="001E28E5" w:rsidRDefault="00625CCA" w:rsidP="00E43704">
            <w:pPr>
              <w:spacing w:before="0" w:after="0" w:line="240" w:lineRule="auto"/>
              <w:rPr>
                <w:rFonts w:cs="Arial"/>
                <w:szCs w:val="24"/>
              </w:rPr>
            </w:pPr>
            <w:r w:rsidRPr="001E28E5">
              <w:rPr>
                <w:rFonts w:cs="Arial"/>
                <w:szCs w:val="24"/>
              </w:rPr>
              <w:t>3</w:t>
            </w:r>
            <w:r>
              <w:rPr>
                <w:rFonts w:cs="Arial"/>
                <w:szCs w:val="24"/>
              </w:rPr>
              <w:t>*</w:t>
            </w:r>
          </w:p>
        </w:tc>
        <w:tc>
          <w:tcPr>
            <w:tcW w:w="9214" w:type="dxa"/>
            <w:vAlign w:val="center"/>
          </w:tcPr>
          <w:p w14:paraId="76383B04" w14:textId="79B74DD8" w:rsidR="00625CCA" w:rsidRPr="001E28E5" w:rsidRDefault="00625CCA" w:rsidP="00E43704">
            <w:pPr>
              <w:spacing w:before="0" w:after="0" w:line="240" w:lineRule="auto"/>
              <w:rPr>
                <w:rFonts w:cs="Arial"/>
                <w:szCs w:val="24"/>
              </w:rPr>
            </w:pPr>
            <w:r w:rsidRPr="001E28E5">
              <w:rPr>
                <w:rFonts w:cs="Arial"/>
                <w:szCs w:val="24"/>
              </w:rPr>
              <w:t xml:space="preserve">Terrorist attacks in </w:t>
            </w:r>
            <w:r w:rsidR="004A49CC">
              <w:rPr>
                <w:rFonts w:cs="Arial"/>
                <w:szCs w:val="24"/>
              </w:rPr>
              <w:t>publicly accessible locations</w:t>
            </w:r>
          </w:p>
        </w:tc>
      </w:tr>
      <w:tr w:rsidR="00625CCA" w:rsidRPr="001E28E5" w14:paraId="36D1EA1C" w14:textId="77777777" w:rsidTr="00E43704">
        <w:tc>
          <w:tcPr>
            <w:tcW w:w="1135" w:type="dxa"/>
            <w:vAlign w:val="center"/>
          </w:tcPr>
          <w:p w14:paraId="4DCCCEDA" w14:textId="77777777" w:rsidR="00625CCA" w:rsidRPr="001E28E5" w:rsidRDefault="00625CCA" w:rsidP="00E43704">
            <w:pPr>
              <w:spacing w:before="0" w:after="0" w:line="240" w:lineRule="auto"/>
              <w:rPr>
                <w:rFonts w:cs="Arial"/>
                <w:szCs w:val="24"/>
              </w:rPr>
            </w:pPr>
            <w:r w:rsidRPr="001E28E5">
              <w:rPr>
                <w:rFonts w:cs="Arial"/>
                <w:szCs w:val="24"/>
              </w:rPr>
              <w:t>4</w:t>
            </w:r>
            <w:r>
              <w:rPr>
                <w:rFonts w:cs="Arial"/>
                <w:szCs w:val="24"/>
              </w:rPr>
              <w:t>*</w:t>
            </w:r>
          </w:p>
        </w:tc>
        <w:tc>
          <w:tcPr>
            <w:tcW w:w="9214" w:type="dxa"/>
            <w:vAlign w:val="center"/>
          </w:tcPr>
          <w:p w14:paraId="452851AB" w14:textId="77777777" w:rsidR="00625CCA" w:rsidRPr="001E28E5" w:rsidRDefault="00625CCA" w:rsidP="00E43704">
            <w:pPr>
              <w:spacing w:before="0" w:after="0" w:line="240" w:lineRule="auto"/>
              <w:rPr>
                <w:rFonts w:cs="Arial"/>
                <w:szCs w:val="24"/>
              </w:rPr>
            </w:pPr>
            <w:r w:rsidRPr="001E28E5">
              <w:rPr>
                <w:rFonts w:cs="Arial"/>
                <w:szCs w:val="24"/>
              </w:rPr>
              <w:t>Terrorist attacks on transport</w:t>
            </w:r>
          </w:p>
        </w:tc>
      </w:tr>
      <w:tr w:rsidR="00625CCA" w:rsidRPr="001E28E5" w14:paraId="53FE16EC" w14:textId="77777777" w:rsidTr="00E43704">
        <w:tc>
          <w:tcPr>
            <w:tcW w:w="1135" w:type="dxa"/>
            <w:vAlign w:val="center"/>
          </w:tcPr>
          <w:p w14:paraId="2E0EF79C" w14:textId="77777777" w:rsidR="00625CCA" w:rsidRPr="001E28E5" w:rsidRDefault="00625CCA" w:rsidP="00E43704">
            <w:pPr>
              <w:spacing w:before="0" w:after="0" w:line="240" w:lineRule="auto"/>
              <w:rPr>
                <w:rFonts w:cs="Arial"/>
                <w:szCs w:val="24"/>
              </w:rPr>
            </w:pPr>
            <w:r w:rsidRPr="001E28E5">
              <w:rPr>
                <w:rFonts w:cs="Arial"/>
                <w:szCs w:val="24"/>
              </w:rPr>
              <w:t>5</w:t>
            </w:r>
          </w:p>
        </w:tc>
        <w:tc>
          <w:tcPr>
            <w:tcW w:w="9214" w:type="dxa"/>
            <w:vAlign w:val="center"/>
          </w:tcPr>
          <w:p w14:paraId="0F3DE16F" w14:textId="77777777" w:rsidR="00625CCA" w:rsidRPr="001E28E5" w:rsidRDefault="00625CCA" w:rsidP="00E43704">
            <w:pPr>
              <w:spacing w:before="0" w:after="0" w:line="240" w:lineRule="auto"/>
              <w:rPr>
                <w:rFonts w:cs="Arial"/>
                <w:szCs w:val="24"/>
              </w:rPr>
            </w:pPr>
            <w:r w:rsidRPr="001E28E5">
              <w:rPr>
                <w:rFonts w:cs="Arial"/>
                <w:szCs w:val="24"/>
              </w:rPr>
              <w:t>Strategic hostage taking</w:t>
            </w:r>
          </w:p>
        </w:tc>
      </w:tr>
      <w:tr w:rsidR="00625CCA" w:rsidRPr="001E28E5" w14:paraId="492FFCC2" w14:textId="77777777" w:rsidTr="00E43704">
        <w:tc>
          <w:tcPr>
            <w:tcW w:w="1135" w:type="dxa"/>
            <w:vAlign w:val="center"/>
          </w:tcPr>
          <w:p w14:paraId="55C22D08" w14:textId="77777777" w:rsidR="00625CCA" w:rsidRPr="001E28E5" w:rsidRDefault="00625CCA" w:rsidP="00E43704">
            <w:pPr>
              <w:spacing w:before="0" w:after="0" w:line="240" w:lineRule="auto"/>
              <w:rPr>
                <w:rFonts w:cs="Arial"/>
                <w:szCs w:val="24"/>
              </w:rPr>
            </w:pPr>
            <w:r w:rsidRPr="001E28E5">
              <w:rPr>
                <w:rFonts w:cs="Arial"/>
                <w:szCs w:val="24"/>
              </w:rPr>
              <w:t>6</w:t>
            </w:r>
          </w:p>
        </w:tc>
        <w:tc>
          <w:tcPr>
            <w:tcW w:w="9214" w:type="dxa"/>
            <w:vAlign w:val="center"/>
          </w:tcPr>
          <w:p w14:paraId="154668D2" w14:textId="15A874A3" w:rsidR="00625CCA" w:rsidRPr="001E28E5" w:rsidRDefault="00625CCA" w:rsidP="00E43704">
            <w:pPr>
              <w:spacing w:before="0" w:after="0" w:line="240" w:lineRule="auto"/>
              <w:rPr>
                <w:rFonts w:cs="Arial"/>
                <w:szCs w:val="24"/>
              </w:rPr>
            </w:pPr>
            <w:r w:rsidRPr="001E28E5">
              <w:rPr>
                <w:rFonts w:cs="Arial"/>
                <w:szCs w:val="24"/>
              </w:rPr>
              <w:t>Assassination of a high-profile figure</w:t>
            </w:r>
          </w:p>
        </w:tc>
      </w:tr>
      <w:tr w:rsidR="00625CCA" w:rsidRPr="001E28E5" w14:paraId="60DFB6C2" w14:textId="77777777" w:rsidTr="00E43704">
        <w:tc>
          <w:tcPr>
            <w:tcW w:w="1135" w:type="dxa"/>
            <w:vAlign w:val="center"/>
          </w:tcPr>
          <w:p w14:paraId="5100685B" w14:textId="77777777" w:rsidR="00625CCA" w:rsidRPr="001E28E5" w:rsidRDefault="00625CCA" w:rsidP="00E43704">
            <w:pPr>
              <w:spacing w:before="0" w:after="0" w:line="240" w:lineRule="auto"/>
              <w:rPr>
                <w:rFonts w:cs="Arial"/>
                <w:szCs w:val="24"/>
              </w:rPr>
            </w:pPr>
            <w:r w:rsidRPr="001E28E5">
              <w:rPr>
                <w:rFonts w:cs="Arial"/>
                <w:szCs w:val="24"/>
              </w:rPr>
              <w:t>7</w:t>
            </w:r>
            <w:r>
              <w:rPr>
                <w:rFonts w:cs="Arial"/>
                <w:szCs w:val="24"/>
              </w:rPr>
              <w:t>*</w:t>
            </w:r>
          </w:p>
        </w:tc>
        <w:tc>
          <w:tcPr>
            <w:tcW w:w="9214" w:type="dxa"/>
            <w:vAlign w:val="center"/>
          </w:tcPr>
          <w:p w14:paraId="17B048A6" w14:textId="4EDBFECC" w:rsidR="00625CCA" w:rsidRPr="001E28E5" w:rsidRDefault="004A49CC" w:rsidP="00E43704">
            <w:pPr>
              <w:spacing w:before="0" w:after="0" w:line="240" w:lineRule="auto"/>
              <w:rPr>
                <w:rFonts w:cs="Arial"/>
                <w:szCs w:val="24"/>
              </w:rPr>
            </w:pPr>
            <w:r>
              <w:rPr>
                <w:rFonts w:cs="Arial"/>
                <w:szCs w:val="24"/>
              </w:rPr>
              <w:t>Larger</w:t>
            </w:r>
            <w:r w:rsidR="00625CCA" w:rsidRPr="001E28E5">
              <w:rPr>
                <w:rFonts w:cs="Arial"/>
                <w:szCs w:val="24"/>
              </w:rPr>
              <w:t xml:space="preserve">-scale </w:t>
            </w:r>
            <w:r w:rsidR="00625CCA" w:rsidRPr="00AB1C0E">
              <w:rPr>
                <w:rFonts w:cs="Arial"/>
                <w:color w:val="000000" w:themeColor="text1"/>
                <w:szCs w:val="24"/>
              </w:rPr>
              <w:t>C</w:t>
            </w:r>
            <w:r w:rsidR="001E1AD4" w:rsidRPr="00AB1C0E">
              <w:rPr>
                <w:rFonts w:cs="Arial"/>
                <w:color w:val="000000" w:themeColor="text1"/>
                <w:szCs w:val="24"/>
              </w:rPr>
              <w:t xml:space="preserve">hemical, Biological, Radiological or Nuclear </w:t>
            </w:r>
            <w:r w:rsidR="00625CCA" w:rsidRPr="001E28E5">
              <w:rPr>
                <w:rFonts w:cs="Arial"/>
                <w:szCs w:val="24"/>
              </w:rPr>
              <w:t>attacks</w:t>
            </w:r>
          </w:p>
        </w:tc>
      </w:tr>
      <w:tr w:rsidR="00625CCA" w:rsidRPr="001E28E5" w14:paraId="4E1F28EC" w14:textId="77777777" w:rsidTr="00E43704">
        <w:tc>
          <w:tcPr>
            <w:tcW w:w="1135" w:type="dxa"/>
            <w:vAlign w:val="center"/>
          </w:tcPr>
          <w:p w14:paraId="017321FF" w14:textId="77777777" w:rsidR="00625CCA" w:rsidRPr="001E28E5" w:rsidRDefault="00625CCA" w:rsidP="00E43704">
            <w:pPr>
              <w:spacing w:before="0" w:after="0" w:line="240" w:lineRule="auto"/>
              <w:rPr>
                <w:rFonts w:cs="Arial"/>
                <w:szCs w:val="24"/>
              </w:rPr>
            </w:pPr>
            <w:r w:rsidRPr="001E28E5">
              <w:rPr>
                <w:rFonts w:cs="Arial"/>
                <w:szCs w:val="24"/>
              </w:rPr>
              <w:t>8</w:t>
            </w:r>
            <w:r>
              <w:rPr>
                <w:rFonts w:cs="Arial"/>
                <w:szCs w:val="24"/>
              </w:rPr>
              <w:t>*</w:t>
            </w:r>
          </w:p>
        </w:tc>
        <w:tc>
          <w:tcPr>
            <w:tcW w:w="9214" w:type="dxa"/>
            <w:vAlign w:val="center"/>
          </w:tcPr>
          <w:p w14:paraId="38EBEE3B" w14:textId="532E1BF1" w:rsidR="00625CCA" w:rsidRPr="001E28E5" w:rsidRDefault="004A49CC" w:rsidP="00E43704">
            <w:pPr>
              <w:spacing w:before="0" w:after="0" w:line="240" w:lineRule="auto"/>
              <w:rPr>
                <w:rFonts w:cs="Arial"/>
                <w:szCs w:val="24"/>
              </w:rPr>
            </w:pPr>
            <w:r>
              <w:rPr>
                <w:rFonts w:cs="Arial"/>
                <w:szCs w:val="24"/>
              </w:rPr>
              <w:t>Smaller</w:t>
            </w:r>
            <w:r w:rsidR="00625CCA" w:rsidRPr="001E28E5">
              <w:rPr>
                <w:rFonts w:cs="Arial"/>
                <w:szCs w:val="24"/>
              </w:rPr>
              <w:t xml:space="preserve">-scale </w:t>
            </w:r>
            <w:r w:rsidR="001E1AD4" w:rsidRPr="007C2C25">
              <w:rPr>
                <w:rFonts w:cs="Arial"/>
                <w:color w:val="000000" w:themeColor="text1"/>
                <w:szCs w:val="24"/>
              </w:rPr>
              <w:t>Chemical, Biological, Radiological or Nuclear</w:t>
            </w:r>
            <w:r w:rsidR="001E1AD4">
              <w:rPr>
                <w:rFonts w:cs="Arial"/>
                <w:color w:val="000000" w:themeColor="text1"/>
                <w:szCs w:val="24"/>
              </w:rPr>
              <w:t xml:space="preserve"> attacks</w:t>
            </w:r>
          </w:p>
        </w:tc>
      </w:tr>
      <w:tr w:rsidR="00625CCA" w:rsidRPr="001E28E5" w14:paraId="0ACDDDB4" w14:textId="77777777" w:rsidTr="00E43704">
        <w:tc>
          <w:tcPr>
            <w:tcW w:w="1135" w:type="dxa"/>
            <w:vAlign w:val="center"/>
          </w:tcPr>
          <w:p w14:paraId="1C71C2B9" w14:textId="0FD05704" w:rsidR="00625CCA" w:rsidRPr="001E28E5" w:rsidRDefault="00625CCA" w:rsidP="00E43704">
            <w:pPr>
              <w:spacing w:before="0" w:after="0" w:line="240" w:lineRule="auto"/>
              <w:rPr>
                <w:rFonts w:cs="Arial"/>
                <w:szCs w:val="24"/>
              </w:rPr>
            </w:pPr>
            <w:r w:rsidRPr="001E28E5">
              <w:rPr>
                <w:rFonts w:cs="Arial"/>
                <w:szCs w:val="24"/>
              </w:rPr>
              <w:t>9</w:t>
            </w:r>
            <w:r w:rsidR="00184DB1">
              <w:rPr>
                <w:rFonts w:cs="Arial"/>
                <w:szCs w:val="24"/>
              </w:rPr>
              <w:t>*</w:t>
            </w:r>
          </w:p>
        </w:tc>
        <w:tc>
          <w:tcPr>
            <w:tcW w:w="9214" w:type="dxa"/>
            <w:vAlign w:val="center"/>
          </w:tcPr>
          <w:p w14:paraId="5347F6A4" w14:textId="2474B3C8" w:rsidR="00625CCA" w:rsidRPr="001E28E5" w:rsidRDefault="004A49CC" w:rsidP="00E43704">
            <w:pPr>
              <w:spacing w:before="0" w:after="0" w:line="240" w:lineRule="auto"/>
              <w:rPr>
                <w:rFonts w:cs="Arial"/>
                <w:szCs w:val="24"/>
              </w:rPr>
            </w:pPr>
            <w:r>
              <w:rPr>
                <w:rFonts w:cs="Arial"/>
                <w:szCs w:val="24"/>
              </w:rPr>
              <w:t>Medium</w:t>
            </w:r>
            <w:r w:rsidR="00625CCA" w:rsidRPr="001E28E5">
              <w:rPr>
                <w:rFonts w:cs="Arial"/>
                <w:szCs w:val="24"/>
              </w:rPr>
              <w:t>-scal</w:t>
            </w:r>
            <w:r w:rsidR="001E1AD4">
              <w:rPr>
                <w:rFonts w:cs="Arial"/>
                <w:szCs w:val="24"/>
              </w:rPr>
              <w:t>e</w:t>
            </w:r>
            <w:r>
              <w:rPr>
                <w:rFonts w:cs="Arial"/>
                <w:szCs w:val="24"/>
              </w:rPr>
              <w:t xml:space="preserve"> -</w:t>
            </w:r>
            <w:r w:rsidR="001E1AD4">
              <w:rPr>
                <w:rFonts w:cs="Arial"/>
                <w:szCs w:val="24"/>
              </w:rPr>
              <w:t xml:space="preserve"> </w:t>
            </w:r>
            <w:r w:rsidR="001E1AD4" w:rsidRPr="007C2C25">
              <w:rPr>
                <w:rFonts w:cs="Arial"/>
                <w:color w:val="000000" w:themeColor="text1"/>
                <w:szCs w:val="24"/>
              </w:rPr>
              <w:t xml:space="preserve">Chemical, Biological, Radiological or Nuclear </w:t>
            </w:r>
            <w:r w:rsidR="00625CCA" w:rsidRPr="001E28E5">
              <w:rPr>
                <w:rFonts w:cs="Arial"/>
                <w:szCs w:val="24"/>
              </w:rPr>
              <w:t>attacks</w:t>
            </w:r>
          </w:p>
        </w:tc>
      </w:tr>
      <w:tr w:rsidR="00625CCA" w:rsidRPr="001E28E5" w14:paraId="250B3E2B" w14:textId="77777777" w:rsidTr="00E43704">
        <w:tc>
          <w:tcPr>
            <w:tcW w:w="1135" w:type="dxa"/>
            <w:vAlign w:val="center"/>
          </w:tcPr>
          <w:p w14:paraId="16BEF9FE" w14:textId="77777777" w:rsidR="00625CCA" w:rsidRPr="001E28E5" w:rsidRDefault="00625CCA" w:rsidP="00E43704">
            <w:pPr>
              <w:spacing w:before="0" w:after="0" w:line="240" w:lineRule="auto"/>
              <w:rPr>
                <w:rFonts w:cs="Arial"/>
                <w:szCs w:val="24"/>
              </w:rPr>
            </w:pPr>
            <w:r w:rsidRPr="001E28E5">
              <w:rPr>
                <w:rFonts w:cs="Arial"/>
                <w:szCs w:val="24"/>
              </w:rPr>
              <w:t>10</w:t>
            </w:r>
            <w:r>
              <w:rPr>
                <w:rFonts w:cs="Arial"/>
                <w:szCs w:val="24"/>
              </w:rPr>
              <w:t>*</w:t>
            </w:r>
          </w:p>
        </w:tc>
        <w:tc>
          <w:tcPr>
            <w:tcW w:w="9214" w:type="dxa"/>
            <w:vAlign w:val="center"/>
          </w:tcPr>
          <w:p w14:paraId="37893035" w14:textId="77777777" w:rsidR="00625CCA" w:rsidRPr="001E28E5" w:rsidRDefault="00625CCA" w:rsidP="00E43704">
            <w:pPr>
              <w:spacing w:before="0" w:after="0" w:line="240" w:lineRule="auto"/>
              <w:rPr>
                <w:rFonts w:cs="Arial"/>
                <w:szCs w:val="24"/>
              </w:rPr>
            </w:pPr>
            <w:r w:rsidRPr="001E28E5">
              <w:rPr>
                <w:rFonts w:cs="Arial"/>
                <w:szCs w:val="24"/>
              </w:rPr>
              <w:t>Conventional attacks on infrastructure</w:t>
            </w:r>
          </w:p>
        </w:tc>
      </w:tr>
      <w:tr w:rsidR="00625CCA" w:rsidRPr="001E28E5" w14:paraId="3190FB62" w14:textId="77777777" w:rsidTr="00E43704">
        <w:tc>
          <w:tcPr>
            <w:tcW w:w="1135" w:type="dxa"/>
            <w:vAlign w:val="center"/>
          </w:tcPr>
          <w:p w14:paraId="3B5CB417" w14:textId="77777777" w:rsidR="00625CCA" w:rsidRPr="001E28E5" w:rsidRDefault="00625CCA" w:rsidP="00E43704">
            <w:pPr>
              <w:spacing w:before="0" w:after="0" w:line="240" w:lineRule="auto"/>
              <w:rPr>
                <w:rFonts w:cs="Arial"/>
                <w:szCs w:val="24"/>
              </w:rPr>
            </w:pPr>
            <w:r w:rsidRPr="001E28E5">
              <w:rPr>
                <w:rFonts w:cs="Arial"/>
                <w:szCs w:val="24"/>
              </w:rPr>
              <w:t>11</w:t>
            </w:r>
            <w:r>
              <w:rPr>
                <w:rFonts w:cs="Arial"/>
                <w:szCs w:val="24"/>
              </w:rPr>
              <w:t>*</w:t>
            </w:r>
          </w:p>
        </w:tc>
        <w:tc>
          <w:tcPr>
            <w:tcW w:w="9214" w:type="dxa"/>
            <w:vAlign w:val="center"/>
          </w:tcPr>
          <w:p w14:paraId="6E75A03B" w14:textId="77777777" w:rsidR="00625CCA" w:rsidRPr="001E28E5" w:rsidRDefault="00625CCA" w:rsidP="00E43704">
            <w:pPr>
              <w:spacing w:before="0" w:after="0" w:line="240" w:lineRule="auto"/>
              <w:rPr>
                <w:rFonts w:cs="Arial"/>
                <w:szCs w:val="24"/>
              </w:rPr>
            </w:pPr>
            <w:r w:rsidRPr="001E28E5">
              <w:rPr>
                <w:rFonts w:cs="Arial"/>
                <w:szCs w:val="24"/>
              </w:rPr>
              <w:t>Cyber attacks on infrastructure</w:t>
            </w:r>
          </w:p>
        </w:tc>
      </w:tr>
      <w:tr w:rsidR="00625CCA" w:rsidRPr="001E28E5" w14:paraId="62007DD0" w14:textId="77777777" w:rsidTr="00E43704">
        <w:tc>
          <w:tcPr>
            <w:tcW w:w="1135" w:type="dxa"/>
            <w:vAlign w:val="center"/>
          </w:tcPr>
          <w:p w14:paraId="2208B37F" w14:textId="77777777" w:rsidR="00625CCA" w:rsidRPr="00F55893" w:rsidRDefault="00625CCA" w:rsidP="00E43704">
            <w:pPr>
              <w:spacing w:before="0" w:after="0" w:line="240" w:lineRule="auto"/>
              <w:rPr>
                <w:rFonts w:cs="Arial"/>
                <w:szCs w:val="24"/>
              </w:rPr>
            </w:pPr>
            <w:r w:rsidRPr="00F55893">
              <w:rPr>
                <w:rFonts w:cs="Arial"/>
                <w:szCs w:val="24"/>
              </w:rPr>
              <w:t>-</w:t>
            </w:r>
          </w:p>
        </w:tc>
        <w:tc>
          <w:tcPr>
            <w:tcW w:w="9214" w:type="dxa"/>
            <w:vAlign w:val="center"/>
          </w:tcPr>
          <w:p w14:paraId="42DAE142" w14:textId="77777777" w:rsidR="00625CCA" w:rsidRPr="001E28E5" w:rsidRDefault="00625CCA" w:rsidP="00E43704">
            <w:pPr>
              <w:spacing w:before="0" w:after="0" w:line="240" w:lineRule="auto"/>
              <w:rPr>
                <w:rFonts w:cs="Arial"/>
                <w:b/>
                <w:bCs/>
                <w:szCs w:val="24"/>
              </w:rPr>
            </w:pPr>
            <w:r w:rsidRPr="001E28E5">
              <w:rPr>
                <w:rFonts w:cs="Arial"/>
                <w:b/>
                <w:bCs/>
                <w:szCs w:val="24"/>
              </w:rPr>
              <w:t>Geographic and diplomatic</w:t>
            </w:r>
          </w:p>
        </w:tc>
      </w:tr>
      <w:tr w:rsidR="00625CCA" w:rsidRPr="001E28E5" w14:paraId="2A5271CB" w14:textId="77777777" w:rsidTr="00E43704">
        <w:tc>
          <w:tcPr>
            <w:tcW w:w="1135" w:type="dxa"/>
            <w:vAlign w:val="center"/>
          </w:tcPr>
          <w:p w14:paraId="47E7706D" w14:textId="77777777" w:rsidR="00625CCA" w:rsidRPr="001E28E5" w:rsidRDefault="00625CCA" w:rsidP="00E43704">
            <w:pPr>
              <w:spacing w:before="0" w:after="0" w:line="240" w:lineRule="auto"/>
              <w:rPr>
                <w:rFonts w:cs="Arial"/>
                <w:szCs w:val="24"/>
              </w:rPr>
            </w:pPr>
            <w:r w:rsidRPr="001E28E5">
              <w:rPr>
                <w:rFonts w:cs="Arial"/>
                <w:szCs w:val="24"/>
              </w:rPr>
              <w:t>12</w:t>
            </w:r>
          </w:p>
        </w:tc>
        <w:tc>
          <w:tcPr>
            <w:tcW w:w="9214" w:type="dxa"/>
            <w:vAlign w:val="center"/>
          </w:tcPr>
          <w:p w14:paraId="14D0D39A" w14:textId="77777777" w:rsidR="00625CCA" w:rsidRPr="001E28E5" w:rsidRDefault="00625CCA" w:rsidP="00E43704">
            <w:pPr>
              <w:spacing w:before="0" w:after="0" w:line="240" w:lineRule="auto"/>
              <w:rPr>
                <w:rFonts w:cs="Arial"/>
                <w:szCs w:val="24"/>
              </w:rPr>
            </w:pPr>
            <w:r w:rsidRPr="001E28E5">
              <w:rPr>
                <w:rFonts w:cs="Arial"/>
                <w:szCs w:val="24"/>
              </w:rPr>
              <w:t>Disruption to global oil trade routes</w:t>
            </w:r>
          </w:p>
        </w:tc>
      </w:tr>
      <w:tr w:rsidR="00625CCA" w:rsidRPr="001E28E5" w14:paraId="377BDCD6" w14:textId="77777777" w:rsidTr="00E43704">
        <w:tc>
          <w:tcPr>
            <w:tcW w:w="1135" w:type="dxa"/>
            <w:vAlign w:val="center"/>
          </w:tcPr>
          <w:p w14:paraId="37E45116" w14:textId="77777777" w:rsidR="00625CCA" w:rsidRPr="00F55893" w:rsidRDefault="00625CCA" w:rsidP="00E43704">
            <w:pPr>
              <w:spacing w:before="0" w:after="0" w:line="240" w:lineRule="auto"/>
              <w:rPr>
                <w:rFonts w:cs="Arial"/>
                <w:szCs w:val="24"/>
              </w:rPr>
            </w:pPr>
            <w:r w:rsidRPr="00F55893">
              <w:rPr>
                <w:rFonts w:cs="Arial"/>
                <w:szCs w:val="24"/>
              </w:rPr>
              <w:t>-</w:t>
            </w:r>
          </w:p>
        </w:tc>
        <w:tc>
          <w:tcPr>
            <w:tcW w:w="9214" w:type="dxa"/>
            <w:vAlign w:val="center"/>
          </w:tcPr>
          <w:p w14:paraId="4D0798C0" w14:textId="77777777" w:rsidR="00625CCA" w:rsidRPr="001E28E5" w:rsidRDefault="00625CCA" w:rsidP="00E43704">
            <w:pPr>
              <w:spacing w:before="0" w:after="0" w:line="240" w:lineRule="auto"/>
              <w:rPr>
                <w:rFonts w:cs="Arial"/>
                <w:b/>
                <w:bCs/>
                <w:szCs w:val="24"/>
              </w:rPr>
            </w:pPr>
            <w:r w:rsidRPr="001E28E5">
              <w:rPr>
                <w:rFonts w:cs="Arial"/>
                <w:b/>
                <w:bCs/>
                <w:szCs w:val="24"/>
              </w:rPr>
              <w:t>Accidents and systems failures</w:t>
            </w:r>
          </w:p>
        </w:tc>
      </w:tr>
      <w:tr w:rsidR="00625CCA" w:rsidRPr="001E28E5" w14:paraId="585957BE" w14:textId="77777777" w:rsidTr="00E43704">
        <w:tc>
          <w:tcPr>
            <w:tcW w:w="1135" w:type="dxa"/>
            <w:vAlign w:val="center"/>
          </w:tcPr>
          <w:p w14:paraId="25D3C47A" w14:textId="77777777" w:rsidR="00625CCA" w:rsidRPr="001E28E5" w:rsidRDefault="00625CCA" w:rsidP="00E43704">
            <w:pPr>
              <w:spacing w:before="0" w:after="0" w:line="240" w:lineRule="auto"/>
              <w:rPr>
                <w:rFonts w:cs="Arial"/>
                <w:szCs w:val="24"/>
              </w:rPr>
            </w:pPr>
            <w:r w:rsidRPr="001E28E5">
              <w:rPr>
                <w:rFonts w:cs="Arial"/>
                <w:szCs w:val="24"/>
              </w:rPr>
              <w:t>13</w:t>
            </w:r>
          </w:p>
        </w:tc>
        <w:tc>
          <w:tcPr>
            <w:tcW w:w="9214" w:type="dxa"/>
            <w:vAlign w:val="center"/>
          </w:tcPr>
          <w:p w14:paraId="482541C7" w14:textId="77777777" w:rsidR="00625CCA" w:rsidRPr="001E28E5" w:rsidRDefault="00625CCA" w:rsidP="00E43704">
            <w:pPr>
              <w:spacing w:before="0" w:after="0" w:line="240" w:lineRule="auto"/>
              <w:rPr>
                <w:rFonts w:cs="Arial"/>
                <w:szCs w:val="24"/>
              </w:rPr>
            </w:pPr>
            <w:r w:rsidRPr="001E28E5">
              <w:rPr>
                <w:rFonts w:cs="Arial"/>
                <w:szCs w:val="24"/>
              </w:rPr>
              <w:t>Major adult social care provider failure</w:t>
            </w:r>
          </w:p>
        </w:tc>
      </w:tr>
      <w:tr w:rsidR="00625CCA" w:rsidRPr="001E28E5" w14:paraId="333550CE" w14:textId="77777777" w:rsidTr="00E43704">
        <w:tc>
          <w:tcPr>
            <w:tcW w:w="1135" w:type="dxa"/>
            <w:vAlign w:val="center"/>
          </w:tcPr>
          <w:p w14:paraId="7687F5CD" w14:textId="46A7005B" w:rsidR="00625CCA" w:rsidRPr="001E28E5" w:rsidRDefault="00625CCA" w:rsidP="00E43704">
            <w:pPr>
              <w:spacing w:before="0" w:after="0" w:line="240" w:lineRule="auto"/>
              <w:rPr>
                <w:rFonts w:cs="Arial"/>
                <w:szCs w:val="24"/>
              </w:rPr>
            </w:pPr>
            <w:r w:rsidRPr="001E28E5">
              <w:rPr>
                <w:rFonts w:cs="Arial"/>
                <w:szCs w:val="24"/>
              </w:rPr>
              <w:t>14</w:t>
            </w:r>
            <w:r w:rsidR="00184DB1">
              <w:rPr>
                <w:rFonts w:cs="Arial"/>
                <w:szCs w:val="24"/>
              </w:rPr>
              <w:t>*</w:t>
            </w:r>
          </w:p>
        </w:tc>
        <w:tc>
          <w:tcPr>
            <w:tcW w:w="9214" w:type="dxa"/>
            <w:vAlign w:val="center"/>
          </w:tcPr>
          <w:p w14:paraId="58EDBB3F" w14:textId="77777777" w:rsidR="00625CCA" w:rsidRPr="001E28E5" w:rsidRDefault="00625CCA" w:rsidP="00E43704">
            <w:pPr>
              <w:spacing w:before="0" w:after="0" w:line="240" w:lineRule="auto"/>
              <w:rPr>
                <w:rFonts w:cs="Arial"/>
                <w:szCs w:val="24"/>
              </w:rPr>
            </w:pPr>
            <w:r w:rsidRPr="001E28E5">
              <w:rPr>
                <w:rFonts w:cs="Arial"/>
                <w:szCs w:val="24"/>
              </w:rPr>
              <w:t>Insolvency of supplier of critical services to public service</w:t>
            </w:r>
          </w:p>
        </w:tc>
      </w:tr>
      <w:tr w:rsidR="00625CCA" w:rsidRPr="001E28E5" w14:paraId="2F6F2AB0" w14:textId="77777777" w:rsidTr="00E43704">
        <w:tc>
          <w:tcPr>
            <w:tcW w:w="1135" w:type="dxa"/>
            <w:vAlign w:val="center"/>
          </w:tcPr>
          <w:p w14:paraId="1F69BE69" w14:textId="77777777" w:rsidR="00625CCA" w:rsidRPr="001E28E5" w:rsidRDefault="00625CCA" w:rsidP="00E43704">
            <w:pPr>
              <w:spacing w:before="0" w:after="0" w:line="240" w:lineRule="auto"/>
              <w:rPr>
                <w:rFonts w:cs="Arial"/>
                <w:szCs w:val="24"/>
              </w:rPr>
            </w:pPr>
            <w:r w:rsidRPr="001E28E5">
              <w:rPr>
                <w:rFonts w:cs="Arial"/>
                <w:szCs w:val="24"/>
              </w:rPr>
              <w:lastRenderedPageBreak/>
              <w:t>15</w:t>
            </w:r>
          </w:p>
        </w:tc>
        <w:tc>
          <w:tcPr>
            <w:tcW w:w="9214" w:type="dxa"/>
            <w:vAlign w:val="center"/>
          </w:tcPr>
          <w:p w14:paraId="36BA983D" w14:textId="77777777" w:rsidR="00625CCA" w:rsidRPr="001E28E5" w:rsidRDefault="00625CCA" w:rsidP="00E43704">
            <w:pPr>
              <w:spacing w:before="0" w:after="0" w:line="240" w:lineRule="auto"/>
              <w:rPr>
                <w:rFonts w:cs="Arial"/>
                <w:szCs w:val="24"/>
              </w:rPr>
            </w:pPr>
            <w:r w:rsidRPr="001E28E5">
              <w:rPr>
                <w:rFonts w:cs="Arial"/>
                <w:szCs w:val="24"/>
              </w:rPr>
              <w:t>Insolvency affecting fuel supply</w:t>
            </w:r>
          </w:p>
        </w:tc>
      </w:tr>
      <w:tr w:rsidR="00625CCA" w:rsidRPr="001E28E5" w14:paraId="3585FAFC" w14:textId="77777777" w:rsidTr="00E43704">
        <w:tc>
          <w:tcPr>
            <w:tcW w:w="1135" w:type="dxa"/>
            <w:vAlign w:val="center"/>
          </w:tcPr>
          <w:p w14:paraId="56C56333" w14:textId="77777777" w:rsidR="00625CCA" w:rsidRPr="001E28E5" w:rsidRDefault="00625CCA" w:rsidP="00E43704">
            <w:pPr>
              <w:spacing w:before="0" w:after="0" w:line="240" w:lineRule="auto"/>
              <w:rPr>
                <w:rFonts w:cs="Arial"/>
                <w:szCs w:val="24"/>
              </w:rPr>
            </w:pPr>
            <w:r w:rsidRPr="001E28E5">
              <w:rPr>
                <w:rFonts w:cs="Arial"/>
                <w:szCs w:val="24"/>
              </w:rPr>
              <w:t>16</w:t>
            </w:r>
            <w:r w:rsidRPr="00715E54">
              <w:rPr>
                <w:rFonts w:cs="Arial"/>
                <w:szCs w:val="24"/>
              </w:rPr>
              <w:t>*</w:t>
            </w:r>
          </w:p>
        </w:tc>
        <w:tc>
          <w:tcPr>
            <w:tcW w:w="9214" w:type="dxa"/>
            <w:vAlign w:val="center"/>
          </w:tcPr>
          <w:p w14:paraId="6D7B7D62" w14:textId="77777777" w:rsidR="00625CCA" w:rsidRPr="001E28E5" w:rsidRDefault="00625CCA" w:rsidP="00E43704">
            <w:pPr>
              <w:spacing w:before="0" w:after="0" w:line="240" w:lineRule="auto"/>
              <w:rPr>
                <w:rFonts w:cs="Arial"/>
                <w:szCs w:val="24"/>
              </w:rPr>
            </w:pPr>
            <w:r w:rsidRPr="001E28E5">
              <w:rPr>
                <w:rFonts w:cs="Arial"/>
                <w:szCs w:val="24"/>
              </w:rPr>
              <w:t>Rail accident</w:t>
            </w:r>
          </w:p>
        </w:tc>
      </w:tr>
      <w:tr w:rsidR="00625CCA" w:rsidRPr="001E28E5" w14:paraId="0C9860D1" w14:textId="77777777" w:rsidTr="00E43704">
        <w:tc>
          <w:tcPr>
            <w:tcW w:w="1135" w:type="dxa"/>
            <w:vAlign w:val="center"/>
          </w:tcPr>
          <w:p w14:paraId="6FFA5C0D" w14:textId="77777777" w:rsidR="00625CCA" w:rsidRPr="001E28E5" w:rsidRDefault="00625CCA" w:rsidP="00E43704">
            <w:pPr>
              <w:spacing w:before="0" w:after="0" w:line="240" w:lineRule="auto"/>
              <w:rPr>
                <w:rFonts w:cs="Arial"/>
                <w:szCs w:val="24"/>
              </w:rPr>
            </w:pPr>
            <w:r w:rsidRPr="001E28E5">
              <w:rPr>
                <w:rFonts w:cs="Arial"/>
                <w:szCs w:val="24"/>
              </w:rPr>
              <w:t>17</w:t>
            </w:r>
          </w:p>
        </w:tc>
        <w:tc>
          <w:tcPr>
            <w:tcW w:w="9214" w:type="dxa"/>
            <w:vAlign w:val="center"/>
          </w:tcPr>
          <w:p w14:paraId="72AA5C00" w14:textId="77777777" w:rsidR="00625CCA" w:rsidRPr="001E28E5" w:rsidRDefault="00625CCA" w:rsidP="00E43704">
            <w:pPr>
              <w:spacing w:before="0" w:after="0" w:line="240" w:lineRule="auto"/>
              <w:rPr>
                <w:rFonts w:cs="Arial"/>
                <w:szCs w:val="24"/>
              </w:rPr>
            </w:pPr>
            <w:r w:rsidRPr="001E28E5">
              <w:rPr>
                <w:rFonts w:cs="Arial"/>
                <w:szCs w:val="24"/>
              </w:rPr>
              <w:t>Large passenger vessel accident</w:t>
            </w:r>
          </w:p>
        </w:tc>
      </w:tr>
      <w:tr w:rsidR="00625CCA" w:rsidRPr="001E28E5" w14:paraId="4182C3B0" w14:textId="77777777" w:rsidTr="00E43704">
        <w:tc>
          <w:tcPr>
            <w:tcW w:w="1135" w:type="dxa"/>
            <w:vAlign w:val="center"/>
          </w:tcPr>
          <w:p w14:paraId="4CC6EC4B" w14:textId="77777777" w:rsidR="00625CCA" w:rsidRPr="001E28E5" w:rsidRDefault="00625CCA" w:rsidP="00E43704">
            <w:pPr>
              <w:spacing w:before="0" w:after="0" w:line="240" w:lineRule="auto"/>
              <w:rPr>
                <w:rFonts w:cs="Arial"/>
                <w:szCs w:val="24"/>
              </w:rPr>
            </w:pPr>
            <w:r w:rsidRPr="001E28E5">
              <w:rPr>
                <w:rFonts w:cs="Arial"/>
                <w:szCs w:val="24"/>
              </w:rPr>
              <w:t>18</w:t>
            </w:r>
          </w:p>
        </w:tc>
        <w:tc>
          <w:tcPr>
            <w:tcW w:w="9214" w:type="dxa"/>
            <w:vAlign w:val="center"/>
          </w:tcPr>
          <w:p w14:paraId="0663E632" w14:textId="77777777" w:rsidR="00625CCA" w:rsidRPr="001E28E5" w:rsidRDefault="00625CCA" w:rsidP="00E43704">
            <w:pPr>
              <w:spacing w:before="0" w:after="0" w:line="240" w:lineRule="auto"/>
              <w:rPr>
                <w:rFonts w:cs="Arial"/>
                <w:szCs w:val="24"/>
              </w:rPr>
            </w:pPr>
            <w:r w:rsidRPr="001E28E5">
              <w:rPr>
                <w:rFonts w:cs="Arial"/>
                <w:szCs w:val="24"/>
              </w:rPr>
              <w:t>Major maritime pollution incident</w:t>
            </w:r>
          </w:p>
        </w:tc>
      </w:tr>
      <w:tr w:rsidR="00625CCA" w:rsidRPr="001E28E5" w14:paraId="19B804C1" w14:textId="77777777" w:rsidTr="00E43704">
        <w:tc>
          <w:tcPr>
            <w:tcW w:w="1135" w:type="dxa"/>
            <w:vAlign w:val="center"/>
          </w:tcPr>
          <w:p w14:paraId="509A0144" w14:textId="77777777" w:rsidR="00625CCA" w:rsidRPr="001E28E5" w:rsidRDefault="00625CCA" w:rsidP="00E43704">
            <w:pPr>
              <w:spacing w:before="0" w:after="0" w:line="240" w:lineRule="auto"/>
              <w:rPr>
                <w:rFonts w:cs="Arial"/>
                <w:szCs w:val="24"/>
              </w:rPr>
            </w:pPr>
            <w:r w:rsidRPr="001E28E5">
              <w:rPr>
                <w:rFonts w:cs="Arial"/>
                <w:szCs w:val="24"/>
              </w:rPr>
              <w:t>19</w:t>
            </w:r>
          </w:p>
        </w:tc>
        <w:tc>
          <w:tcPr>
            <w:tcW w:w="9214" w:type="dxa"/>
            <w:vAlign w:val="center"/>
          </w:tcPr>
          <w:p w14:paraId="3F2F6EBC" w14:textId="537E3700" w:rsidR="00625CCA" w:rsidRPr="001E28E5" w:rsidRDefault="00625CCA" w:rsidP="00E43704">
            <w:pPr>
              <w:spacing w:before="0" w:after="0" w:line="240" w:lineRule="auto"/>
              <w:rPr>
                <w:rFonts w:cs="Arial"/>
                <w:szCs w:val="24"/>
              </w:rPr>
            </w:pPr>
            <w:r w:rsidRPr="001E28E5">
              <w:rPr>
                <w:rFonts w:cs="Arial"/>
                <w:szCs w:val="24"/>
              </w:rPr>
              <w:t xml:space="preserve">Incident </w:t>
            </w:r>
            <w:r w:rsidR="004A49CC">
              <w:rPr>
                <w:rFonts w:cs="Arial"/>
                <w:szCs w:val="24"/>
              </w:rPr>
              <w:t xml:space="preserve">(grounding/sinking) </w:t>
            </w:r>
            <w:r w:rsidRPr="001E28E5">
              <w:rPr>
                <w:rFonts w:cs="Arial"/>
                <w:szCs w:val="24"/>
              </w:rPr>
              <w:t>of a vessel blocking major port</w:t>
            </w:r>
          </w:p>
        </w:tc>
      </w:tr>
      <w:tr w:rsidR="00625CCA" w:rsidRPr="001E28E5" w14:paraId="03E1879B" w14:textId="77777777" w:rsidTr="00E43704">
        <w:tc>
          <w:tcPr>
            <w:tcW w:w="1135" w:type="dxa"/>
            <w:vAlign w:val="center"/>
          </w:tcPr>
          <w:p w14:paraId="439B2D84" w14:textId="77777777" w:rsidR="00625CCA" w:rsidRPr="001E28E5" w:rsidRDefault="00625CCA" w:rsidP="00E43704">
            <w:pPr>
              <w:spacing w:before="0" w:after="0" w:line="240" w:lineRule="auto"/>
              <w:rPr>
                <w:rFonts w:cs="Arial"/>
                <w:szCs w:val="24"/>
              </w:rPr>
            </w:pPr>
            <w:r w:rsidRPr="001E28E5">
              <w:rPr>
                <w:rFonts w:cs="Arial"/>
                <w:szCs w:val="24"/>
              </w:rPr>
              <w:t>20</w:t>
            </w:r>
            <w:r>
              <w:rPr>
                <w:rFonts w:cs="Arial"/>
                <w:szCs w:val="24"/>
              </w:rPr>
              <w:t>*</w:t>
            </w:r>
          </w:p>
        </w:tc>
        <w:tc>
          <w:tcPr>
            <w:tcW w:w="9214" w:type="dxa"/>
            <w:vAlign w:val="center"/>
          </w:tcPr>
          <w:p w14:paraId="332DECC8" w14:textId="77777777" w:rsidR="00625CCA" w:rsidRPr="001E28E5" w:rsidRDefault="00625CCA" w:rsidP="00E43704">
            <w:pPr>
              <w:spacing w:before="0" w:after="0" w:line="240" w:lineRule="auto"/>
              <w:rPr>
                <w:rFonts w:cs="Arial"/>
                <w:szCs w:val="24"/>
              </w:rPr>
            </w:pPr>
            <w:r w:rsidRPr="001E28E5">
              <w:rPr>
                <w:rFonts w:cs="Arial"/>
                <w:szCs w:val="24"/>
              </w:rPr>
              <w:t>Accident involving high consequence dangerous goods</w:t>
            </w:r>
          </w:p>
        </w:tc>
      </w:tr>
      <w:tr w:rsidR="00625CCA" w:rsidRPr="001E28E5" w14:paraId="58286980" w14:textId="77777777" w:rsidTr="00E43704">
        <w:tc>
          <w:tcPr>
            <w:tcW w:w="1135" w:type="dxa"/>
            <w:vAlign w:val="center"/>
          </w:tcPr>
          <w:p w14:paraId="7E1BFBB4" w14:textId="77777777" w:rsidR="00625CCA" w:rsidRPr="001E28E5" w:rsidRDefault="00625CCA" w:rsidP="00E43704">
            <w:pPr>
              <w:spacing w:before="0" w:after="0" w:line="240" w:lineRule="auto"/>
              <w:rPr>
                <w:rFonts w:cs="Arial"/>
                <w:szCs w:val="24"/>
              </w:rPr>
            </w:pPr>
            <w:r w:rsidRPr="001E28E5">
              <w:rPr>
                <w:rFonts w:cs="Arial"/>
                <w:szCs w:val="24"/>
              </w:rPr>
              <w:t>21</w:t>
            </w:r>
            <w:r>
              <w:rPr>
                <w:rFonts w:cs="Arial"/>
                <w:szCs w:val="24"/>
              </w:rPr>
              <w:t>*</w:t>
            </w:r>
          </w:p>
        </w:tc>
        <w:tc>
          <w:tcPr>
            <w:tcW w:w="9214" w:type="dxa"/>
            <w:vAlign w:val="center"/>
          </w:tcPr>
          <w:p w14:paraId="129423A7" w14:textId="77777777" w:rsidR="00625CCA" w:rsidRPr="001E28E5" w:rsidRDefault="00625CCA" w:rsidP="00E43704">
            <w:pPr>
              <w:spacing w:before="0" w:after="0" w:line="240" w:lineRule="auto"/>
              <w:rPr>
                <w:rFonts w:cs="Arial"/>
                <w:szCs w:val="24"/>
              </w:rPr>
            </w:pPr>
            <w:r w:rsidRPr="001E28E5">
              <w:rPr>
                <w:rFonts w:cs="Arial"/>
                <w:szCs w:val="24"/>
              </w:rPr>
              <w:t>Aviation collision</w:t>
            </w:r>
          </w:p>
        </w:tc>
      </w:tr>
      <w:tr w:rsidR="00625CCA" w:rsidRPr="001E28E5" w14:paraId="547364A4" w14:textId="77777777" w:rsidTr="00E43704">
        <w:tc>
          <w:tcPr>
            <w:tcW w:w="1135" w:type="dxa"/>
            <w:vAlign w:val="center"/>
          </w:tcPr>
          <w:p w14:paraId="2164374F" w14:textId="77777777" w:rsidR="00625CCA" w:rsidRPr="001E28E5" w:rsidRDefault="00625CCA" w:rsidP="00E43704">
            <w:pPr>
              <w:spacing w:before="0" w:after="0" w:line="240" w:lineRule="auto"/>
              <w:rPr>
                <w:rFonts w:cs="Arial"/>
                <w:szCs w:val="24"/>
              </w:rPr>
            </w:pPr>
            <w:r w:rsidRPr="001E28E5">
              <w:rPr>
                <w:rFonts w:cs="Arial"/>
                <w:szCs w:val="24"/>
              </w:rPr>
              <w:t>22</w:t>
            </w:r>
          </w:p>
        </w:tc>
        <w:tc>
          <w:tcPr>
            <w:tcW w:w="9214" w:type="dxa"/>
            <w:vAlign w:val="center"/>
          </w:tcPr>
          <w:p w14:paraId="1CAA8314" w14:textId="77777777" w:rsidR="00625CCA" w:rsidRPr="001E28E5" w:rsidRDefault="00625CCA" w:rsidP="00E43704">
            <w:pPr>
              <w:spacing w:before="0" w:after="0" w:line="240" w:lineRule="auto"/>
              <w:rPr>
                <w:rFonts w:cs="Arial"/>
                <w:szCs w:val="24"/>
              </w:rPr>
            </w:pPr>
            <w:r w:rsidRPr="001E28E5">
              <w:rPr>
                <w:rFonts w:cs="Arial"/>
                <w:szCs w:val="24"/>
              </w:rPr>
              <w:t>Malicious drone incident</w:t>
            </w:r>
          </w:p>
        </w:tc>
      </w:tr>
      <w:tr w:rsidR="00625CCA" w:rsidRPr="001E28E5" w14:paraId="5DA8951A" w14:textId="77777777" w:rsidTr="00E43704">
        <w:tc>
          <w:tcPr>
            <w:tcW w:w="1135" w:type="dxa"/>
            <w:vAlign w:val="center"/>
          </w:tcPr>
          <w:p w14:paraId="69E8C144" w14:textId="77777777" w:rsidR="00625CCA" w:rsidRPr="001E28E5" w:rsidRDefault="00625CCA" w:rsidP="00E43704">
            <w:pPr>
              <w:spacing w:before="0" w:after="0" w:line="240" w:lineRule="auto"/>
              <w:rPr>
                <w:rFonts w:cs="Arial"/>
                <w:szCs w:val="24"/>
              </w:rPr>
            </w:pPr>
            <w:r w:rsidRPr="001E28E5">
              <w:rPr>
                <w:rFonts w:cs="Arial"/>
                <w:szCs w:val="24"/>
              </w:rPr>
              <w:t>23</w:t>
            </w:r>
          </w:p>
        </w:tc>
        <w:tc>
          <w:tcPr>
            <w:tcW w:w="9214" w:type="dxa"/>
            <w:vAlign w:val="center"/>
          </w:tcPr>
          <w:p w14:paraId="214B37CE" w14:textId="77777777" w:rsidR="00625CCA" w:rsidRPr="001E28E5" w:rsidRDefault="00625CCA" w:rsidP="00E43704">
            <w:pPr>
              <w:spacing w:before="0" w:after="0" w:line="240" w:lineRule="auto"/>
              <w:rPr>
                <w:rFonts w:cs="Arial"/>
                <w:szCs w:val="24"/>
              </w:rPr>
            </w:pPr>
            <w:r w:rsidRPr="001E28E5">
              <w:rPr>
                <w:rFonts w:cs="Arial"/>
                <w:szCs w:val="24"/>
              </w:rPr>
              <w:t>Disruption of space-based activities</w:t>
            </w:r>
          </w:p>
        </w:tc>
      </w:tr>
      <w:tr w:rsidR="00625CCA" w:rsidRPr="001E28E5" w14:paraId="68CF1340" w14:textId="77777777" w:rsidTr="00E43704">
        <w:tc>
          <w:tcPr>
            <w:tcW w:w="1135" w:type="dxa"/>
            <w:vAlign w:val="center"/>
          </w:tcPr>
          <w:p w14:paraId="276CFA49" w14:textId="77777777" w:rsidR="00625CCA" w:rsidRPr="001E28E5" w:rsidRDefault="00625CCA" w:rsidP="00E43704">
            <w:pPr>
              <w:spacing w:before="0" w:after="0" w:line="240" w:lineRule="auto"/>
              <w:rPr>
                <w:rFonts w:cs="Arial"/>
                <w:szCs w:val="24"/>
              </w:rPr>
            </w:pPr>
            <w:r w:rsidRPr="001E28E5">
              <w:rPr>
                <w:rFonts w:cs="Arial"/>
                <w:szCs w:val="24"/>
              </w:rPr>
              <w:t>24</w:t>
            </w:r>
            <w:r>
              <w:rPr>
                <w:rFonts w:cs="Arial"/>
                <w:szCs w:val="24"/>
              </w:rPr>
              <w:t>*</w:t>
            </w:r>
          </w:p>
        </w:tc>
        <w:tc>
          <w:tcPr>
            <w:tcW w:w="9214" w:type="dxa"/>
            <w:vAlign w:val="center"/>
          </w:tcPr>
          <w:p w14:paraId="1ACA9551" w14:textId="46951CA4" w:rsidR="00625CCA" w:rsidRPr="001E28E5" w:rsidRDefault="00625CCA" w:rsidP="00E43704">
            <w:pPr>
              <w:spacing w:before="0" w:after="0" w:line="240" w:lineRule="auto"/>
              <w:rPr>
                <w:rFonts w:cs="Arial"/>
                <w:szCs w:val="24"/>
              </w:rPr>
            </w:pPr>
            <w:r w:rsidRPr="001E28E5">
              <w:rPr>
                <w:rFonts w:cs="Arial"/>
                <w:szCs w:val="24"/>
              </w:rPr>
              <w:t xml:space="preserve">Loss of positioning, navigation and timing </w:t>
            </w:r>
            <w:r w:rsidR="008D35E1">
              <w:rPr>
                <w:rFonts w:cs="Arial"/>
                <w:szCs w:val="24"/>
              </w:rPr>
              <w:t xml:space="preserve">(PNT) </w:t>
            </w:r>
            <w:r w:rsidRPr="001E28E5">
              <w:rPr>
                <w:rFonts w:cs="Arial"/>
                <w:szCs w:val="24"/>
              </w:rPr>
              <w:t>services</w:t>
            </w:r>
          </w:p>
        </w:tc>
      </w:tr>
      <w:tr w:rsidR="00625CCA" w:rsidRPr="001E28E5" w14:paraId="6F17E545" w14:textId="77777777" w:rsidTr="00E43704">
        <w:tc>
          <w:tcPr>
            <w:tcW w:w="1135" w:type="dxa"/>
            <w:vAlign w:val="center"/>
          </w:tcPr>
          <w:p w14:paraId="6B225B62" w14:textId="77777777" w:rsidR="00625CCA" w:rsidRPr="001E28E5" w:rsidRDefault="00625CCA" w:rsidP="00E43704">
            <w:pPr>
              <w:spacing w:before="0" w:after="0" w:line="240" w:lineRule="auto"/>
              <w:rPr>
                <w:rFonts w:cs="Arial"/>
                <w:szCs w:val="24"/>
              </w:rPr>
            </w:pPr>
            <w:r w:rsidRPr="001E28E5">
              <w:rPr>
                <w:rFonts w:cs="Arial"/>
                <w:szCs w:val="24"/>
              </w:rPr>
              <w:t>25</w:t>
            </w:r>
            <w:r>
              <w:rPr>
                <w:rFonts w:cs="Arial"/>
                <w:szCs w:val="24"/>
              </w:rPr>
              <w:t>*</w:t>
            </w:r>
          </w:p>
        </w:tc>
        <w:tc>
          <w:tcPr>
            <w:tcW w:w="9214" w:type="dxa"/>
            <w:vAlign w:val="center"/>
          </w:tcPr>
          <w:p w14:paraId="2018B657" w14:textId="77777777" w:rsidR="00625CCA" w:rsidRPr="001E28E5" w:rsidRDefault="00625CCA" w:rsidP="00E43704">
            <w:pPr>
              <w:spacing w:before="0" w:after="0" w:line="240" w:lineRule="auto"/>
              <w:rPr>
                <w:rFonts w:cs="Arial"/>
                <w:szCs w:val="24"/>
              </w:rPr>
            </w:pPr>
            <w:r w:rsidRPr="001E28E5">
              <w:rPr>
                <w:rFonts w:cs="Arial"/>
                <w:szCs w:val="24"/>
              </w:rPr>
              <w:t>Simultaneous loss of all fixed and mobile forms of communication</w:t>
            </w:r>
          </w:p>
        </w:tc>
      </w:tr>
      <w:tr w:rsidR="00625CCA" w:rsidRPr="001E28E5" w14:paraId="73AC4654" w14:textId="77777777" w:rsidTr="00E43704">
        <w:tc>
          <w:tcPr>
            <w:tcW w:w="1135" w:type="dxa"/>
            <w:vAlign w:val="center"/>
          </w:tcPr>
          <w:p w14:paraId="02C374B7" w14:textId="77777777" w:rsidR="00625CCA" w:rsidRPr="001E28E5" w:rsidRDefault="00625CCA" w:rsidP="00E43704">
            <w:pPr>
              <w:spacing w:before="0" w:after="0" w:line="240" w:lineRule="auto"/>
              <w:rPr>
                <w:rFonts w:cs="Arial"/>
                <w:szCs w:val="24"/>
              </w:rPr>
            </w:pPr>
            <w:r w:rsidRPr="001E28E5">
              <w:rPr>
                <w:rFonts w:cs="Arial"/>
                <w:szCs w:val="24"/>
              </w:rPr>
              <w:t>26a</w:t>
            </w:r>
            <w:r>
              <w:rPr>
                <w:rFonts w:cs="Arial"/>
                <w:szCs w:val="24"/>
              </w:rPr>
              <w:t>*</w:t>
            </w:r>
          </w:p>
        </w:tc>
        <w:tc>
          <w:tcPr>
            <w:tcW w:w="9214" w:type="dxa"/>
            <w:vAlign w:val="center"/>
          </w:tcPr>
          <w:p w14:paraId="1F6152A5" w14:textId="38769CCE" w:rsidR="00625CCA" w:rsidRPr="001E28E5" w:rsidRDefault="00625CCA" w:rsidP="00E43704">
            <w:pPr>
              <w:spacing w:before="0" w:after="0" w:line="240" w:lineRule="auto"/>
              <w:rPr>
                <w:rFonts w:cs="Arial"/>
                <w:szCs w:val="24"/>
              </w:rPr>
            </w:pPr>
            <w:r w:rsidRPr="001E28E5">
              <w:rPr>
                <w:rFonts w:cs="Arial"/>
                <w:szCs w:val="24"/>
              </w:rPr>
              <w:t>Failure of the National Electricity Transmission system</w:t>
            </w:r>
            <w:r w:rsidR="008D35E1">
              <w:rPr>
                <w:rFonts w:cs="Arial"/>
                <w:szCs w:val="24"/>
              </w:rPr>
              <w:t xml:space="preserve"> (NETS)</w:t>
            </w:r>
          </w:p>
        </w:tc>
      </w:tr>
      <w:tr w:rsidR="00625CCA" w:rsidRPr="001E28E5" w14:paraId="23CA3D7A" w14:textId="77777777" w:rsidTr="00E43704">
        <w:tc>
          <w:tcPr>
            <w:tcW w:w="1135" w:type="dxa"/>
            <w:vAlign w:val="center"/>
          </w:tcPr>
          <w:p w14:paraId="3312F2D0" w14:textId="77777777" w:rsidR="00625CCA" w:rsidRPr="001E28E5" w:rsidRDefault="00625CCA" w:rsidP="00E43704">
            <w:pPr>
              <w:spacing w:before="0" w:after="0" w:line="240" w:lineRule="auto"/>
              <w:rPr>
                <w:rFonts w:cs="Arial"/>
                <w:szCs w:val="24"/>
              </w:rPr>
            </w:pPr>
            <w:r w:rsidRPr="001E28E5">
              <w:rPr>
                <w:rFonts w:cs="Arial"/>
                <w:szCs w:val="24"/>
              </w:rPr>
              <w:t>26b</w:t>
            </w:r>
            <w:r>
              <w:rPr>
                <w:rFonts w:cs="Arial"/>
                <w:szCs w:val="24"/>
              </w:rPr>
              <w:t>*</w:t>
            </w:r>
          </w:p>
        </w:tc>
        <w:tc>
          <w:tcPr>
            <w:tcW w:w="9214" w:type="dxa"/>
            <w:vAlign w:val="center"/>
          </w:tcPr>
          <w:p w14:paraId="78F9D76C" w14:textId="77777777" w:rsidR="00625CCA" w:rsidRPr="001E28E5" w:rsidRDefault="00625CCA" w:rsidP="00E43704">
            <w:pPr>
              <w:spacing w:before="0" w:after="0" w:line="240" w:lineRule="auto"/>
              <w:rPr>
                <w:rFonts w:cs="Arial"/>
                <w:szCs w:val="24"/>
              </w:rPr>
            </w:pPr>
            <w:r w:rsidRPr="001E28E5">
              <w:rPr>
                <w:rFonts w:cs="Arial"/>
                <w:szCs w:val="24"/>
              </w:rPr>
              <w:t>Regional failure of the electricity network</w:t>
            </w:r>
          </w:p>
        </w:tc>
      </w:tr>
      <w:tr w:rsidR="00625CCA" w:rsidRPr="001E28E5" w14:paraId="4F92D07D" w14:textId="77777777" w:rsidTr="00E43704">
        <w:tc>
          <w:tcPr>
            <w:tcW w:w="1135" w:type="dxa"/>
            <w:vAlign w:val="center"/>
          </w:tcPr>
          <w:p w14:paraId="20A532E3" w14:textId="77777777" w:rsidR="00625CCA" w:rsidRPr="001E28E5" w:rsidRDefault="00625CCA" w:rsidP="00E43704">
            <w:pPr>
              <w:spacing w:before="0" w:after="0" w:line="240" w:lineRule="auto"/>
              <w:rPr>
                <w:rFonts w:cs="Arial"/>
                <w:szCs w:val="24"/>
              </w:rPr>
            </w:pPr>
            <w:r w:rsidRPr="001E28E5">
              <w:rPr>
                <w:rFonts w:cs="Arial"/>
                <w:szCs w:val="24"/>
              </w:rPr>
              <w:t>27</w:t>
            </w:r>
            <w:r>
              <w:rPr>
                <w:rFonts w:cs="Arial"/>
                <w:szCs w:val="24"/>
              </w:rPr>
              <w:t>*</w:t>
            </w:r>
          </w:p>
        </w:tc>
        <w:tc>
          <w:tcPr>
            <w:tcW w:w="9214" w:type="dxa"/>
            <w:vAlign w:val="center"/>
          </w:tcPr>
          <w:p w14:paraId="7C9DDF77" w14:textId="77777777" w:rsidR="00625CCA" w:rsidRPr="001E28E5" w:rsidRDefault="00625CCA" w:rsidP="00E43704">
            <w:pPr>
              <w:spacing w:before="0" w:after="0" w:line="240" w:lineRule="auto"/>
              <w:rPr>
                <w:rFonts w:cs="Arial"/>
                <w:szCs w:val="24"/>
              </w:rPr>
            </w:pPr>
            <w:r w:rsidRPr="001E28E5">
              <w:rPr>
                <w:rFonts w:cs="Arial"/>
                <w:szCs w:val="24"/>
              </w:rPr>
              <w:t>Failure of gas supply infrastructure</w:t>
            </w:r>
          </w:p>
        </w:tc>
      </w:tr>
      <w:tr w:rsidR="00625CCA" w:rsidRPr="001E28E5" w14:paraId="454C622A" w14:textId="77777777" w:rsidTr="00E43704">
        <w:tc>
          <w:tcPr>
            <w:tcW w:w="1135" w:type="dxa"/>
            <w:vAlign w:val="center"/>
          </w:tcPr>
          <w:p w14:paraId="4E5539C7" w14:textId="77777777" w:rsidR="00625CCA" w:rsidRPr="001E28E5" w:rsidRDefault="00625CCA" w:rsidP="00E43704">
            <w:pPr>
              <w:spacing w:before="0" w:after="0" w:line="240" w:lineRule="auto"/>
              <w:rPr>
                <w:rFonts w:cs="Arial"/>
                <w:szCs w:val="24"/>
              </w:rPr>
            </w:pPr>
            <w:r w:rsidRPr="001E28E5">
              <w:rPr>
                <w:rFonts w:cs="Arial"/>
                <w:szCs w:val="24"/>
              </w:rPr>
              <w:t>28</w:t>
            </w:r>
          </w:p>
        </w:tc>
        <w:tc>
          <w:tcPr>
            <w:tcW w:w="9214" w:type="dxa"/>
            <w:vAlign w:val="center"/>
          </w:tcPr>
          <w:p w14:paraId="3696767D" w14:textId="77777777" w:rsidR="00625CCA" w:rsidRPr="001E28E5" w:rsidRDefault="00625CCA" w:rsidP="00E43704">
            <w:pPr>
              <w:spacing w:before="0" w:after="0" w:line="240" w:lineRule="auto"/>
              <w:rPr>
                <w:rFonts w:cs="Arial"/>
                <w:szCs w:val="24"/>
              </w:rPr>
            </w:pPr>
            <w:r w:rsidRPr="001E28E5">
              <w:rPr>
                <w:rFonts w:cs="Arial"/>
                <w:szCs w:val="24"/>
              </w:rPr>
              <w:t>Civil nuclear accident</w:t>
            </w:r>
          </w:p>
        </w:tc>
      </w:tr>
      <w:tr w:rsidR="00625CCA" w:rsidRPr="001E28E5" w14:paraId="787E0D9E" w14:textId="77777777" w:rsidTr="00E43704">
        <w:tc>
          <w:tcPr>
            <w:tcW w:w="1135" w:type="dxa"/>
            <w:vAlign w:val="center"/>
          </w:tcPr>
          <w:p w14:paraId="1E5ECD69" w14:textId="77777777" w:rsidR="00625CCA" w:rsidRPr="001E28E5" w:rsidRDefault="00625CCA" w:rsidP="00E43704">
            <w:pPr>
              <w:spacing w:before="0" w:after="0" w:line="240" w:lineRule="auto"/>
              <w:rPr>
                <w:rFonts w:cs="Arial"/>
                <w:szCs w:val="24"/>
              </w:rPr>
            </w:pPr>
            <w:r w:rsidRPr="001E28E5">
              <w:rPr>
                <w:rFonts w:cs="Arial"/>
                <w:szCs w:val="24"/>
              </w:rPr>
              <w:t>29</w:t>
            </w:r>
          </w:p>
        </w:tc>
        <w:tc>
          <w:tcPr>
            <w:tcW w:w="9214" w:type="dxa"/>
            <w:vAlign w:val="center"/>
          </w:tcPr>
          <w:p w14:paraId="35FAFB0E" w14:textId="77777777" w:rsidR="00625CCA" w:rsidRPr="001E28E5" w:rsidRDefault="00625CCA" w:rsidP="00E43704">
            <w:pPr>
              <w:spacing w:before="0" w:after="0" w:line="240" w:lineRule="auto"/>
              <w:rPr>
                <w:rFonts w:cs="Arial"/>
                <w:szCs w:val="24"/>
              </w:rPr>
            </w:pPr>
            <w:r w:rsidRPr="001E28E5">
              <w:rPr>
                <w:rFonts w:cs="Arial"/>
                <w:szCs w:val="24"/>
              </w:rPr>
              <w:t>Radiation release from overseas nuclear site</w:t>
            </w:r>
          </w:p>
        </w:tc>
      </w:tr>
      <w:tr w:rsidR="00625CCA" w:rsidRPr="001E28E5" w14:paraId="4FB60626" w14:textId="77777777" w:rsidTr="00E43704">
        <w:tc>
          <w:tcPr>
            <w:tcW w:w="1135" w:type="dxa"/>
            <w:vAlign w:val="center"/>
          </w:tcPr>
          <w:p w14:paraId="16DD55D2" w14:textId="77777777" w:rsidR="00625CCA" w:rsidRPr="001E28E5" w:rsidRDefault="00625CCA" w:rsidP="00E43704">
            <w:pPr>
              <w:spacing w:before="0" w:after="0" w:line="240" w:lineRule="auto"/>
              <w:rPr>
                <w:rFonts w:cs="Arial"/>
                <w:szCs w:val="24"/>
              </w:rPr>
            </w:pPr>
            <w:r w:rsidRPr="001E28E5">
              <w:rPr>
                <w:rFonts w:cs="Arial"/>
                <w:szCs w:val="24"/>
              </w:rPr>
              <w:t>30</w:t>
            </w:r>
          </w:p>
        </w:tc>
        <w:tc>
          <w:tcPr>
            <w:tcW w:w="9214" w:type="dxa"/>
            <w:vAlign w:val="center"/>
          </w:tcPr>
          <w:p w14:paraId="443210A9" w14:textId="77777777" w:rsidR="00625CCA" w:rsidRPr="001E28E5" w:rsidRDefault="00625CCA" w:rsidP="00E43704">
            <w:pPr>
              <w:spacing w:before="0" w:after="0" w:line="240" w:lineRule="auto"/>
              <w:rPr>
                <w:rFonts w:cs="Arial"/>
                <w:szCs w:val="24"/>
              </w:rPr>
            </w:pPr>
            <w:r w:rsidRPr="001E28E5">
              <w:rPr>
                <w:rFonts w:cs="Arial"/>
                <w:szCs w:val="24"/>
              </w:rPr>
              <w:t>Radiation exposure from transported, stolen or lost goods</w:t>
            </w:r>
          </w:p>
        </w:tc>
      </w:tr>
      <w:tr w:rsidR="00625CCA" w:rsidRPr="001E28E5" w14:paraId="237F55E7" w14:textId="77777777" w:rsidTr="00E43704">
        <w:tc>
          <w:tcPr>
            <w:tcW w:w="1135" w:type="dxa"/>
            <w:vAlign w:val="center"/>
          </w:tcPr>
          <w:p w14:paraId="1516C915" w14:textId="77777777" w:rsidR="00625CCA" w:rsidRPr="001E28E5" w:rsidRDefault="00625CCA" w:rsidP="00E43704">
            <w:pPr>
              <w:spacing w:before="0" w:after="0" w:line="240" w:lineRule="auto"/>
              <w:rPr>
                <w:rFonts w:cs="Arial"/>
                <w:szCs w:val="24"/>
              </w:rPr>
            </w:pPr>
            <w:r w:rsidRPr="001E28E5">
              <w:rPr>
                <w:rFonts w:cs="Arial"/>
                <w:szCs w:val="24"/>
              </w:rPr>
              <w:t>31a</w:t>
            </w:r>
          </w:p>
        </w:tc>
        <w:tc>
          <w:tcPr>
            <w:tcW w:w="9214" w:type="dxa"/>
            <w:vAlign w:val="center"/>
          </w:tcPr>
          <w:p w14:paraId="262CE5F9" w14:textId="77777777" w:rsidR="00625CCA" w:rsidRPr="001E28E5" w:rsidRDefault="00625CCA" w:rsidP="00E43704">
            <w:pPr>
              <w:spacing w:before="0" w:after="0" w:line="240" w:lineRule="auto"/>
              <w:rPr>
                <w:rFonts w:cs="Arial"/>
                <w:szCs w:val="24"/>
              </w:rPr>
            </w:pPr>
            <w:r w:rsidRPr="001E28E5">
              <w:rPr>
                <w:rFonts w:cs="Arial"/>
                <w:szCs w:val="24"/>
              </w:rPr>
              <w:t>Technological failure at a systemically important retail bank</w:t>
            </w:r>
          </w:p>
        </w:tc>
      </w:tr>
      <w:tr w:rsidR="00625CCA" w:rsidRPr="001E28E5" w14:paraId="692AD57C" w14:textId="77777777" w:rsidTr="00E43704">
        <w:tc>
          <w:tcPr>
            <w:tcW w:w="1135" w:type="dxa"/>
            <w:vAlign w:val="center"/>
          </w:tcPr>
          <w:p w14:paraId="670F4D97" w14:textId="77777777" w:rsidR="00625CCA" w:rsidRPr="001E28E5" w:rsidRDefault="00625CCA" w:rsidP="00E43704">
            <w:pPr>
              <w:spacing w:before="0" w:after="0" w:line="240" w:lineRule="auto"/>
              <w:rPr>
                <w:rFonts w:cs="Arial"/>
                <w:szCs w:val="24"/>
              </w:rPr>
            </w:pPr>
            <w:r w:rsidRPr="001E28E5">
              <w:rPr>
                <w:rFonts w:cs="Arial"/>
                <w:szCs w:val="24"/>
              </w:rPr>
              <w:t>31b</w:t>
            </w:r>
          </w:p>
        </w:tc>
        <w:tc>
          <w:tcPr>
            <w:tcW w:w="9214" w:type="dxa"/>
            <w:vAlign w:val="center"/>
          </w:tcPr>
          <w:p w14:paraId="51208F6B" w14:textId="77777777" w:rsidR="00625CCA" w:rsidRPr="001E28E5" w:rsidRDefault="00625CCA" w:rsidP="00E43704">
            <w:pPr>
              <w:spacing w:before="0" w:after="0" w:line="240" w:lineRule="auto"/>
              <w:rPr>
                <w:rFonts w:cs="Arial"/>
                <w:szCs w:val="24"/>
              </w:rPr>
            </w:pPr>
            <w:r w:rsidRPr="001E28E5">
              <w:rPr>
                <w:rFonts w:cs="Arial"/>
                <w:szCs w:val="24"/>
              </w:rPr>
              <w:t>Technological failure at a UK critical financial market infrastructure</w:t>
            </w:r>
          </w:p>
        </w:tc>
      </w:tr>
      <w:tr w:rsidR="00625CCA" w:rsidRPr="001E28E5" w14:paraId="7E16A78B" w14:textId="77777777" w:rsidTr="00E43704">
        <w:tc>
          <w:tcPr>
            <w:tcW w:w="1135" w:type="dxa"/>
            <w:vAlign w:val="center"/>
          </w:tcPr>
          <w:p w14:paraId="2B4CD92E" w14:textId="77777777" w:rsidR="00625CCA" w:rsidRPr="001E28E5" w:rsidRDefault="00625CCA" w:rsidP="00E43704">
            <w:pPr>
              <w:spacing w:before="0" w:after="0" w:line="240" w:lineRule="auto"/>
              <w:rPr>
                <w:rFonts w:cs="Arial"/>
                <w:szCs w:val="24"/>
              </w:rPr>
            </w:pPr>
            <w:r w:rsidRPr="001E28E5">
              <w:rPr>
                <w:rFonts w:cs="Arial"/>
                <w:szCs w:val="24"/>
              </w:rPr>
              <w:t>32</w:t>
            </w:r>
            <w:r>
              <w:rPr>
                <w:rFonts w:cs="Arial"/>
                <w:szCs w:val="24"/>
              </w:rPr>
              <w:t>*</w:t>
            </w:r>
          </w:p>
        </w:tc>
        <w:tc>
          <w:tcPr>
            <w:tcW w:w="9214" w:type="dxa"/>
            <w:vAlign w:val="center"/>
          </w:tcPr>
          <w:p w14:paraId="3E34791A" w14:textId="49422E9E" w:rsidR="00625CCA" w:rsidRPr="001E28E5" w:rsidRDefault="00625CCA" w:rsidP="00E43704">
            <w:pPr>
              <w:spacing w:before="0" w:after="0" w:line="240" w:lineRule="auto"/>
              <w:rPr>
                <w:rFonts w:cs="Arial"/>
                <w:szCs w:val="24"/>
              </w:rPr>
            </w:pPr>
            <w:r w:rsidRPr="001E28E5">
              <w:rPr>
                <w:rFonts w:cs="Arial"/>
                <w:szCs w:val="24"/>
              </w:rPr>
              <w:t>Accidental fire or explosion at an onshore major hazard (</w:t>
            </w:r>
            <w:r w:rsidR="001E1AD4">
              <w:rPr>
                <w:rFonts w:cs="Arial"/>
                <w:szCs w:val="24"/>
              </w:rPr>
              <w:t>Control of Major Accident Hazards</w:t>
            </w:r>
            <w:r w:rsidR="008D35E1">
              <w:rPr>
                <w:rFonts w:cs="Arial"/>
                <w:szCs w:val="24"/>
              </w:rPr>
              <w:t xml:space="preserve"> - COMAH</w:t>
            </w:r>
            <w:r w:rsidRPr="001E28E5">
              <w:rPr>
                <w:rFonts w:cs="Arial"/>
                <w:szCs w:val="24"/>
              </w:rPr>
              <w:t>) site</w:t>
            </w:r>
          </w:p>
        </w:tc>
      </w:tr>
      <w:tr w:rsidR="00625CCA" w:rsidRPr="001E28E5" w14:paraId="5CF5868E" w14:textId="77777777" w:rsidTr="00E43704">
        <w:tc>
          <w:tcPr>
            <w:tcW w:w="1135" w:type="dxa"/>
            <w:vAlign w:val="center"/>
          </w:tcPr>
          <w:p w14:paraId="46267C2D" w14:textId="77777777" w:rsidR="00625CCA" w:rsidRPr="001E28E5" w:rsidRDefault="00625CCA" w:rsidP="00E43704">
            <w:pPr>
              <w:spacing w:before="0" w:after="0" w:line="240" w:lineRule="auto"/>
              <w:rPr>
                <w:rFonts w:cs="Arial"/>
                <w:szCs w:val="24"/>
              </w:rPr>
            </w:pPr>
            <w:r w:rsidRPr="001E28E5">
              <w:rPr>
                <w:rFonts w:cs="Arial"/>
                <w:szCs w:val="24"/>
              </w:rPr>
              <w:t>33</w:t>
            </w:r>
          </w:p>
        </w:tc>
        <w:tc>
          <w:tcPr>
            <w:tcW w:w="9214" w:type="dxa"/>
            <w:vAlign w:val="center"/>
          </w:tcPr>
          <w:p w14:paraId="4D76ADC7" w14:textId="6EF1A171" w:rsidR="00625CCA" w:rsidRPr="001E28E5" w:rsidRDefault="00625CCA" w:rsidP="00E43704">
            <w:pPr>
              <w:spacing w:before="0" w:after="0" w:line="240" w:lineRule="auto"/>
              <w:rPr>
                <w:rFonts w:cs="Arial"/>
                <w:szCs w:val="24"/>
              </w:rPr>
            </w:pPr>
            <w:r w:rsidRPr="001E28E5">
              <w:rPr>
                <w:rFonts w:cs="Arial"/>
                <w:szCs w:val="24"/>
              </w:rPr>
              <w:t>Accidental large toxic chemical release from an onshore major hazard (</w:t>
            </w:r>
            <w:r w:rsidR="001E1AD4">
              <w:rPr>
                <w:rFonts w:cs="Arial"/>
                <w:szCs w:val="24"/>
              </w:rPr>
              <w:t>Control of Major Accident Hazards</w:t>
            </w:r>
            <w:r w:rsidR="008D35E1">
              <w:rPr>
                <w:rFonts w:cs="Arial"/>
                <w:szCs w:val="24"/>
              </w:rPr>
              <w:t xml:space="preserve"> - COMAH</w:t>
            </w:r>
            <w:r w:rsidRPr="001E28E5">
              <w:rPr>
                <w:rFonts w:cs="Arial"/>
                <w:szCs w:val="24"/>
              </w:rPr>
              <w:t>) site</w:t>
            </w:r>
          </w:p>
        </w:tc>
      </w:tr>
      <w:tr w:rsidR="00625CCA" w:rsidRPr="001E28E5" w14:paraId="08AB591F" w14:textId="77777777" w:rsidTr="00E43704">
        <w:tc>
          <w:tcPr>
            <w:tcW w:w="1135" w:type="dxa"/>
            <w:vAlign w:val="center"/>
          </w:tcPr>
          <w:p w14:paraId="5237D891" w14:textId="77777777" w:rsidR="00625CCA" w:rsidRPr="001E28E5" w:rsidRDefault="00625CCA" w:rsidP="00E43704">
            <w:pPr>
              <w:spacing w:before="0" w:after="0" w:line="240" w:lineRule="auto"/>
              <w:rPr>
                <w:rFonts w:cs="Arial"/>
                <w:szCs w:val="24"/>
              </w:rPr>
            </w:pPr>
            <w:r w:rsidRPr="001E28E5">
              <w:rPr>
                <w:rFonts w:cs="Arial"/>
                <w:szCs w:val="24"/>
              </w:rPr>
              <w:t>34</w:t>
            </w:r>
          </w:p>
        </w:tc>
        <w:tc>
          <w:tcPr>
            <w:tcW w:w="9214" w:type="dxa"/>
            <w:vAlign w:val="center"/>
          </w:tcPr>
          <w:p w14:paraId="437C0A7E" w14:textId="77777777" w:rsidR="00625CCA" w:rsidRPr="001E28E5" w:rsidRDefault="00625CCA" w:rsidP="00E43704">
            <w:pPr>
              <w:spacing w:before="0" w:after="0" w:line="240" w:lineRule="auto"/>
              <w:rPr>
                <w:rFonts w:cs="Arial"/>
                <w:szCs w:val="24"/>
              </w:rPr>
            </w:pPr>
            <w:r w:rsidRPr="001E28E5">
              <w:rPr>
                <w:rFonts w:cs="Arial"/>
                <w:szCs w:val="24"/>
              </w:rPr>
              <w:t>Accidental fire or explosion on an offshore oil or gas installation</w:t>
            </w:r>
          </w:p>
        </w:tc>
      </w:tr>
      <w:tr w:rsidR="00625CCA" w:rsidRPr="001E28E5" w14:paraId="212CEB81" w14:textId="77777777" w:rsidTr="00E43704">
        <w:tc>
          <w:tcPr>
            <w:tcW w:w="1135" w:type="dxa"/>
            <w:vAlign w:val="center"/>
          </w:tcPr>
          <w:p w14:paraId="3086A978" w14:textId="77777777" w:rsidR="00625CCA" w:rsidRPr="001E28E5" w:rsidRDefault="00625CCA" w:rsidP="00E43704">
            <w:pPr>
              <w:spacing w:before="0" w:after="0" w:line="240" w:lineRule="auto"/>
              <w:rPr>
                <w:rFonts w:cs="Arial"/>
                <w:szCs w:val="24"/>
              </w:rPr>
            </w:pPr>
            <w:r w:rsidRPr="001E28E5">
              <w:rPr>
                <w:rFonts w:cs="Arial"/>
                <w:szCs w:val="24"/>
              </w:rPr>
              <w:t>35</w:t>
            </w:r>
            <w:r>
              <w:rPr>
                <w:rFonts w:cs="Arial"/>
                <w:szCs w:val="24"/>
              </w:rPr>
              <w:t>*</w:t>
            </w:r>
          </w:p>
        </w:tc>
        <w:tc>
          <w:tcPr>
            <w:tcW w:w="9214" w:type="dxa"/>
            <w:vAlign w:val="center"/>
          </w:tcPr>
          <w:p w14:paraId="392024B4" w14:textId="77777777" w:rsidR="00625CCA" w:rsidRPr="001E28E5" w:rsidRDefault="00625CCA" w:rsidP="00E43704">
            <w:pPr>
              <w:spacing w:before="0" w:after="0" w:line="240" w:lineRule="auto"/>
              <w:rPr>
                <w:rFonts w:cs="Arial"/>
                <w:szCs w:val="24"/>
              </w:rPr>
            </w:pPr>
            <w:r w:rsidRPr="001E28E5">
              <w:rPr>
                <w:rFonts w:cs="Arial"/>
                <w:szCs w:val="24"/>
              </w:rPr>
              <w:t>Accidental fire or explosion at an onshore fuel pipeline</w:t>
            </w:r>
          </w:p>
        </w:tc>
      </w:tr>
      <w:tr w:rsidR="00625CCA" w:rsidRPr="001E28E5" w14:paraId="2652B350" w14:textId="77777777" w:rsidTr="00E43704">
        <w:tc>
          <w:tcPr>
            <w:tcW w:w="1135" w:type="dxa"/>
            <w:vAlign w:val="center"/>
          </w:tcPr>
          <w:p w14:paraId="53536CBC" w14:textId="77777777" w:rsidR="00625CCA" w:rsidRPr="001E28E5" w:rsidRDefault="00625CCA" w:rsidP="00E43704">
            <w:pPr>
              <w:spacing w:before="0" w:after="0" w:line="240" w:lineRule="auto"/>
              <w:rPr>
                <w:rFonts w:cs="Arial"/>
                <w:szCs w:val="24"/>
              </w:rPr>
            </w:pPr>
            <w:r w:rsidRPr="001E28E5">
              <w:rPr>
                <w:rFonts w:cs="Arial"/>
                <w:szCs w:val="24"/>
              </w:rPr>
              <w:t>36</w:t>
            </w:r>
            <w:r>
              <w:rPr>
                <w:rFonts w:cs="Arial"/>
                <w:szCs w:val="24"/>
              </w:rPr>
              <w:t>*</w:t>
            </w:r>
          </w:p>
        </w:tc>
        <w:tc>
          <w:tcPr>
            <w:tcW w:w="9214" w:type="dxa"/>
            <w:vAlign w:val="center"/>
          </w:tcPr>
          <w:p w14:paraId="427F3CF7" w14:textId="77777777" w:rsidR="00625CCA" w:rsidRPr="001E28E5" w:rsidRDefault="00625CCA" w:rsidP="00E43704">
            <w:pPr>
              <w:spacing w:before="0" w:after="0" w:line="240" w:lineRule="auto"/>
              <w:rPr>
                <w:rFonts w:cs="Arial"/>
                <w:szCs w:val="24"/>
              </w:rPr>
            </w:pPr>
            <w:r w:rsidRPr="001E28E5">
              <w:rPr>
                <w:rFonts w:cs="Arial"/>
                <w:szCs w:val="24"/>
              </w:rPr>
              <w:t>Accidental fire or explosion at an onshore major accident hazard pipeline</w:t>
            </w:r>
          </w:p>
        </w:tc>
      </w:tr>
      <w:tr w:rsidR="00625CCA" w:rsidRPr="001E28E5" w14:paraId="725B55CF" w14:textId="77777777" w:rsidTr="00E43704">
        <w:tc>
          <w:tcPr>
            <w:tcW w:w="1135" w:type="dxa"/>
            <w:vAlign w:val="center"/>
          </w:tcPr>
          <w:p w14:paraId="4DB5C6E6" w14:textId="77777777" w:rsidR="00625CCA" w:rsidRPr="001E28E5" w:rsidRDefault="00625CCA" w:rsidP="00E43704">
            <w:pPr>
              <w:spacing w:before="0" w:after="0" w:line="240" w:lineRule="auto"/>
              <w:rPr>
                <w:rFonts w:cs="Arial"/>
                <w:szCs w:val="24"/>
              </w:rPr>
            </w:pPr>
            <w:r w:rsidRPr="001E28E5">
              <w:rPr>
                <w:rFonts w:cs="Arial"/>
                <w:szCs w:val="24"/>
              </w:rPr>
              <w:t>37</w:t>
            </w:r>
          </w:p>
        </w:tc>
        <w:tc>
          <w:tcPr>
            <w:tcW w:w="9214" w:type="dxa"/>
            <w:vAlign w:val="center"/>
          </w:tcPr>
          <w:p w14:paraId="519C404B" w14:textId="77777777" w:rsidR="00625CCA" w:rsidRPr="001E28E5" w:rsidRDefault="00625CCA" w:rsidP="00E43704">
            <w:pPr>
              <w:spacing w:before="0" w:after="0" w:line="240" w:lineRule="auto"/>
              <w:rPr>
                <w:rFonts w:cs="Arial"/>
                <w:szCs w:val="24"/>
              </w:rPr>
            </w:pPr>
            <w:r w:rsidRPr="001E28E5">
              <w:rPr>
                <w:rFonts w:cs="Arial"/>
                <w:szCs w:val="24"/>
              </w:rPr>
              <w:t>Accidental work-related (laboratory) release of a hazardous pathogen</w:t>
            </w:r>
          </w:p>
        </w:tc>
      </w:tr>
      <w:tr w:rsidR="00625CCA" w:rsidRPr="001E28E5" w14:paraId="0512AB75" w14:textId="77777777" w:rsidTr="00E43704">
        <w:tc>
          <w:tcPr>
            <w:tcW w:w="1135" w:type="dxa"/>
            <w:vAlign w:val="center"/>
          </w:tcPr>
          <w:p w14:paraId="34F7DADD" w14:textId="77777777" w:rsidR="00625CCA" w:rsidRPr="001E28E5" w:rsidRDefault="00625CCA" w:rsidP="00E43704">
            <w:pPr>
              <w:spacing w:before="0" w:after="0" w:line="240" w:lineRule="auto"/>
              <w:rPr>
                <w:rFonts w:cs="Arial"/>
                <w:szCs w:val="24"/>
              </w:rPr>
            </w:pPr>
            <w:r w:rsidRPr="001E28E5">
              <w:rPr>
                <w:rFonts w:cs="Arial"/>
                <w:szCs w:val="24"/>
              </w:rPr>
              <w:t>38</w:t>
            </w:r>
            <w:r>
              <w:rPr>
                <w:rFonts w:cs="Arial"/>
                <w:szCs w:val="24"/>
              </w:rPr>
              <w:t>*</w:t>
            </w:r>
          </w:p>
        </w:tc>
        <w:tc>
          <w:tcPr>
            <w:tcW w:w="9214" w:type="dxa"/>
            <w:vAlign w:val="center"/>
          </w:tcPr>
          <w:p w14:paraId="23942315" w14:textId="77777777" w:rsidR="00625CCA" w:rsidRPr="001E28E5" w:rsidRDefault="00625CCA" w:rsidP="00E43704">
            <w:pPr>
              <w:spacing w:before="0" w:after="0" w:line="240" w:lineRule="auto"/>
              <w:rPr>
                <w:rFonts w:cs="Arial"/>
                <w:szCs w:val="24"/>
              </w:rPr>
            </w:pPr>
            <w:r w:rsidRPr="001E28E5">
              <w:rPr>
                <w:rFonts w:cs="Arial"/>
                <w:szCs w:val="24"/>
              </w:rPr>
              <w:t>Reservoir/dam collapse</w:t>
            </w:r>
          </w:p>
        </w:tc>
      </w:tr>
      <w:tr w:rsidR="00625CCA" w:rsidRPr="001E28E5" w14:paraId="2E2E7E23" w14:textId="77777777" w:rsidTr="00E43704">
        <w:tc>
          <w:tcPr>
            <w:tcW w:w="1135" w:type="dxa"/>
            <w:vAlign w:val="center"/>
          </w:tcPr>
          <w:p w14:paraId="38485E47" w14:textId="77777777" w:rsidR="00625CCA" w:rsidRPr="001E28E5" w:rsidRDefault="00625CCA" w:rsidP="00E43704">
            <w:pPr>
              <w:spacing w:before="0" w:after="0" w:line="240" w:lineRule="auto"/>
              <w:rPr>
                <w:rFonts w:cs="Arial"/>
                <w:szCs w:val="24"/>
              </w:rPr>
            </w:pPr>
            <w:r w:rsidRPr="001E28E5">
              <w:rPr>
                <w:rFonts w:cs="Arial"/>
                <w:szCs w:val="24"/>
              </w:rPr>
              <w:t>39</w:t>
            </w:r>
            <w:r>
              <w:rPr>
                <w:rFonts w:cs="Arial"/>
                <w:szCs w:val="24"/>
              </w:rPr>
              <w:t>*</w:t>
            </w:r>
          </w:p>
        </w:tc>
        <w:tc>
          <w:tcPr>
            <w:tcW w:w="9214" w:type="dxa"/>
            <w:vAlign w:val="center"/>
          </w:tcPr>
          <w:p w14:paraId="4B559B2A" w14:textId="77777777" w:rsidR="00625CCA" w:rsidRPr="001E28E5" w:rsidRDefault="00625CCA" w:rsidP="00E43704">
            <w:pPr>
              <w:spacing w:before="0" w:after="0" w:line="240" w:lineRule="auto"/>
              <w:rPr>
                <w:rFonts w:cs="Arial"/>
                <w:szCs w:val="24"/>
              </w:rPr>
            </w:pPr>
            <w:r w:rsidRPr="001E28E5">
              <w:rPr>
                <w:rFonts w:cs="Arial"/>
                <w:szCs w:val="24"/>
              </w:rPr>
              <w:t>Water infrastructure failure or loss of drinking water</w:t>
            </w:r>
          </w:p>
        </w:tc>
      </w:tr>
      <w:tr w:rsidR="00625CCA" w:rsidRPr="001E28E5" w14:paraId="1E560343" w14:textId="77777777" w:rsidTr="00E43704">
        <w:tc>
          <w:tcPr>
            <w:tcW w:w="1135" w:type="dxa"/>
            <w:vAlign w:val="center"/>
          </w:tcPr>
          <w:p w14:paraId="48A9E36D" w14:textId="77777777" w:rsidR="00625CCA" w:rsidRPr="001E28E5" w:rsidRDefault="00625CCA" w:rsidP="00E43704">
            <w:pPr>
              <w:spacing w:before="0" w:after="0" w:line="240" w:lineRule="auto"/>
              <w:rPr>
                <w:rFonts w:cs="Arial"/>
                <w:szCs w:val="24"/>
              </w:rPr>
            </w:pPr>
            <w:r w:rsidRPr="001E28E5">
              <w:rPr>
                <w:rFonts w:cs="Arial"/>
                <w:szCs w:val="24"/>
              </w:rPr>
              <w:t>40</w:t>
            </w:r>
          </w:p>
        </w:tc>
        <w:tc>
          <w:tcPr>
            <w:tcW w:w="9214" w:type="dxa"/>
            <w:vAlign w:val="center"/>
          </w:tcPr>
          <w:p w14:paraId="388696DA" w14:textId="77777777" w:rsidR="00625CCA" w:rsidRPr="001E28E5" w:rsidRDefault="00625CCA" w:rsidP="00E43704">
            <w:pPr>
              <w:spacing w:before="0" w:after="0" w:line="240" w:lineRule="auto"/>
              <w:rPr>
                <w:rFonts w:cs="Arial"/>
                <w:szCs w:val="24"/>
              </w:rPr>
            </w:pPr>
            <w:r w:rsidRPr="001E28E5">
              <w:rPr>
                <w:rFonts w:cs="Arial"/>
                <w:szCs w:val="24"/>
              </w:rPr>
              <w:t>Food supply contamination</w:t>
            </w:r>
          </w:p>
        </w:tc>
      </w:tr>
      <w:tr w:rsidR="00625CCA" w:rsidRPr="001E28E5" w14:paraId="168A4363" w14:textId="77777777" w:rsidTr="00E43704">
        <w:tc>
          <w:tcPr>
            <w:tcW w:w="1135" w:type="dxa"/>
            <w:vAlign w:val="center"/>
          </w:tcPr>
          <w:p w14:paraId="64C7E18D" w14:textId="77777777" w:rsidR="00625CCA" w:rsidRPr="001E28E5" w:rsidRDefault="00625CCA" w:rsidP="00E43704">
            <w:pPr>
              <w:spacing w:before="0" w:after="0" w:line="240" w:lineRule="auto"/>
              <w:rPr>
                <w:rFonts w:cs="Arial"/>
                <w:szCs w:val="24"/>
              </w:rPr>
            </w:pPr>
            <w:r w:rsidRPr="001E28E5">
              <w:rPr>
                <w:rFonts w:cs="Arial"/>
                <w:szCs w:val="24"/>
              </w:rPr>
              <w:t>41</w:t>
            </w:r>
            <w:r>
              <w:rPr>
                <w:rFonts w:cs="Arial"/>
                <w:szCs w:val="24"/>
              </w:rPr>
              <w:t>*</w:t>
            </w:r>
          </w:p>
        </w:tc>
        <w:tc>
          <w:tcPr>
            <w:tcW w:w="9214" w:type="dxa"/>
            <w:vAlign w:val="center"/>
          </w:tcPr>
          <w:p w14:paraId="6324D19C" w14:textId="77777777" w:rsidR="00625CCA" w:rsidRPr="001E28E5" w:rsidRDefault="00625CCA" w:rsidP="00E43704">
            <w:pPr>
              <w:spacing w:before="0" w:after="0" w:line="240" w:lineRule="auto"/>
              <w:rPr>
                <w:rFonts w:cs="Arial"/>
                <w:szCs w:val="24"/>
              </w:rPr>
            </w:pPr>
            <w:r w:rsidRPr="001E28E5">
              <w:rPr>
                <w:rFonts w:cs="Arial"/>
                <w:szCs w:val="24"/>
              </w:rPr>
              <w:t>Major fire</w:t>
            </w:r>
          </w:p>
        </w:tc>
      </w:tr>
      <w:tr w:rsidR="00625CCA" w:rsidRPr="001E28E5" w14:paraId="359BE497" w14:textId="77777777" w:rsidTr="00E43704">
        <w:tc>
          <w:tcPr>
            <w:tcW w:w="1135" w:type="dxa"/>
            <w:vAlign w:val="center"/>
          </w:tcPr>
          <w:p w14:paraId="5147EE27" w14:textId="77777777" w:rsidR="00625CCA" w:rsidRPr="001E28E5" w:rsidRDefault="00625CCA" w:rsidP="00E43704">
            <w:pPr>
              <w:spacing w:before="0" w:after="0" w:line="240" w:lineRule="auto"/>
              <w:rPr>
                <w:rFonts w:cs="Arial"/>
                <w:szCs w:val="24"/>
              </w:rPr>
            </w:pPr>
            <w:r>
              <w:rPr>
                <w:rFonts w:cs="Arial"/>
                <w:szCs w:val="24"/>
              </w:rPr>
              <w:t>-</w:t>
            </w:r>
          </w:p>
        </w:tc>
        <w:tc>
          <w:tcPr>
            <w:tcW w:w="9214" w:type="dxa"/>
            <w:vAlign w:val="center"/>
          </w:tcPr>
          <w:p w14:paraId="4F88290E" w14:textId="77777777" w:rsidR="00625CCA" w:rsidRPr="001E28E5" w:rsidRDefault="00625CCA" w:rsidP="00E43704">
            <w:pPr>
              <w:spacing w:before="0" w:after="0" w:line="240" w:lineRule="auto"/>
              <w:rPr>
                <w:rFonts w:cs="Arial"/>
                <w:szCs w:val="24"/>
              </w:rPr>
            </w:pPr>
            <w:r w:rsidRPr="001E28E5">
              <w:rPr>
                <w:rFonts w:cs="Arial"/>
                <w:b/>
                <w:bCs/>
                <w:szCs w:val="24"/>
              </w:rPr>
              <w:t>Natural and environmental hazards</w:t>
            </w:r>
          </w:p>
        </w:tc>
      </w:tr>
      <w:tr w:rsidR="00625CCA" w:rsidRPr="001E28E5" w14:paraId="64A18D7F" w14:textId="77777777" w:rsidTr="00E43704">
        <w:tc>
          <w:tcPr>
            <w:tcW w:w="1135" w:type="dxa"/>
            <w:vAlign w:val="center"/>
          </w:tcPr>
          <w:p w14:paraId="389D3AEA" w14:textId="77777777" w:rsidR="00625CCA" w:rsidRPr="001E28E5" w:rsidRDefault="00625CCA" w:rsidP="00E43704">
            <w:pPr>
              <w:spacing w:before="0" w:after="0" w:line="240" w:lineRule="auto"/>
              <w:rPr>
                <w:rFonts w:cs="Arial"/>
                <w:szCs w:val="24"/>
              </w:rPr>
            </w:pPr>
            <w:r w:rsidRPr="001E28E5">
              <w:rPr>
                <w:rFonts w:cs="Arial"/>
                <w:szCs w:val="24"/>
              </w:rPr>
              <w:t>42</w:t>
            </w:r>
            <w:r>
              <w:rPr>
                <w:rFonts w:cs="Arial"/>
                <w:szCs w:val="24"/>
              </w:rPr>
              <w:t>*</w:t>
            </w:r>
          </w:p>
        </w:tc>
        <w:tc>
          <w:tcPr>
            <w:tcW w:w="9214" w:type="dxa"/>
            <w:vAlign w:val="center"/>
          </w:tcPr>
          <w:p w14:paraId="02E9F67B" w14:textId="77777777" w:rsidR="00625CCA" w:rsidRPr="001E28E5" w:rsidRDefault="00625CCA" w:rsidP="00E43704">
            <w:pPr>
              <w:spacing w:before="0" w:after="0" w:line="240" w:lineRule="auto"/>
              <w:rPr>
                <w:rFonts w:cs="Arial"/>
                <w:szCs w:val="24"/>
              </w:rPr>
            </w:pPr>
            <w:r w:rsidRPr="001E28E5">
              <w:rPr>
                <w:rFonts w:cs="Arial"/>
                <w:szCs w:val="24"/>
              </w:rPr>
              <w:t>Wildfire</w:t>
            </w:r>
          </w:p>
        </w:tc>
      </w:tr>
      <w:tr w:rsidR="00625CCA" w:rsidRPr="001E28E5" w14:paraId="55C200CA" w14:textId="77777777" w:rsidTr="00E43704">
        <w:tc>
          <w:tcPr>
            <w:tcW w:w="1135" w:type="dxa"/>
            <w:vAlign w:val="center"/>
          </w:tcPr>
          <w:p w14:paraId="24BE1F8D" w14:textId="77777777" w:rsidR="00625CCA" w:rsidRPr="001E28E5" w:rsidRDefault="00625CCA" w:rsidP="00E43704">
            <w:pPr>
              <w:spacing w:before="0" w:after="0" w:line="240" w:lineRule="auto"/>
              <w:rPr>
                <w:rFonts w:cs="Arial"/>
                <w:szCs w:val="24"/>
              </w:rPr>
            </w:pPr>
            <w:r w:rsidRPr="001E28E5">
              <w:rPr>
                <w:rFonts w:cs="Arial"/>
                <w:szCs w:val="24"/>
              </w:rPr>
              <w:t>43</w:t>
            </w:r>
          </w:p>
        </w:tc>
        <w:tc>
          <w:tcPr>
            <w:tcW w:w="9214" w:type="dxa"/>
            <w:vAlign w:val="center"/>
          </w:tcPr>
          <w:p w14:paraId="2CCD299C" w14:textId="77777777" w:rsidR="00625CCA" w:rsidRPr="001E28E5" w:rsidRDefault="00625CCA" w:rsidP="00E43704">
            <w:pPr>
              <w:spacing w:before="0" w:after="0" w:line="240" w:lineRule="auto"/>
              <w:rPr>
                <w:rFonts w:cs="Arial"/>
                <w:szCs w:val="24"/>
              </w:rPr>
            </w:pPr>
            <w:r w:rsidRPr="001E28E5">
              <w:rPr>
                <w:rFonts w:cs="Arial"/>
                <w:szCs w:val="24"/>
              </w:rPr>
              <w:t>Volcanic eruption</w:t>
            </w:r>
          </w:p>
        </w:tc>
      </w:tr>
      <w:tr w:rsidR="00625CCA" w:rsidRPr="001E28E5" w14:paraId="0056BE07" w14:textId="77777777" w:rsidTr="00E43704">
        <w:tc>
          <w:tcPr>
            <w:tcW w:w="1135" w:type="dxa"/>
            <w:vAlign w:val="center"/>
          </w:tcPr>
          <w:p w14:paraId="0EA52B4A" w14:textId="77777777" w:rsidR="00625CCA" w:rsidRPr="001E28E5" w:rsidRDefault="00625CCA" w:rsidP="00E43704">
            <w:pPr>
              <w:spacing w:before="0" w:after="0" w:line="240" w:lineRule="auto"/>
              <w:rPr>
                <w:rFonts w:cs="Arial"/>
                <w:szCs w:val="24"/>
              </w:rPr>
            </w:pPr>
            <w:r w:rsidRPr="001E28E5">
              <w:rPr>
                <w:rFonts w:cs="Arial"/>
                <w:szCs w:val="24"/>
              </w:rPr>
              <w:t>44</w:t>
            </w:r>
            <w:r>
              <w:rPr>
                <w:rFonts w:cs="Arial"/>
                <w:szCs w:val="24"/>
              </w:rPr>
              <w:t>*</w:t>
            </w:r>
          </w:p>
        </w:tc>
        <w:tc>
          <w:tcPr>
            <w:tcW w:w="9214" w:type="dxa"/>
            <w:vAlign w:val="center"/>
          </w:tcPr>
          <w:p w14:paraId="717A6A8E" w14:textId="77777777" w:rsidR="00625CCA" w:rsidRPr="001E28E5" w:rsidRDefault="00625CCA" w:rsidP="00E43704">
            <w:pPr>
              <w:spacing w:before="0" w:after="0" w:line="240" w:lineRule="auto"/>
              <w:rPr>
                <w:rFonts w:cs="Arial"/>
                <w:szCs w:val="24"/>
              </w:rPr>
            </w:pPr>
            <w:r w:rsidRPr="001E28E5">
              <w:rPr>
                <w:rFonts w:cs="Arial"/>
                <w:szCs w:val="24"/>
              </w:rPr>
              <w:t>Earthquake</w:t>
            </w:r>
          </w:p>
        </w:tc>
      </w:tr>
      <w:tr w:rsidR="00625CCA" w:rsidRPr="001E28E5" w14:paraId="45C2AEE1" w14:textId="77777777" w:rsidTr="00E43704">
        <w:tc>
          <w:tcPr>
            <w:tcW w:w="1135" w:type="dxa"/>
            <w:vAlign w:val="center"/>
          </w:tcPr>
          <w:p w14:paraId="1AC4D083" w14:textId="77777777" w:rsidR="00625CCA" w:rsidRPr="001E28E5" w:rsidRDefault="00625CCA" w:rsidP="00E43704">
            <w:pPr>
              <w:spacing w:before="0" w:after="0" w:line="240" w:lineRule="auto"/>
              <w:rPr>
                <w:rFonts w:cs="Arial"/>
                <w:szCs w:val="24"/>
              </w:rPr>
            </w:pPr>
            <w:r w:rsidRPr="001E28E5">
              <w:rPr>
                <w:rFonts w:cs="Arial"/>
                <w:szCs w:val="24"/>
              </w:rPr>
              <w:t>45</w:t>
            </w:r>
            <w:r>
              <w:rPr>
                <w:rFonts w:cs="Arial"/>
                <w:szCs w:val="24"/>
              </w:rPr>
              <w:t>*</w:t>
            </w:r>
          </w:p>
        </w:tc>
        <w:tc>
          <w:tcPr>
            <w:tcW w:w="9214" w:type="dxa"/>
            <w:vAlign w:val="center"/>
          </w:tcPr>
          <w:p w14:paraId="0B7FED63" w14:textId="77777777" w:rsidR="00625CCA" w:rsidRPr="001E28E5" w:rsidRDefault="00625CCA" w:rsidP="00E43704">
            <w:pPr>
              <w:spacing w:before="0" w:after="0" w:line="240" w:lineRule="auto"/>
              <w:rPr>
                <w:rFonts w:cs="Arial"/>
                <w:szCs w:val="24"/>
              </w:rPr>
            </w:pPr>
            <w:r w:rsidRPr="001E28E5">
              <w:rPr>
                <w:rFonts w:cs="Arial"/>
                <w:szCs w:val="24"/>
              </w:rPr>
              <w:t>Humanitarian crisis overseas – natural hazard event</w:t>
            </w:r>
          </w:p>
        </w:tc>
      </w:tr>
      <w:tr w:rsidR="00625CCA" w:rsidRPr="001E28E5" w14:paraId="1481B178" w14:textId="77777777" w:rsidTr="00E43704">
        <w:tc>
          <w:tcPr>
            <w:tcW w:w="1135" w:type="dxa"/>
            <w:vAlign w:val="center"/>
          </w:tcPr>
          <w:p w14:paraId="58BBC541" w14:textId="77777777" w:rsidR="00625CCA" w:rsidRPr="001E28E5" w:rsidRDefault="00625CCA" w:rsidP="00E43704">
            <w:pPr>
              <w:spacing w:before="0" w:after="0" w:line="240" w:lineRule="auto"/>
              <w:rPr>
                <w:rFonts w:cs="Arial"/>
                <w:szCs w:val="24"/>
              </w:rPr>
            </w:pPr>
            <w:r w:rsidRPr="001E28E5">
              <w:rPr>
                <w:rFonts w:cs="Arial"/>
                <w:szCs w:val="24"/>
              </w:rPr>
              <w:t>46</w:t>
            </w:r>
            <w:r>
              <w:rPr>
                <w:rFonts w:cs="Arial"/>
                <w:szCs w:val="24"/>
              </w:rPr>
              <w:t>*</w:t>
            </w:r>
          </w:p>
        </w:tc>
        <w:tc>
          <w:tcPr>
            <w:tcW w:w="9214" w:type="dxa"/>
            <w:vAlign w:val="center"/>
          </w:tcPr>
          <w:p w14:paraId="368B2E73" w14:textId="77777777" w:rsidR="00625CCA" w:rsidRPr="001E28E5" w:rsidRDefault="00625CCA" w:rsidP="00E43704">
            <w:pPr>
              <w:spacing w:before="0" w:after="0" w:line="240" w:lineRule="auto"/>
              <w:rPr>
                <w:rFonts w:cs="Arial"/>
                <w:szCs w:val="24"/>
              </w:rPr>
            </w:pPr>
            <w:r w:rsidRPr="001E28E5">
              <w:rPr>
                <w:rFonts w:cs="Arial"/>
                <w:szCs w:val="24"/>
              </w:rPr>
              <w:t>Disaster response in the Overseas Territories</w:t>
            </w:r>
          </w:p>
        </w:tc>
      </w:tr>
      <w:tr w:rsidR="00625CCA" w:rsidRPr="001E28E5" w14:paraId="5FFA4EEB" w14:textId="77777777" w:rsidTr="00E43704">
        <w:tc>
          <w:tcPr>
            <w:tcW w:w="1135" w:type="dxa"/>
            <w:vAlign w:val="center"/>
          </w:tcPr>
          <w:p w14:paraId="4E820B34" w14:textId="77777777" w:rsidR="00625CCA" w:rsidRPr="001E28E5" w:rsidRDefault="00625CCA" w:rsidP="00E43704">
            <w:pPr>
              <w:spacing w:before="0" w:after="0" w:line="240" w:lineRule="auto"/>
              <w:rPr>
                <w:rFonts w:cs="Arial"/>
                <w:szCs w:val="24"/>
              </w:rPr>
            </w:pPr>
            <w:r w:rsidRPr="001E28E5">
              <w:rPr>
                <w:rFonts w:cs="Arial"/>
                <w:szCs w:val="24"/>
              </w:rPr>
              <w:t>47</w:t>
            </w:r>
            <w:r>
              <w:rPr>
                <w:rFonts w:cs="Arial"/>
                <w:szCs w:val="24"/>
              </w:rPr>
              <w:t>*</w:t>
            </w:r>
          </w:p>
        </w:tc>
        <w:tc>
          <w:tcPr>
            <w:tcW w:w="9214" w:type="dxa"/>
            <w:vAlign w:val="center"/>
          </w:tcPr>
          <w:p w14:paraId="6DF4B616" w14:textId="77777777" w:rsidR="00625CCA" w:rsidRPr="001E28E5" w:rsidRDefault="00625CCA" w:rsidP="00E43704">
            <w:pPr>
              <w:spacing w:before="0" w:after="0" w:line="240" w:lineRule="auto"/>
              <w:rPr>
                <w:rFonts w:cs="Arial"/>
                <w:szCs w:val="24"/>
              </w:rPr>
            </w:pPr>
            <w:r w:rsidRPr="001E28E5">
              <w:rPr>
                <w:rFonts w:cs="Arial"/>
                <w:szCs w:val="24"/>
              </w:rPr>
              <w:t>Severe space weather</w:t>
            </w:r>
          </w:p>
        </w:tc>
      </w:tr>
      <w:tr w:rsidR="00625CCA" w:rsidRPr="001E28E5" w14:paraId="7602BEA8" w14:textId="77777777" w:rsidTr="00E43704">
        <w:tc>
          <w:tcPr>
            <w:tcW w:w="1135" w:type="dxa"/>
            <w:vAlign w:val="center"/>
          </w:tcPr>
          <w:p w14:paraId="20B280FD" w14:textId="77777777" w:rsidR="00625CCA" w:rsidRPr="001E28E5" w:rsidRDefault="00625CCA" w:rsidP="00E43704">
            <w:pPr>
              <w:spacing w:before="0" w:after="0" w:line="240" w:lineRule="auto"/>
              <w:rPr>
                <w:rFonts w:cs="Arial"/>
                <w:szCs w:val="24"/>
              </w:rPr>
            </w:pPr>
            <w:r w:rsidRPr="001E28E5">
              <w:rPr>
                <w:rFonts w:cs="Arial"/>
                <w:szCs w:val="24"/>
              </w:rPr>
              <w:t>48</w:t>
            </w:r>
            <w:r>
              <w:rPr>
                <w:rFonts w:cs="Arial"/>
                <w:szCs w:val="24"/>
              </w:rPr>
              <w:t>*</w:t>
            </w:r>
          </w:p>
        </w:tc>
        <w:tc>
          <w:tcPr>
            <w:tcW w:w="9214" w:type="dxa"/>
            <w:vAlign w:val="center"/>
          </w:tcPr>
          <w:p w14:paraId="7B0B27CC" w14:textId="77777777" w:rsidR="00625CCA" w:rsidRPr="001E28E5" w:rsidRDefault="00625CCA" w:rsidP="00E43704">
            <w:pPr>
              <w:spacing w:before="0" w:after="0" w:line="240" w:lineRule="auto"/>
              <w:rPr>
                <w:rFonts w:cs="Arial"/>
                <w:szCs w:val="24"/>
              </w:rPr>
            </w:pPr>
            <w:r w:rsidRPr="001E28E5">
              <w:rPr>
                <w:rFonts w:cs="Arial"/>
                <w:szCs w:val="24"/>
              </w:rPr>
              <w:t>Storms</w:t>
            </w:r>
          </w:p>
        </w:tc>
      </w:tr>
      <w:tr w:rsidR="00625CCA" w:rsidRPr="001E28E5" w14:paraId="3AB85B93" w14:textId="77777777" w:rsidTr="00E43704">
        <w:tc>
          <w:tcPr>
            <w:tcW w:w="1135" w:type="dxa"/>
            <w:vAlign w:val="center"/>
          </w:tcPr>
          <w:p w14:paraId="6259357B" w14:textId="77777777" w:rsidR="00625CCA" w:rsidRPr="001E28E5" w:rsidRDefault="00625CCA" w:rsidP="00E43704">
            <w:pPr>
              <w:spacing w:before="0" w:after="0" w:line="240" w:lineRule="auto"/>
              <w:rPr>
                <w:rFonts w:cs="Arial"/>
                <w:szCs w:val="24"/>
              </w:rPr>
            </w:pPr>
            <w:r w:rsidRPr="001E28E5">
              <w:rPr>
                <w:rFonts w:cs="Arial"/>
                <w:szCs w:val="24"/>
              </w:rPr>
              <w:t>49</w:t>
            </w:r>
            <w:r>
              <w:rPr>
                <w:rFonts w:cs="Arial"/>
                <w:szCs w:val="24"/>
              </w:rPr>
              <w:t>*</w:t>
            </w:r>
          </w:p>
        </w:tc>
        <w:tc>
          <w:tcPr>
            <w:tcW w:w="9214" w:type="dxa"/>
            <w:vAlign w:val="center"/>
          </w:tcPr>
          <w:p w14:paraId="136592AB" w14:textId="77777777" w:rsidR="00625CCA" w:rsidRPr="001E28E5" w:rsidRDefault="00625CCA" w:rsidP="00E43704">
            <w:pPr>
              <w:spacing w:before="0" w:after="0" w:line="240" w:lineRule="auto"/>
              <w:rPr>
                <w:rFonts w:cs="Arial"/>
                <w:szCs w:val="24"/>
              </w:rPr>
            </w:pPr>
            <w:r w:rsidRPr="001E28E5">
              <w:rPr>
                <w:rFonts w:cs="Arial"/>
                <w:szCs w:val="24"/>
              </w:rPr>
              <w:t>High temperatures and heatwaves</w:t>
            </w:r>
          </w:p>
        </w:tc>
      </w:tr>
      <w:tr w:rsidR="00625CCA" w:rsidRPr="001E28E5" w14:paraId="7CF5221C" w14:textId="77777777" w:rsidTr="00E43704">
        <w:tc>
          <w:tcPr>
            <w:tcW w:w="1135" w:type="dxa"/>
            <w:vAlign w:val="center"/>
          </w:tcPr>
          <w:p w14:paraId="4D9DEBBF" w14:textId="77777777" w:rsidR="00625CCA" w:rsidRPr="001E28E5" w:rsidRDefault="00625CCA" w:rsidP="00E43704">
            <w:pPr>
              <w:spacing w:before="0" w:after="0" w:line="240" w:lineRule="auto"/>
              <w:rPr>
                <w:rFonts w:cs="Arial"/>
                <w:szCs w:val="24"/>
              </w:rPr>
            </w:pPr>
            <w:r w:rsidRPr="001E28E5">
              <w:rPr>
                <w:rFonts w:cs="Arial"/>
                <w:szCs w:val="24"/>
              </w:rPr>
              <w:t>50</w:t>
            </w:r>
            <w:r>
              <w:rPr>
                <w:rFonts w:cs="Arial"/>
                <w:szCs w:val="24"/>
              </w:rPr>
              <w:t>*</w:t>
            </w:r>
          </w:p>
        </w:tc>
        <w:tc>
          <w:tcPr>
            <w:tcW w:w="9214" w:type="dxa"/>
            <w:vAlign w:val="center"/>
          </w:tcPr>
          <w:p w14:paraId="3E69D3F5" w14:textId="77777777" w:rsidR="00625CCA" w:rsidRPr="001E28E5" w:rsidRDefault="00625CCA" w:rsidP="00E43704">
            <w:pPr>
              <w:spacing w:before="0" w:after="0" w:line="240" w:lineRule="auto"/>
              <w:rPr>
                <w:rFonts w:cs="Arial"/>
                <w:szCs w:val="24"/>
              </w:rPr>
            </w:pPr>
            <w:r w:rsidRPr="001E28E5">
              <w:rPr>
                <w:rFonts w:cs="Arial"/>
                <w:szCs w:val="24"/>
              </w:rPr>
              <w:t>Low temperatures and snow</w:t>
            </w:r>
          </w:p>
        </w:tc>
      </w:tr>
      <w:tr w:rsidR="00625CCA" w:rsidRPr="001E28E5" w14:paraId="452D3804" w14:textId="77777777" w:rsidTr="00E43704">
        <w:tc>
          <w:tcPr>
            <w:tcW w:w="1135" w:type="dxa"/>
            <w:vAlign w:val="center"/>
          </w:tcPr>
          <w:p w14:paraId="632A90A5" w14:textId="77777777" w:rsidR="00625CCA" w:rsidRPr="001E28E5" w:rsidRDefault="00625CCA" w:rsidP="00E43704">
            <w:pPr>
              <w:spacing w:before="0" w:after="0" w:line="240" w:lineRule="auto"/>
              <w:rPr>
                <w:rFonts w:cs="Arial"/>
                <w:szCs w:val="24"/>
              </w:rPr>
            </w:pPr>
            <w:r w:rsidRPr="001E28E5">
              <w:rPr>
                <w:rFonts w:cs="Arial"/>
                <w:szCs w:val="24"/>
              </w:rPr>
              <w:t>51a</w:t>
            </w:r>
            <w:r>
              <w:rPr>
                <w:rFonts w:cs="Arial"/>
                <w:szCs w:val="24"/>
              </w:rPr>
              <w:t>*</w:t>
            </w:r>
          </w:p>
        </w:tc>
        <w:tc>
          <w:tcPr>
            <w:tcW w:w="9214" w:type="dxa"/>
            <w:vAlign w:val="center"/>
          </w:tcPr>
          <w:p w14:paraId="72FBE92C" w14:textId="77777777" w:rsidR="00625CCA" w:rsidRPr="001E28E5" w:rsidRDefault="00625CCA" w:rsidP="00E43704">
            <w:pPr>
              <w:spacing w:before="0" w:after="0" w:line="240" w:lineRule="auto"/>
              <w:rPr>
                <w:rFonts w:cs="Arial"/>
                <w:szCs w:val="24"/>
              </w:rPr>
            </w:pPr>
            <w:r w:rsidRPr="001E28E5">
              <w:rPr>
                <w:rFonts w:cs="Arial"/>
                <w:szCs w:val="24"/>
              </w:rPr>
              <w:t>Coastal flooding</w:t>
            </w:r>
          </w:p>
        </w:tc>
      </w:tr>
      <w:tr w:rsidR="00625CCA" w:rsidRPr="001E28E5" w14:paraId="2F68237B" w14:textId="77777777" w:rsidTr="00E43704">
        <w:tc>
          <w:tcPr>
            <w:tcW w:w="1135" w:type="dxa"/>
            <w:vAlign w:val="center"/>
          </w:tcPr>
          <w:p w14:paraId="72CAD52E" w14:textId="77777777" w:rsidR="00625CCA" w:rsidRPr="001E28E5" w:rsidRDefault="00625CCA" w:rsidP="00E43704">
            <w:pPr>
              <w:spacing w:before="0" w:after="0" w:line="240" w:lineRule="auto"/>
              <w:rPr>
                <w:rFonts w:cs="Arial"/>
                <w:szCs w:val="24"/>
              </w:rPr>
            </w:pPr>
            <w:r w:rsidRPr="001E28E5">
              <w:rPr>
                <w:rFonts w:cs="Arial"/>
                <w:szCs w:val="24"/>
              </w:rPr>
              <w:t>51b</w:t>
            </w:r>
            <w:r>
              <w:rPr>
                <w:rFonts w:cs="Arial"/>
                <w:szCs w:val="24"/>
              </w:rPr>
              <w:t>*</w:t>
            </w:r>
          </w:p>
        </w:tc>
        <w:tc>
          <w:tcPr>
            <w:tcW w:w="9214" w:type="dxa"/>
            <w:vAlign w:val="center"/>
          </w:tcPr>
          <w:p w14:paraId="6A613CD8" w14:textId="77777777" w:rsidR="00625CCA" w:rsidRPr="001E28E5" w:rsidRDefault="00625CCA" w:rsidP="00E43704">
            <w:pPr>
              <w:spacing w:before="0" w:after="0" w:line="240" w:lineRule="auto"/>
              <w:rPr>
                <w:rFonts w:cs="Arial"/>
                <w:szCs w:val="24"/>
              </w:rPr>
            </w:pPr>
            <w:r w:rsidRPr="001E28E5">
              <w:rPr>
                <w:rFonts w:cs="Arial"/>
                <w:szCs w:val="24"/>
              </w:rPr>
              <w:t>Fluvial flooding</w:t>
            </w:r>
          </w:p>
        </w:tc>
      </w:tr>
      <w:tr w:rsidR="00625CCA" w:rsidRPr="001E28E5" w14:paraId="23B25D7F" w14:textId="77777777" w:rsidTr="00E43704">
        <w:tc>
          <w:tcPr>
            <w:tcW w:w="1135" w:type="dxa"/>
            <w:vAlign w:val="center"/>
          </w:tcPr>
          <w:p w14:paraId="4925E692" w14:textId="77777777" w:rsidR="00625CCA" w:rsidRPr="001E28E5" w:rsidRDefault="00625CCA" w:rsidP="00E43704">
            <w:pPr>
              <w:spacing w:before="0" w:after="0" w:line="240" w:lineRule="auto"/>
              <w:rPr>
                <w:rFonts w:cs="Arial"/>
                <w:szCs w:val="24"/>
              </w:rPr>
            </w:pPr>
            <w:r w:rsidRPr="001E28E5">
              <w:rPr>
                <w:rFonts w:cs="Arial"/>
                <w:szCs w:val="24"/>
              </w:rPr>
              <w:t>51c</w:t>
            </w:r>
            <w:r>
              <w:rPr>
                <w:rFonts w:cs="Arial"/>
                <w:szCs w:val="24"/>
              </w:rPr>
              <w:t>*</w:t>
            </w:r>
          </w:p>
        </w:tc>
        <w:tc>
          <w:tcPr>
            <w:tcW w:w="9214" w:type="dxa"/>
            <w:vAlign w:val="center"/>
          </w:tcPr>
          <w:p w14:paraId="4E0B546B" w14:textId="77777777" w:rsidR="00625CCA" w:rsidRPr="001E28E5" w:rsidRDefault="00625CCA" w:rsidP="00E43704">
            <w:pPr>
              <w:spacing w:before="0" w:after="0" w:line="240" w:lineRule="auto"/>
              <w:rPr>
                <w:rFonts w:cs="Arial"/>
                <w:szCs w:val="24"/>
              </w:rPr>
            </w:pPr>
            <w:r w:rsidRPr="001E28E5">
              <w:rPr>
                <w:rFonts w:cs="Arial"/>
                <w:szCs w:val="24"/>
              </w:rPr>
              <w:t>Surface water flooding</w:t>
            </w:r>
          </w:p>
        </w:tc>
      </w:tr>
      <w:tr w:rsidR="00625CCA" w:rsidRPr="001E28E5" w14:paraId="033EE438" w14:textId="77777777" w:rsidTr="00E43704">
        <w:tc>
          <w:tcPr>
            <w:tcW w:w="1135" w:type="dxa"/>
            <w:vAlign w:val="center"/>
          </w:tcPr>
          <w:p w14:paraId="0CB995B3" w14:textId="77777777" w:rsidR="00625CCA" w:rsidRPr="001E28E5" w:rsidRDefault="00625CCA" w:rsidP="00E43704">
            <w:pPr>
              <w:spacing w:before="0" w:after="0" w:line="240" w:lineRule="auto"/>
              <w:rPr>
                <w:rFonts w:cs="Arial"/>
                <w:szCs w:val="24"/>
              </w:rPr>
            </w:pPr>
            <w:r w:rsidRPr="001E28E5">
              <w:rPr>
                <w:rFonts w:cs="Arial"/>
                <w:szCs w:val="24"/>
              </w:rPr>
              <w:t>52</w:t>
            </w:r>
            <w:r>
              <w:rPr>
                <w:rFonts w:cs="Arial"/>
                <w:szCs w:val="24"/>
              </w:rPr>
              <w:t>*</w:t>
            </w:r>
          </w:p>
        </w:tc>
        <w:tc>
          <w:tcPr>
            <w:tcW w:w="9214" w:type="dxa"/>
            <w:vAlign w:val="center"/>
          </w:tcPr>
          <w:p w14:paraId="46B0AF38" w14:textId="77777777" w:rsidR="00625CCA" w:rsidRPr="001E28E5" w:rsidRDefault="00625CCA" w:rsidP="00E43704">
            <w:pPr>
              <w:spacing w:before="0" w:after="0" w:line="240" w:lineRule="auto"/>
              <w:rPr>
                <w:rFonts w:cs="Arial"/>
                <w:szCs w:val="24"/>
              </w:rPr>
            </w:pPr>
            <w:r w:rsidRPr="001E28E5">
              <w:rPr>
                <w:rFonts w:cs="Arial"/>
                <w:szCs w:val="24"/>
              </w:rPr>
              <w:t>Drought</w:t>
            </w:r>
          </w:p>
        </w:tc>
      </w:tr>
      <w:tr w:rsidR="00625CCA" w:rsidRPr="001E28E5" w14:paraId="5D48B406" w14:textId="77777777" w:rsidTr="00E43704">
        <w:tc>
          <w:tcPr>
            <w:tcW w:w="1135" w:type="dxa"/>
            <w:vAlign w:val="center"/>
          </w:tcPr>
          <w:p w14:paraId="1EC5E8E6" w14:textId="77777777" w:rsidR="00625CCA" w:rsidRPr="001E28E5" w:rsidRDefault="00625CCA" w:rsidP="00E43704">
            <w:pPr>
              <w:spacing w:before="0" w:after="0" w:line="240" w:lineRule="auto"/>
              <w:rPr>
                <w:rFonts w:cs="Arial"/>
                <w:szCs w:val="24"/>
              </w:rPr>
            </w:pPr>
            <w:r w:rsidRPr="001E28E5">
              <w:rPr>
                <w:rFonts w:cs="Arial"/>
                <w:szCs w:val="24"/>
              </w:rPr>
              <w:t>53</w:t>
            </w:r>
            <w:r>
              <w:rPr>
                <w:rFonts w:cs="Arial"/>
                <w:szCs w:val="24"/>
              </w:rPr>
              <w:t>*</w:t>
            </w:r>
          </w:p>
        </w:tc>
        <w:tc>
          <w:tcPr>
            <w:tcW w:w="9214" w:type="dxa"/>
            <w:vAlign w:val="center"/>
          </w:tcPr>
          <w:p w14:paraId="29848E02" w14:textId="77777777" w:rsidR="00625CCA" w:rsidRPr="001E28E5" w:rsidRDefault="00625CCA" w:rsidP="00E43704">
            <w:pPr>
              <w:spacing w:before="0" w:after="0" w:line="240" w:lineRule="auto"/>
              <w:rPr>
                <w:rFonts w:cs="Arial"/>
                <w:szCs w:val="24"/>
              </w:rPr>
            </w:pPr>
            <w:r w:rsidRPr="001E28E5">
              <w:rPr>
                <w:rFonts w:cs="Arial"/>
                <w:szCs w:val="24"/>
              </w:rPr>
              <w:t>Poor air quality</w:t>
            </w:r>
          </w:p>
        </w:tc>
      </w:tr>
      <w:tr w:rsidR="00625CCA" w:rsidRPr="001E28E5" w14:paraId="3B717B51" w14:textId="77777777" w:rsidTr="00E43704">
        <w:tc>
          <w:tcPr>
            <w:tcW w:w="1135" w:type="dxa"/>
            <w:vAlign w:val="center"/>
          </w:tcPr>
          <w:p w14:paraId="492F2717" w14:textId="77777777" w:rsidR="00625CCA" w:rsidRPr="001E28E5" w:rsidRDefault="00625CCA" w:rsidP="00E43704">
            <w:pPr>
              <w:spacing w:before="0" w:after="0" w:line="240" w:lineRule="auto"/>
              <w:rPr>
                <w:rFonts w:cs="Arial"/>
                <w:szCs w:val="24"/>
              </w:rPr>
            </w:pPr>
            <w:r>
              <w:rPr>
                <w:rFonts w:cs="Arial"/>
                <w:szCs w:val="24"/>
              </w:rPr>
              <w:lastRenderedPageBreak/>
              <w:t>-</w:t>
            </w:r>
          </w:p>
        </w:tc>
        <w:tc>
          <w:tcPr>
            <w:tcW w:w="9214" w:type="dxa"/>
            <w:vAlign w:val="center"/>
          </w:tcPr>
          <w:p w14:paraId="30FB8030" w14:textId="77777777" w:rsidR="00625CCA" w:rsidRPr="001E28E5" w:rsidRDefault="00625CCA" w:rsidP="00E43704">
            <w:pPr>
              <w:spacing w:before="0" w:after="0" w:line="240" w:lineRule="auto"/>
              <w:rPr>
                <w:rFonts w:cs="Arial"/>
                <w:szCs w:val="24"/>
              </w:rPr>
            </w:pPr>
            <w:r w:rsidRPr="001E28E5">
              <w:rPr>
                <w:rFonts w:cs="Arial"/>
                <w:b/>
                <w:bCs/>
                <w:szCs w:val="24"/>
              </w:rPr>
              <w:t>Human, animal and plant health</w:t>
            </w:r>
          </w:p>
        </w:tc>
      </w:tr>
      <w:tr w:rsidR="00625CCA" w:rsidRPr="001E28E5" w14:paraId="153AB0CD" w14:textId="77777777" w:rsidTr="00E43704">
        <w:tc>
          <w:tcPr>
            <w:tcW w:w="1135" w:type="dxa"/>
            <w:vAlign w:val="center"/>
          </w:tcPr>
          <w:p w14:paraId="0B94B004" w14:textId="77777777" w:rsidR="00625CCA" w:rsidRPr="001E28E5" w:rsidRDefault="00625CCA" w:rsidP="00E43704">
            <w:pPr>
              <w:spacing w:before="0" w:after="0" w:line="240" w:lineRule="auto"/>
              <w:rPr>
                <w:rFonts w:cs="Arial"/>
                <w:szCs w:val="24"/>
              </w:rPr>
            </w:pPr>
            <w:r w:rsidRPr="001E28E5">
              <w:rPr>
                <w:rFonts w:cs="Arial"/>
                <w:szCs w:val="24"/>
              </w:rPr>
              <w:t>54</w:t>
            </w:r>
            <w:r>
              <w:rPr>
                <w:rFonts w:cs="Arial"/>
                <w:szCs w:val="24"/>
              </w:rPr>
              <w:t>*</w:t>
            </w:r>
          </w:p>
        </w:tc>
        <w:tc>
          <w:tcPr>
            <w:tcW w:w="9214" w:type="dxa"/>
            <w:vAlign w:val="center"/>
          </w:tcPr>
          <w:p w14:paraId="623137E8" w14:textId="77777777" w:rsidR="00625CCA" w:rsidRPr="001E28E5" w:rsidRDefault="00625CCA" w:rsidP="00E43704">
            <w:pPr>
              <w:spacing w:before="0" w:after="0" w:line="240" w:lineRule="auto"/>
              <w:rPr>
                <w:rFonts w:cs="Arial"/>
                <w:szCs w:val="24"/>
              </w:rPr>
            </w:pPr>
            <w:r w:rsidRPr="001E28E5">
              <w:rPr>
                <w:rFonts w:cs="Arial"/>
                <w:szCs w:val="24"/>
              </w:rPr>
              <w:t>Pandemic</w:t>
            </w:r>
          </w:p>
        </w:tc>
      </w:tr>
      <w:tr w:rsidR="00625CCA" w:rsidRPr="001E28E5" w14:paraId="42B27148" w14:textId="77777777" w:rsidTr="00E43704">
        <w:tc>
          <w:tcPr>
            <w:tcW w:w="1135" w:type="dxa"/>
            <w:vAlign w:val="center"/>
          </w:tcPr>
          <w:p w14:paraId="079D6312" w14:textId="77777777" w:rsidR="00625CCA" w:rsidRPr="001E28E5" w:rsidRDefault="00625CCA" w:rsidP="00E43704">
            <w:pPr>
              <w:spacing w:before="0" w:after="0" w:line="240" w:lineRule="auto"/>
              <w:rPr>
                <w:rFonts w:cs="Arial"/>
                <w:szCs w:val="24"/>
              </w:rPr>
            </w:pPr>
            <w:r w:rsidRPr="001E28E5">
              <w:rPr>
                <w:rFonts w:cs="Arial"/>
                <w:szCs w:val="24"/>
              </w:rPr>
              <w:t>55</w:t>
            </w:r>
            <w:r>
              <w:rPr>
                <w:rFonts w:cs="Arial"/>
                <w:szCs w:val="24"/>
              </w:rPr>
              <w:t>*</w:t>
            </w:r>
          </w:p>
        </w:tc>
        <w:tc>
          <w:tcPr>
            <w:tcW w:w="9214" w:type="dxa"/>
            <w:vAlign w:val="center"/>
          </w:tcPr>
          <w:p w14:paraId="3BEE5EAA" w14:textId="77777777" w:rsidR="00625CCA" w:rsidRPr="001E28E5" w:rsidRDefault="00625CCA" w:rsidP="00E43704">
            <w:pPr>
              <w:spacing w:before="0" w:after="0" w:line="240" w:lineRule="auto"/>
              <w:rPr>
                <w:rFonts w:cs="Arial"/>
                <w:szCs w:val="24"/>
              </w:rPr>
            </w:pPr>
            <w:r w:rsidRPr="001E28E5">
              <w:rPr>
                <w:rFonts w:cs="Arial"/>
                <w:szCs w:val="24"/>
              </w:rPr>
              <w:t>Outbreak of an emerging infectious disease</w:t>
            </w:r>
          </w:p>
        </w:tc>
      </w:tr>
      <w:tr w:rsidR="00625CCA" w:rsidRPr="001E28E5" w14:paraId="09AD5D16" w14:textId="77777777" w:rsidTr="00E43704">
        <w:tc>
          <w:tcPr>
            <w:tcW w:w="1135" w:type="dxa"/>
            <w:vAlign w:val="center"/>
          </w:tcPr>
          <w:p w14:paraId="52B0A29C" w14:textId="77777777" w:rsidR="00625CCA" w:rsidRPr="001E28E5" w:rsidRDefault="00625CCA" w:rsidP="00E43704">
            <w:pPr>
              <w:spacing w:before="0" w:after="0" w:line="240" w:lineRule="auto"/>
              <w:rPr>
                <w:rFonts w:cs="Arial"/>
                <w:szCs w:val="24"/>
              </w:rPr>
            </w:pPr>
            <w:r w:rsidRPr="001E28E5">
              <w:rPr>
                <w:rFonts w:cs="Arial"/>
                <w:szCs w:val="24"/>
              </w:rPr>
              <w:t>56a</w:t>
            </w:r>
            <w:r>
              <w:rPr>
                <w:rFonts w:cs="Arial"/>
                <w:szCs w:val="24"/>
              </w:rPr>
              <w:t>*</w:t>
            </w:r>
          </w:p>
        </w:tc>
        <w:tc>
          <w:tcPr>
            <w:tcW w:w="9214" w:type="dxa"/>
            <w:vAlign w:val="center"/>
          </w:tcPr>
          <w:p w14:paraId="5D5B1123" w14:textId="77777777" w:rsidR="00625CCA" w:rsidRPr="001E28E5" w:rsidRDefault="00625CCA" w:rsidP="00E43704">
            <w:pPr>
              <w:spacing w:before="0" w:after="0" w:line="240" w:lineRule="auto"/>
              <w:rPr>
                <w:rFonts w:cs="Arial"/>
                <w:szCs w:val="24"/>
              </w:rPr>
            </w:pPr>
            <w:r w:rsidRPr="001E28E5">
              <w:rPr>
                <w:rFonts w:cs="Arial"/>
                <w:szCs w:val="24"/>
              </w:rPr>
              <w:t>Animal disease – major outbreak of foot and mouth disease</w:t>
            </w:r>
          </w:p>
        </w:tc>
      </w:tr>
      <w:tr w:rsidR="00625CCA" w:rsidRPr="001E28E5" w14:paraId="6C8AE70A" w14:textId="77777777" w:rsidTr="00E43704">
        <w:tc>
          <w:tcPr>
            <w:tcW w:w="1135" w:type="dxa"/>
            <w:vAlign w:val="center"/>
          </w:tcPr>
          <w:p w14:paraId="5AD8C1A6" w14:textId="77777777" w:rsidR="00625CCA" w:rsidRPr="001E28E5" w:rsidRDefault="00625CCA" w:rsidP="00E43704">
            <w:pPr>
              <w:spacing w:before="0" w:after="0" w:line="240" w:lineRule="auto"/>
              <w:rPr>
                <w:rFonts w:cs="Arial"/>
                <w:szCs w:val="24"/>
              </w:rPr>
            </w:pPr>
            <w:r w:rsidRPr="001E28E5">
              <w:rPr>
                <w:rFonts w:cs="Arial"/>
                <w:szCs w:val="24"/>
              </w:rPr>
              <w:t>56b</w:t>
            </w:r>
            <w:r>
              <w:rPr>
                <w:rFonts w:cs="Arial"/>
                <w:szCs w:val="24"/>
              </w:rPr>
              <w:t>*</w:t>
            </w:r>
          </w:p>
        </w:tc>
        <w:tc>
          <w:tcPr>
            <w:tcW w:w="9214" w:type="dxa"/>
            <w:vAlign w:val="center"/>
          </w:tcPr>
          <w:p w14:paraId="4889E109" w14:textId="77777777" w:rsidR="00625CCA" w:rsidRPr="001E28E5" w:rsidRDefault="00625CCA" w:rsidP="00E43704">
            <w:pPr>
              <w:spacing w:before="0" w:after="0" w:line="240" w:lineRule="auto"/>
              <w:rPr>
                <w:rFonts w:cs="Arial"/>
                <w:szCs w:val="24"/>
              </w:rPr>
            </w:pPr>
            <w:r w:rsidRPr="001E28E5">
              <w:rPr>
                <w:rFonts w:cs="Arial"/>
                <w:szCs w:val="24"/>
              </w:rPr>
              <w:t>Animal disease – major outbreak of highly pathogenic avian influenza</w:t>
            </w:r>
          </w:p>
        </w:tc>
      </w:tr>
      <w:tr w:rsidR="00625CCA" w:rsidRPr="001E28E5" w14:paraId="287EC37C" w14:textId="77777777" w:rsidTr="00E43704">
        <w:tc>
          <w:tcPr>
            <w:tcW w:w="1135" w:type="dxa"/>
            <w:vAlign w:val="center"/>
          </w:tcPr>
          <w:p w14:paraId="27CE637E" w14:textId="77777777" w:rsidR="00625CCA" w:rsidRPr="001E28E5" w:rsidRDefault="00625CCA" w:rsidP="00E43704">
            <w:pPr>
              <w:spacing w:before="0" w:after="0" w:line="240" w:lineRule="auto"/>
              <w:rPr>
                <w:rFonts w:cs="Arial"/>
                <w:szCs w:val="24"/>
              </w:rPr>
            </w:pPr>
            <w:r w:rsidRPr="001E28E5">
              <w:rPr>
                <w:rFonts w:cs="Arial"/>
                <w:szCs w:val="24"/>
              </w:rPr>
              <w:t>56c</w:t>
            </w:r>
            <w:r>
              <w:rPr>
                <w:rFonts w:cs="Arial"/>
                <w:szCs w:val="24"/>
              </w:rPr>
              <w:t>*</w:t>
            </w:r>
          </w:p>
        </w:tc>
        <w:tc>
          <w:tcPr>
            <w:tcW w:w="9214" w:type="dxa"/>
            <w:vAlign w:val="center"/>
          </w:tcPr>
          <w:p w14:paraId="33CBB22A" w14:textId="77777777" w:rsidR="00625CCA" w:rsidRPr="001E28E5" w:rsidRDefault="00625CCA" w:rsidP="00E43704">
            <w:pPr>
              <w:spacing w:before="0" w:after="0" w:line="240" w:lineRule="auto"/>
              <w:rPr>
                <w:rFonts w:cs="Arial"/>
                <w:szCs w:val="24"/>
              </w:rPr>
            </w:pPr>
            <w:r w:rsidRPr="001E28E5">
              <w:rPr>
                <w:rFonts w:cs="Arial"/>
                <w:szCs w:val="24"/>
              </w:rPr>
              <w:t>Animal disease – major outbreak of African horse sickness</w:t>
            </w:r>
          </w:p>
        </w:tc>
      </w:tr>
      <w:tr w:rsidR="00625CCA" w:rsidRPr="001E28E5" w14:paraId="10D93FAA" w14:textId="77777777" w:rsidTr="00E43704">
        <w:tc>
          <w:tcPr>
            <w:tcW w:w="1135" w:type="dxa"/>
            <w:vAlign w:val="center"/>
          </w:tcPr>
          <w:p w14:paraId="221E37CD" w14:textId="77777777" w:rsidR="00625CCA" w:rsidRPr="001E28E5" w:rsidRDefault="00625CCA" w:rsidP="00E43704">
            <w:pPr>
              <w:spacing w:before="0" w:after="0" w:line="240" w:lineRule="auto"/>
              <w:rPr>
                <w:rFonts w:cs="Arial"/>
                <w:szCs w:val="24"/>
              </w:rPr>
            </w:pPr>
            <w:r w:rsidRPr="001E28E5">
              <w:rPr>
                <w:rFonts w:cs="Arial"/>
                <w:szCs w:val="24"/>
              </w:rPr>
              <w:t>56d</w:t>
            </w:r>
            <w:r>
              <w:rPr>
                <w:rFonts w:cs="Arial"/>
                <w:szCs w:val="24"/>
              </w:rPr>
              <w:t>*</w:t>
            </w:r>
          </w:p>
        </w:tc>
        <w:tc>
          <w:tcPr>
            <w:tcW w:w="9214" w:type="dxa"/>
            <w:vAlign w:val="center"/>
          </w:tcPr>
          <w:p w14:paraId="7C4F7F72" w14:textId="77777777" w:rsidR="00625CCA" w:rsidRPr="001E28E5" w:rsidRDefault="00625CCA" w:rsidP="00E43704">
            <w:pPr>
              <w:spacing w:before="0" w:after="0" w:line="240" w:lineRule="auto"/>
              <w:rPr>
                <w:rFonts w:cs="Arial"/>
                <w:szCs w:val="24"/>
              </w:rPr>
            </w:pPr>
            <w:r w:rsidRPr="001E28E5">
              <w:rPr>
                <w:rFonts w:cs="Arial"/>
                <w:szCs w:val="24"/>
              </w:rPr>
              <w:t>Animal disease – major outbreak of African swine fever</w:t>
            </w:r>
          </w:p>
        </w:tc>
      </w:tr>
      <w:tr w:rsidR="00625CCA" w:rsidRPr="001E28E5" w14:paraId="152CA3A4" w14:textId="77777777" w:rsidTr="00E43704">
        <w:tc>
          <w:tcPr>
            <w:tcW w:w="1135" w:type="dxa"/>
            <w:vAlign w:val="center"/>
          </w:tcPr>
          <w:p w14:paraId="796C0AFC" w14:textId="77777777" w:rsidR="00625CCA" w:rsidRPr="001E28E5" w:rsidRDefault="00625CCA" w:rsidP="00E43704">
            <w:pPr>
              <w:spacing w:before="0" w:after="0" w:line="240" w:lineRule="auto"/>
              <w:rPr>
                <w:rFonts w:cs="Arial"/>
                <w:szCs w:val="24"/>
              </w:rPr>
            </w:pPr>
            <w:r w:rsidRPr="001E28E5">
              <w:rPr>
                <w:rFonts w:cs="Arial"/>
                <w:szCs w:val="24"/>
              </w:rPr>
              <w:t>57a</w:t>
            </w:r>
          </w:p>
        </w:tc>
        <w:tc>
          <w:tcPr>
            <w:tcW w:w="9214" w:type="dxa"/>
            <w:vAlign w:val="center"/>
          </w:tcPr>
          <w:p w14:paraId="40EE6886" w14:textId="77777777" w:rsidR="00625CCA" w:rsidRPr="001E28E5" w:rsidRDefault="00625CCA" w:rsidP="00E43704">
            <w:pPr>
              <w:spacing w:before="0" w:after="0" w:line="240" w:lineRule="auto"/>
              <w:rPr>
                <w:rFonts w:cs="Arial"/>
                <w:szCs w:val="24"/>
              </w:rPr>
            </w:pPr>
            <w:r w:rsidRPr="001E28E5">
              <w:rPr>
                <w:rFonts w:cs="Arial"/>
                <w:szCs w:val="24"/>
              </w:rPr>
              <w:t>Major outbreak of plant pest – Xylella fastidiosa</w:t>
            </w:r>
          </w:p>
        </w:tc>
      </w:tr>
      <w:tr w:rsidR="00625CCA" w:rsidRPr="001E28E5" w14:paraId="1B24C12E" w14:textId="77777777" w:rsidTr="00E43704">
        <w:tc>
          <w:tcPr>
            <w:tcW w:w="1135" w:type="dxa"/>
            <w:vAlign w:val="center"/>
          </w:tcPr>
          <w:p w14:paraId="6C8E7E93" w14:textId="77777777" w:rsidR="00625CCA" w:rsidRPr="001E28E5" w:rsidRDefault="00625CCA" w:rsidP="00E43704">
            <w:pPr>
              <w:spacing w:before="0" w:after="0" w:line="240" w:lineRule="auto"/>
              <w:rPr>
                <w:rFonts w:cs="Arial"/>
                <w:szCs w:val="24"/>
              </w:rPr>
            </w:pPr>
            <w:r w:rsidRPr="001E28E5">
              <w:rPr>
                <w:rFonts w:cs="Arial"/>
                <w:szCs w:val="24"/>
              </w:rPr>
              <w:t>57b</w:t>
            </w:r>
          </w:p>
        </w:tc>
        <w:tc>
          <w:tcPr>
            <w:tcW w:w="9214" w:type="dxa"/>
            <w:vAlign w:val="center"/>
          </w:tcPr>
          <w:p w14:paraId="319ACFDB" w14:textId="77777777" w:rsidR="00625CCA" w:rsidRPr="001E28E5" w:rsidRDefault="00625CCA" w:rsidP="00E43704">
            <w:pPr>
              <w:spacing w:before="0" w:after="0" w:line="240" w:lineRule="auto"/>
              <w:rPr>
                <w:rFonts w:cs="Arial"/>
                <w:szCs w:val="24"/>
              </w:rPr>
            </w:pPr>
            <w:r w:rsidRPr="001E28E5">
              <w:rPr>
                <w:rFonts w:cs="Arial"/>
                <w:szCs w:val="24"/>
              </w:rPr>
              <w:t>Major outbreak of plant pest – Agrilus planipennis</w:t>
            </w:r>
          </w:p>
        </w:tc>
      </w:tr>
      <w:tr w:rsidR="00625CCA" w:rsidRPr="001E28E5" w14:paraId="3B751497" w14:textId="77777777" w:rsidTr="00E43704">
        <w:tc>
          <w:tcPr>
            <w:tcW w:w="1135" w:type="dxa"/>
            <w:vAlign w:val="center"/>
          </w:tcPr>
          <w:p w14:paraId="6C13B329" w14:textId="77777777" w:rsidR="00625CCA" w:rsidRPr="001E28E5" w:rsidRDefault="00625CCA" w:rsidP="00E43704">
            <w:pPr>
              <w:spacing w:before="0" w:after="0" w:line="240" w:lineRule="auto"/>
              <w:rPr>
                <w:rFonts w:cs="Arial"/>
                <w:szCs w:val="24"/>
              </w:rPr>
            </w:pPr>
            <w:r>
              <w:rPr>
                <w:rFonts w:cs="Arial"/>
                <w:szCs w:val="24"/>
              </w:rPr>
              <w:t>-</w:t>
            </w:r>
          </w:p>
        </w:tc>
        <w:tc>
          <w:tcPr>
            <w:tcW w:w="9214" w:type="dxa"/>
            <w:vAlign w:val="center"/>
          </w:tcPr>
          <w:p w14:paraId="4ACD279A" w14:textId="77777777" w:rsidR="00625CCA" w:rsidRPr="001E28E5" w:rsidRDefault="00625CCA" w:rsidP="00E43704">
            <w:pPr>
              <w:spacing w:before="0" w:after="0" w:line="240" w:lineRule="auto"/>
              <w:rPr>
                <w:rFonts w:cs="Arial"/>
                <w:szCs w:val="24"/>
              </w:rPr>
            </w:pPr>
            <w:r w:rsidRPr="001E28E5">
              <w:rPr>
                <w:rFonts w:cs="Arial"/>
                <w:b/>
                <w:bCs/>
                <w:szCs w:val="24"/>
              </w:rPr>
              <w:t>Societal</w:t>
            </w:r>
          </w:p>
        </w:tc>
      </w:tr>
      <w:tr w:rsidR="00625CCA" w:rsidRPr="001E28E5" w14:paraId="1BCD342C" w14:textId="77777777" w:rsidTr="00E43704">
        <w:tc>
          <w:tcPr>
            <w:tcW w:w="1135" w:type="dxa"/>
            <w:vAlign w:val="center"/>
          </w:tcPr>
          <w:p w14:paraId="15A3AFF0" w14:textId="77777777" w:rsidR="00625CCA" w:rsidRPr="001E28E5" w:rsidRDefault="00625CCA" w:rsidP="00E43704">
            <w:pPr>
              <w:spacing w:before="0" w:after="0" w:line="240" w:lineRule="auto"/>
              <w:rPr>
                <w:rFonts w:cs="Arial"/>
                <w:szCs w:val="24"/>
              </w:rPr>
            </w:pPr>
            <w:r w:rsidRPr="001E28E5">
              <w:rPr>
                <w:rFonts w:cs="Arial"/>
                <w:szCs w:val="24"/>
              </w:rPr>
              <w:t>58</w:t>
            </w:r>
            <w:r>
              <w:rPr>
                <w:rFonts w:cs="Arial"/>
                <w:szCs w:val="24"/>
              </w:rPr>
              <w:t>*</w:t>
            </w:r>
          </w:p>
        </w:tc>
        <w:tc>
          <w:tcPr>
            <w:tcW w:w="9214" w:type="dxa"/>
            <w:vAlign w:val="center"/>
          </w:tcPr>
          <w:p w14:paraId="43A13DD0" w14:textId="77777777" w:rsidR="00625CCA" w:rsidRPr="001E28E5" w:rsidRDefault="00625CCA" w:rsidP="00E43704">
            <w:pPr>
              <w:spacing w:before="0" w:after="0" w:line="240" w:lineRule="auto"/>
              <w:rPr>
                <w:rFonts w:cs="Arial"/>
                <w:szCs w:val="24"/>
              </w:rPr>
            </w:pPr>
            <w:r w:rsidRPr="001E28E5">
              <w:rPr>
                <w:rFonts w:cs="Arial"/>
                <w:szCs w:val="24"/>
              </w:rPr>
              <w:t>Public disorder</w:t>
            </w:r>
          </w:p>
        </w:tc>
      </w:tr>
      <w:tr w:rsidR="00625CCA" w:rsidRPr="001E28E5" w14:paraId="3E48BB3A" w14:textId="77777777" w:rsidTr="00E43704">
        <w:tc>
          <w:tcPr>
            <w:tcW w:w="1135" w:type="dxa"/>
            <w:vAlign w:val="center"/>
          </w:tcPr>
          <w:p w14:paraId="2A574D22" w14:textId="77777777" w:rsidR="00625CCA" w:rsidRPr="001E28E5" w:rsidRDefault="00625CCA" w:rsidP="00E43704">
            <w:pPr>
              <w:spacing w:before="0" w:after="0" w:line="240" w:lineRule="auto"/>
              <w:rPr>
                <w:rFonts w:cs="Arial"/>
                <w:szCs w:val="24"/>
              </w:rPr>
            </w:pPr>
            <w:r w:rsidRPr="001E28E5">
              <w:rPr>
                <w:rFonts w:cs="Arial"/>
                <w:szCs w:val="24"/>
              </w:rPr>
              <w:t>59</w:t>
            </w:r>
            <w:r>
              <w:rPr>
                <w:rFonts w:cs="Arial"/>
                <w:szCs w:val="24"/>
              </w:rPr>
              <w:t>*</w:t>
            </w:r>
          </w:p>
        </w:tc>
        <w:tc>
          <w:tcPr>
            <w:tcW w:w="9214" w:type="dxa"/>
            <w:vAlign w:val="center"/>
          </w:tcPr>
          <w:p w14:paraId="7236E053" w14:textId="77777777" w:rsidR="00625CCA" w:rsidRPr="001E28E5" w:rsidRDefault="00625CCA" w:rsidP="00E43704">
            <w:pPr>
              <w:spacing w:before="0" w:after="0" w:line="240" w:lineRule="auto"/>
              <w:rPr>
                <w:rFonts w:cs="Arial"/>
                <w:szCs w:val="24"/>
              </w:rPr>
            </w:pPr>
            <w:r w:rsidRPr="001E28E5">
              <w:rPr>
                <w:rFonts w:cs="Arial"/>
                <w:szCs w:val="24"/>
              </w:rPr>
              <w:t>Industrial action</w:t>
            </w:r>
          </w:p>
        </w:tc>
      </w:tr>
      <w:tr w:rsidR="00625CCA" w:rsidRPr="001E28E5" w14:paraId="3B977617" w14:textId="77777777" w:rsidTr="00E43704">
        <w:tc>
          <w:tcPr>
            <w:tcW w:w="1135" w:type="dxa"/>
            <w:vAlign w:val="center"/>
          </w:tcPr>
          <w:p w14:paraId="07436947" w14:textId="77777777" w:rsidR="00625CCA" w:rsidRPr="001E28E5" w:rsidRDefault="00625CCA" w:rsidP="00E43704">
            <w:pPr>
              <w:spacing w:before="0" w:after="0" w:line="240" w:lineRule="auto"/>
              <w:rPr>
                <w:rFonts w:cs="Arial"/>
                <w:szCs w:val="24"/>
              </w:rPr>
            </w:pPr>
            <w:r w:rsidRPr="001E28E5">
              <w:rPr>
                <w:rFonts w:cs="Arial"/>
                <w:szCs w:val="24"/>
              </w:rPr>
              <w:t>60</w:t>
            </w:r>
          </w:p>
        </w:tc>
        <w:tc>
          <w:tcPr>
            <w:tcW w:w="9214" w:type="dxa"/>
            <w:vAlign w:val="center"/>
          </w:tcPr>
          <w:p w14:paraId="402A8E07" w14:textId="77777777" w:rsidR="00625CCA" w:rsidRPr="001E28E5" w:rsidRDefault="00625CCA" w:rsidP="00E43704">
            <w:pPr>
              <w:spacing w:before="0" w:after="0" w:line="240" w:lineRule="auto"/>
              <w:rPr>
                <w:rFonts w:cs="Arial"/>
                <w:szCs w:val="24"/>
              </w:rPr>
            </w:pPr>
            <w:r w:rsidRPr="001E28E5">
              <w:rPr>
                <w:rFonts w:cs="Arial"/>
                <w:szCs w:val="24"/>
              </w:rPr>
              <w:t>Reception and integration of British Nationals arriving from overseas</w:t>
            </w:r>
          </w:p>
        </w:tc>
      </w:tr>
      <w:tr w:rsidR="00625CCA" w:rsidRPr="001E28E5" w14:paraId="610AE87B" w14:textId="77777777" w:rsidTr="00E43704">
        <w:tc>
          <w:tcPr>
            <w:tcW w:w="1135" w:type="dxa"/>
            <w:vAlign w:val="center"/>
          </w:tcPr>
          <w:p w14:paraId="3C9A1823" w14:textId="77777777" w:rsidR="00625CCA" w:rsidRPr="001E28E5" w:rsidRDefault="00625CCA" w:rsidP="00E43704">
            <w:pPr>
              <w:spacing w:before="0" w:after="0" w:line="240" w:lineRule="auto"/>
              <w:rPr>
                <w:rFonts w:cs="Arial"/>
                <w:szCs w:val="24"/>
              </w:rPr>
            </w:pPr>
            <w:r>
              <w:rPr>
                <w:rFonts w:cs="Arial"/>
                <w:szCs w:val="24"/>
              </w:rPr>
              <w:t>-</w:t>
            </w:r>
          </w:p>
        </w:tc>
        <w:tc>
          <w:tcPr>
            <w:tcW w:w="9214" w:type="dxa"/>
            <w:vAlign w:val="center"/>
          </w:tcPr>
          <w:p w14:paraId="7E9CD100" w14:textId="77777777" w:rsidR="00625CCA" w:rsidRPr="001E28E5" w:rsidRDefault="00625CCA" w:rsidP="00E43704">
            <w:pPr>
              <w:spacing w:before="0" w:after="0" w:line="240" w:lineRule="auto"/>
              <w:rPr>
                <w:rFonts w:cs="Arial"/>
                <w:szCs w:val="24"/>
              </w:rPr>
            </w:pPr>
            <w:r w:rsidRPr="001E28E5">
              <w:rPr>
                <w:rFonts w:cs="Arial"/>
                <w:b/>
                <w:bCs/>
                <w:szCs w:val="24"/>
              </w:rPr>
              <w:t>Conflict and instability</w:t>
            </w:r>
          </w:p>
        </w:tc>
      </w:tr>
      <w:tr w:rsidR="00625CCA" w:rsidRPr="001E28E5" w14:paraId="66C8C0FD" w14:textId="77777777" w:rsidTr="00E43704">
        <w:tc>
          <w:tcPr>
            <w:tcW w:w="1135" w:type="dxa"/>
            <w:vAlign w:val="center"/>
          </w:tcPr>
          <w:p w14:paraId="7A859DB5" w14:textId="77777777" w:rsidR="00625CCA" w:rsidRPr="001E28E5" w:rsidRDefault="00625CCA" w:rsidP="00E43704">
            <w:pPr>
              <w:spacing w:before="0" w:after="0" w:line="240" w:lineRule="auto"/>
              <w:rPr>
                <w:rFonts w:cs="Arial"/>
                <w:szCs w:val="24"/>
              </w:rPr>
            </w:pPr>
            <w:r w:rsidRPr="001E28E5">
              <w:rPr>
                <w:rFonts w:cs="Arial"/>
                <w:szCs w:val="24"/>
              </w:rPr>
              <w:t>61</w:t>
            </w:r>
          </w:p>
        </w:tc>
        <w:tc>
          <w:tcPr>
            <w:tcW w:w="9214" w:type="dxa"/>
            <w:vAlign w:val="center"/>
          </w:tcPr>
          <w:p w14:paraId="73001F96" w14:textId="77777777" w:rsidR="00625CCA" w:rsidRPr="001E28E5" w:rsidRDefault="00625CCA" w:rsidP="00E43704">
            <w:pPr>
              <w:spacing w:before="0" w:after="0" w:line="240" w:lineRule="auto"/>
              <w:rPr>
                <w:rFonts w:cs="Arial"/>
                <w:szCs w:val="24"/>
              </w:rPr>
            </w:pPr>
            <w:r w:rsidRPr="001E28E5">
              <w:rPr>
                <w:rFonts w:cs="Arial"/>
                <w:szCs w:val="24"/>
              </w:rPr>
              <w:t>Deliberate disruption of UK space systems and space-based services</w:t>
            </w:r>
          </w:p>
        </w:tc>
      </w:tr>
      <w:tr w:rsidR="00625CCA" w:rsidRPr="001E28E5" w14:paraId="5D6632E3" w14:textId="77777777" w:rsidTr="00E43704">
        <w:tc>
          <w:tcPr>
            <w:tcW w:w="1135" w:type="dxa"/>
            <w:vAlign w:val="center"/>
          </w:tcPr>
          <w:p w14:paraId="3EA0A1B9" w14:textId="77777777" w:rsidR="00625CCA" w:rsidRPr="001E28E5" w:rsidRDefault="00625CCA" w:rsidP="00E43704">
            <w:pPr>
              <w:spacing w:before="0" w:after="0" w:line="240" w:lineRule="auto"/>
              <w:rPr>
                <w:rFonts w:cs="Arial"/>
                <w:szCs w:val="24"/>
              </w:rPr>
            </w:pPr>
            <w:r w:rsidRPr="001E28E5">
              <w:rPr>
                <w:rFonts w:cs="Arial"/>
                <w:szCs w:val="24"/>
              </w:rPr>
              <w:t>62</w:t>
            </w:r>
            <w:r>
              <w:rPr>
                <w:rFonts w:cs="Arial"/>
                <w:szCs w:val="24"/>
              </w:rPr>
              <w:t>*</w:t>
            </w:r>
          </w:p>
        </w:tc>
        <w:tc>
          <w:tcPr>
            <w:tcW w:w="9214" w:type="dxa"/>
            <w:vAlign w:val="center"/>
          </w:tcPr>
          <w:p w14:paraId="3368FAB1" w14:textId="4B75D972" w:rsidR="00625CCA" w:rsidRPr="001E28E5" w:rsidRDefault="00625CCA" w:rsidP="00E43704">
            <w:pPr>
              <w:spacing w:before="0" w:after="0" w:line="240" w:lineRule="auto"/>
              <w:rPr>
                <w:rFonts w:cs="Arial"/>
                <w:szCs w:val="24"/>
              </w:rPr>
            </w:pPr>
            <w:r w:rsidRPr="001E28E5">
              <w:rPr>
                <w:rFonts w:cs="Arial"/>
                <w:szCs w:val="24"/>
              </w:rPr>
              <w:t>Attack on a UK ally or partner outside NATO</w:t>
            </w:r>
            <w:r w:rsidR="001E1AD4">
              <w:rPr>
                <w:rFonts w:cs="Arial"/>
                <w:szCs w:val="24"/>
              </w:rPr>
              <w:t xml:space="preserve"> (North Atlantic Treaty Organisation)</w:t>
            </w:r>
            <w:r w:rsidRPr="001E28E5">
              <w:rPr>
                <w:rFonts w:cs="Arial"/>
                <w:szCs w:val="24"/>
              </w:rPr>
              <w:t xml:space="preserve"> or a mutual security agreement requiring international assistance</w:t>
            </w:r>
          </w:p>
        </w:tc>
      </w:tr>
      <w:tr w:rsidR="00625CCA" w:rsidRPr="001E28E5" w14:paraId="24FF7855" w14:textId="77777777" w:rsidTr="00E43704">
        <w:tc>
          <w:tcPr>
            <w:tcW w:w="1135" w:type="dxa"/>
            <w:vAlign w:val="center"/>
          </w:tcPr>
          <w:p w14:paraId="34BB1F75" w14:textId="77777777" w:rsidR="00625CCA" w:rsidRPr="001E28E5" w:rsidRDefault="00625CCA" w:rsidP="00E43704">
            <w:pPr>
              <w:spacing w:before="0" w:after="0" w:line="240" w:lineRule="auto"/>
              <w:rPr>
                <w:rFonts w:cs="Arial"/>
                <w:szCs w:val="24"/>
              </w:rPr>
            </w:pPr>
            <w:r w:rsidRPr="001E28E5">
              <w:rPr>
                <w:rFonts w:cs="Arial"/>
                <w:szCs w:val="24"/>
              </w:rPr>
              <w:t>63</w:t>
            </w:r>
          </w:p>
        </w:tc>
        <w:tc>
          <w:tcPr>
            <w:tcW w:w="9214" w:type="dxa"/>
            <w:vAlign w:val="center"/>
          </w:tcPr>
          <w:p w14:paraId="09B2A20D" w14:textId="77777777" w:rsidR="00625CCA" w:rsidRPr="001E28E5" w:rsidRDefault="00625CCA" w:rsidP="00E43704">
            <w:pPr>
              <w:spacing w:before="0" w:after="0" w:line="240" w:lineRule="auto"/>
              <w:rPr>
                <w:rFonts w:cs="Arial"/>
                <w:szCs w:val="24"/>
              </w:rPr>
            </w:pPr>
            <w:r w:rsidRPr="001E28E5">
              <w:rPr>
                <w:rFonts w:cs="Arial"/>
                <w:szCs w:val="24"/>
              </w:rPr>
              <w:t>Nuclear miscalculation not involving the UK</w:t>
            </w:r>
          </w:p>
        </w:tc>
      </w:tr>
    </w:tbl>
    <w:p w14:paraId="77B823C6" w14:textId="0F7F4EBD" w:rsidR="00625CCA" w:rsidRDefault="00625CCA" w:rsidP="00625CCA">
      <w:pPr>
        <w:rPr>
          <w:highlight w:val="yellow"/>
        </w:rPr>
      </w:pPr>
      <w:r>
        <w:t xml:space="preserve">* </w:t>
      </w:r>
      <w:r w:rsidRPr="00DD4939">
        <w:t>The most pertinent risks identified by the</w:t>
      </w:r>
      <w:r w:rsidR="009D5A7F" w:rsidRPr="009D5A7F">
        <w:t xml:space="preserve"> </w:t>
      </w:r>
      <w:r w:rsidR="009D5A7F" w:rsidRPr="005067E2">
        <w:t>National Risk Register</w:t>
      </w:r>
      <w:r w:rsidRPr="00DD4939">
        <w:t xml:space="preserve"> for </w:t>
      </w:r>
      <w:r w:rsidR="00BB2639" w:rsidRPr="00B118A8">
        <w:rPr>
          <w:lang w:eastAsia="en-GB"/>
        </w:rPr>
        <w:t>L</w:t>
      </w:r>
      <w:r w:rsidR="00BB2639">
        <w:rPr>
          <w:lang w:eastAsia="en-GB"/>
        </w:rPr>
        <w:t xml:space="preserve">ancashire </w:t>
      </w:r>
      <w:r w:rsidR="001E1AD4">
        <w:rPr>
          <w:lang w:eastAsia="en-GB"/>
        </w:rPr>
        <w:t>F</w:t>
      </w:r>
      <w:r w:rsidR="00BB2639">
        <w:rPr>
          <w:lang w:eastAsia="en-GB"/>
        </w:rPr>
        <w:t xml:space="preserve">ire and </w:t>
      </w:r>
      <w:r w:rsidR="001E1AD4">
        <w:rPr>
          <w:lang w:eastAsia="en-GB"/>
        </w:rPr>
        <w:t>R</w:t>
      </w:r>
      <w:r w:rsidR="00BB2639">
        <w:rPr>
          <w:lang w:eastAsia="en-GB"/>
        </w:rPr>
        <w:t xml:space="preserve">escue </w:t>
      </w:r>
      <w:r w:rsidR="001E1AD4">
        <w:rPr>
          <w:lang w:eastAsia="en-GB"/>
        </w:rPr>
        <w:t>S</w:t>
      </w:r>
      <w:r w:rsidR="00BB2639">
        <w:rPr>
          <w:lang w:eastAsia="en-GB"/>
        </w:rPr>
        <w:t>ervice.</w:t>
      </w:r>
    </w:p>
    <w:p w14:paraId="6E416D65" w14:textId="782369F6" w:rsidR="00625CCA" w:rsidRPr="00FC15CC" w:rsidRDefault="00625CCA" w:rsidP="00625CCA">
      <w:pPr>
        <w:rPr>
          <w:rFonts w:eastAsia="Arial" w:cs="Arial"/>
          <w:szCs w:val="24"/>
        </w:rPr>
      </w:pPr>
      <w:r w:rsidRPr="00FC15CC">
        <w:rPr>
          <w:rFonts w:eastAsia="Arial" w:cs="Arial"/>
          <w:color w:val="000000" w:themeColor="text1"/>
          <w:szCs w:val="24"/>
        </w:rPr>
        <w:t xml:space="preserve">A full breakdown can be found on the </w:t>
      </w:r>
      <w:hyperlink r:id="rId13" w:history="1">
        <w:r w:rsidRPr="00FC15CC">
          <w:rPr>
            <w:rStyle w:val="Hyperlink"/>
            <w:rFonts w:eastAsia="Arial" w:cs="Arial"/>
            <w:szCs w:val="24"/>
          </w:rPr>
          <w:t>UK government website</w:t>
        </w:r>
      </w:hyperlink>
    </w:p>
    <w:p w14:paraId="5F0EAF4E" w14:textId="77777777" w:rsidR="00625CCA" w:rsidRDefault="00625CCA" w:rsidP="00625CCA">
      <w:pPr>
        <w:pStyle w:val="Heading2"/>
      </w:pPr>
      <w:bookmarkStart w:id="25" w:name="_Toc208329913"/>
      <w:r>
        <w:t>Lancashire Resilience Forum</w:t>
      </w:r>
      <w:bookmarkEnd w:id="25"/>
    </w:p>
    <w:p w14:paraId="516827AA" w14:textId="0B6D0240" w:rsidR="00625CCA" w:rsidRPr="00E5505C" w:rsidRDefault="00625CCA" w:rsidP="00625CCA">
      <w:pPr>
        <w:rPr>
          <w:rFonts w:eastAsia="Arial" w:cs="Arial"/>
          <w:color w:val="000000" w:themeColor="text1"/>
          <w:szCs w:val="24"/>
        </w:rPr>
      </w:pPr>
      <w:r w:rsidRPr="00E5505C">
        <w:rPr>
          <w:rFonts w:eastAsia="Arial" w:cs="Arial"/>
          <w:color w:val="000000" w:themeColor="text1"/>
          <w:szCs w:val="24"/>
        </w:rPr>
        <w:t xml:space="preserve">Every Resilience Forum has a Community Risk Register which describes risks for the community and assesses how likely they are to lead to an emergency and the potential impact they would have. </w:t>
      </w:r>
      <w:r>
        <w:rPr>
          <w:rFonts w:eastAsia="Arial" w:cs="Arial"/>
          <w:color w:val="000000" w:themeColor="text1"/>
          <w:szCs w:val="24"/>
        </w:rPr>
        <w:t xml:space="preserve"> </w:t>
      </w:r>
      <w:r w:rsidRPr="00E5505C">
        <w:rPr>
          <w:rFonts w:eastAsia="Arial" w:cs="Arial"/>
          <w:color w:val="000000" w:themeColor="text1"/>
          <w:szCs w:val="24"/>
        </w:rPr>
        <w:t>The register is created through a risk assessment, and the information is used by the Lancashire Resilience Forum</w:t>
      </w:r>
      <w:r w:rsidR="009D5A7F">
        <w:rPr>
          <w:rFonts w:eastAsia="Arial" w:cs="Arial"/>
          <w:color w:val="000000" w:themeColor="text1"/>
          <w:szCs w:val="24"/>
        </w:rPr>
        <w:t xml:space="preserve"> </w:t>
      </w:r>
      <w:r w:rsidRPr="00E5505C">
        <w:rPr>
          <w:rFonts w:eastAsia="Arial" w:cs="Arial"/>
          <w:color w:val="000000" w:themeColor="text1"/>
          <w:szCs w:val="24"/>
        </w:rPr>
        <w:t>to plan and prepare for emergencies that may occur.</w:t>
      </w:r>
    </w:p>
    <w:p w14:paraId="23C686EA" w14:textId="62CCE950" w:rsidR="00625CCA" w:rsidRDefault="00625CCA" w:rsidP="00625CCA">
      <w:pPr>
        <w:rPr>
          <w:rFonts w:eastAsia="Arial" w:cs="Arial"/>
          <w:color w:val="000000" w:themeColor="text1"/>
          <w:szCs w:val="24"/>
          <w:highlight w:val="yellow"/>
        </w:rPr>
      </w:pPr>
      <w:r w:rsidRPr="00E5505C">
        <w:rPr>
          <w:rFonts w:eastAsia="Arial" w:cs="Arial"/>
          <w:color w:val="000000" w:themeColor="text1"/>
          <w:szCs w:val="24"/>
        </w:rPr>
        <w:t xml:space="preserve">The </w:t>
      </w:r>
      <w:r w:rsidR="00C82A3D" w:rsidRPr="008D0104">
        <w:t>L</w:t>
      </w:r>
      <w:r w:rsidR="00C82A3D">
        <w:t>ancashire Resilience Forum</w:t>
      </w:r>
      <w:r>
        <w:rPr>
          <w:rFonts w:eastAsia="Arial" w:cs="Arial"/>
          <w:color w:val="000000" w:themeColor="text1"/>
          <w:szCs w:val="24"/>
        </w:rPr>
        <w:t xml:space="preserve"> </w:t>
      </w:r>
      <w:r w:rsidRPr="00E5505C">
        <w:rPr>
          <w:rFonts w:eastAsia="Arial" w:cs="Arial"/>
          <w:color w:val="000000" w:themeColor="text1"/>
          <w:szCs w:val="24"/>
        </w:rPr>
        <w:t>refers to</w:t>
      </w:r>
      <w:r>
        <w:rPr>
          <w:rFonts w:eastAsia="Arial" w:cs="Arial"/>
          <w:color w:val="000000" w:themeColor="text1"/>
          <w:szCs w:val="24"/>
        </w:rPr>
        <w:t xml:space="preserve"> the</w:t>
      </w:r>
      <w:r w:rsidRPr="00E5505C">
        <w:rPr>
          <w:rFonts w:eastAsia="Arial" w:cs="Arial"/>
          <w:color w:val="000000" w:themeColor="text1"/>
          <w:szCs w:val="24"/>
        </w:rPr>
        <w:t xml:space="preserve"> National Risk Register </w:t>
      </w:r>
      <w:r w:rsidR="00321FD8" w:rsidRPr="00E5505C">
        <w:rPr>
          <w:rFonts w:eastAsia="Arial" w:cs="Arial"/>
          <w:color w:val="000000" w:themeColor="text1"/>
          <w:szCs w:val="24"/>
        </w:rPr>
        <w:t>to</w:t>
      </w:r>
      <w:r w:rsidRPr="00E5505C">
        <w:rPr>
          <w:rFonts w:eastAsia="Arial" w:cs="Arial"/>
          <w:color w:val="000000" w:themeColor="text1"/>
          <w:szCs w:val="24"/>
        </w:rPr>
        <w:t xml:space="preserve"> consider national issues alongside the local risk context and identify the risks within the county. </w:t>
      </w:r>
      <w:r>
        <w:rPr>
          <w:rFonts w:eastAsia="Arial" w:cs="Arial"/>
          <w:color w:val="000000" w:themeColor="text1"/>
          <w:szCs w:val="24"/>
        </w:rPr>
        <w:t xml:space="preserve"> </w:t>
      </w:r>
      <w:r w:rsidRPr="00E5505C">
        <w:rPr>
          <w:rFonts w:eastAsia="Arial" w:cs="Arial"/>
          <w:color w:val="000000" w:themeColor="text1"/>
          <w:szCs w:val="24"/>
        </w:rPr>
        <w:t xml:space="preserve">These risks can come from lots of factors – from natural events such as weather, human diseases, animal diseases and accidents, to deliberate acts such as terrorism. </w:t>
      </w:r>
      <w:r>
        <w:rPr>
          <w:rFonts w:eastAsia="Arial" w:cs="Arial"/>
          <w:color w:val="000000" w:themeColor="text1"/>
          <w:szCs w:val="24"/>
        </w:rPr>
        <w:t xml:space="preserve"> </w:t>
      </w:r>
      <w:r w:rsidRPr="00E5505C">
        <w:rPr>
          <w:rFonts w:eastAsia="Arial" w:cs="Arial"/>
          <w:color w:val="000000" w:themeColor="text1"/>
          <w:szCs w:val="24"/>
        </w:rPr>
        <w:t>This risk assessment can help identify new issues or highlight situations where risk may be changing.</w:t>
      </w:r>
    </w:p>
    <w:p w14:paraId="71DC6CE7" w14:textId="77777777" w:rsidR="009D68DC" w:rsidRDefault="009D68DC">
      <w:pPr>
        <w:spacing w:before="0" w:after="160" w:line="259" w:lineRule="auto"/>
        <w:rPr>
          <w:rFonts w:eastAsia="Arial" w:cs="Arial"/>
          <w:color w:val="000000" w:themeColor="text1"/>
          <w:szCs w:val="24"/>
        </w:rPr>
      </w:pPr>
      <w:r>
        <w:rPr>
          <w:rFonts w:eastAsia="Arial" w:cs="Arial"/>
          <w:color w:val="000000" w:themeColor="text1"/>
          <w:szCs w:val="24"/>
        </w:rPr>
        <w:br w:type="page"/>
      </w:r>
    </w:p>
    <w:p w14:paraId="123296E7" w14:textId="1DE83F98" w:rsidR="00625CCA" w:rsidRPr="00DC5556" w:rsidRDefault="00625CCA" w:rsidP="00625CCA">
      <w:pPr>
        <w:rPr>
          <w:rFonts w:eastAsia="Arial" w:cs="Arial"/>
          <w:color w:val="000000" w:themeColor="text1"/>
          <w:szCs w:val="24"/>
        </w:rPr>
      </w:pPr>
      <w:r w:rsidRPr="00F739F1">
        <w:rPr>
          <w:rFonts w:eastAsia="Arial" w:cs="Arial"/>
          <w:color w:val="000000" w:themeColor="text1"/>
          <w:szCs w:val="24"/>
        </w:rPr>
        <w:lastRenderedPageBreak/>
        <w:t>The highest risks identified can be seen below</w:t>
      </w:r>
      <w:r w:rsidRPr="00DC5556">
        <w:rPr>
          <w:rFonts w:eastAsia="Arial" w:cs="Arial"/>
          <w:color w:val="000000" w:themeColor="text1"/>
          <w:szCs w:val="24"/>
        </w:rPr>
        <w:t>:</w:t>
      </w:r>
    </w:p>
    <w:tbl>
      <w:tblPr>
        <w:tblStyle w:val="TableGrid"/>
        <w:tblW w:w="0" w:type="auto"/>
        <w:tblLook w:val="04A0" w:firstRow="1" w:lastRow="0" w:firstColumn="1" w:lastColumn="0" w:noHBand="0" w:noVBand="1"/>
        <w:tblCaption w:val="LRF Risk register"/>
        <w:tblDescription w:val="Table listing LRF high and medium risks"/>
      </w:tblPr>
      <w:tblGrid>
        <w:gridCol w:w="5769"/>
        <w:gridCol w:w="1416"/>
        <w:gridCol w:w="990"/>
        <w:gridCol w:w="1561"/>
      </w:tblGrid>
      <w:tr w:rsidR="00625CCA" w:rsidRPr="00DC5556" w14:paraId="008E0656" w14:textId="77777777" w:rsidTr="00E43704">
        <w:trPr>
          <w:tblHeader/>
        </w:trPr>
        <w:tc>
          <w:tcPr>
            <w:tcW w:w="0" w:type="auto"/>
            <w:shd w:val="clear" w:color="auto" w:fill="D9D9D9" w:themeFill="background1" w:themeFillShade="D9"/>
          </w:tcPr>
          <w:p w14:paraId="39D3D1DE" w14:textId="77777777" w:rsidR="00625CCA" w:rsidRPr="00D35A8D" w:rsidRDefault="00625CCA" w:rsidP="00E43704">
            <w:pPr>
              <w:spacing w:before="120" w:after="120" w:line="240" w:lineRule="auto"/>
              <w:rPr>
                <w:rFonts w:eastAsia="Arial" w:cs="Arial"/>
                <w:b/>
                <w:bCs/>
                <w:szCs w:val="24"/>
              </w:rPr>
            </w:pPr>
          </w:p>
        </w:tc>
        <w:tc>
          <w:tcPr>
            <w:tcW w:w="0" w:type="auto"/>
            <w:shd w:val="clear" w:color="auto" w:fill="D9D9D9" w:themeFill="background1" w:themeFillShade="D9"/>
            <w:vAlign w:val="center"/>
          </w:tcPr>
          <w:p w14:paraId="0E270319" w14:textId="77777777" w:rsidR="00625CCA" w:rsidRPr="00D35A8D" w:rsidRDefault="00625CCA" w:rsidP="00E43704">
            <w:pPr>
              <w:spacing w:before="120" w:after="120" w:line="240" w:lineRule="auto"/>
              <w:jc w:val="center"/>
              <w:rPr>
                <w:rFonts w:eastAsia="Arial" w:cs="Arial"/>
                <w:b/>
                <w:bCs/>
                <w:szCs w:val="24"/>
              </w:rPr>
            </w:pPr>
            <w:r>
              <w:rPr>
                <w:rFonts w:eastAsia="Arial" w:cs="Arial"/>
                <w:b/>
                <w:bCs/>
                <w:szCs w:val="24"/>
              </w:rPr>
              <w:t>Likelihood</w:t>
            </w:r>
          </w:p>
        </w:tc>
        <w:tc>
          <w:tcPr>
            <w:tcW w:w="0" w:type="auto"/>
            <w:shd w:val="clear" w:color="auto" w:fill="D9D9D9" w:themeFill="background1" w:themeFillShade="D9"/>
            <w:vAlign w:val="center"/>
          </w:tcPr>
          <w:p w14:paraId="09AE9A92" w14:textId="77777777" w:rsidR="00625CCA" w:rsidRPr="00D35A8D" w:rsidRDefault="00625CCA" w:rsidP="00E43704">
            <w:pPr>
              <w:spacing w:before="120" w:after="120" w:line="240" w:lineRule="auto"/>
              <w:jc w:val="center"/>
              <w:rPr>
                <w:rFonts w:eastAsia="Arial" w:cs="Arial"/>
                <w:b/>
                <w:bCs/>
                <w:szCs w:val="24"/>
              </w:rPr>
            </w:pPr>
            <w:r>
              <w:rPr>
                <w:rFonts w:eastAsia="Arial" w:cs="Arial"/>
                <w:b/>
                <w:bCs/>
                <w:szCs w:val="24"/>
              </w:rPr>
              <w:t>Impact</w:t>
            </w:r>
          </w:p>
        </w:tc>
        <w:tc>
          <w:tcPr>
            <w:tcW w:w="0" w:type="auto"/>
            <w:shd w:val="clear" w:color="auto" w:fill="D9D9D9" w:themeFill="background1" w:themeFillShade="D9"/>
            <w:vAlign w:val="center"/>
          </w:tcPr>
          <w:p w14:paraId="0A6C8745" w14:textId="77777777" w:rsidR="00625CCA" w:rsidRPr="00D35A8D" w:rsidRDefault="00625CCA" w:rsidP="00E43704">
            <w:pPr>
              <w:spacing w:before="120" w:after="120" w:line="240" w:lineRule="auto"/>
              <w:jc w:val="center"/>
              <w:rPr>
                <w:rFonts w:eastAsia="Arial" w:cs="Arial"/>
                <w:b/>
                <w:bCs/>
                <w:szCs w:val="24"/>
              </w:rPr>
            </w:pPr>
            <w:r>
              <w:rPr>
                <w:rFonts w:eastAsia="Arial" w:cs="Arial"/>
                <w:b/>
                <w:bCs/>
                <w:szCs w:val="24"/>
              </w:rPr>
              <w:t>Level of Risk</w:t>
            </w:r>
          </w:p>
        </w:tc>
      </w:tr>
      <w:tr w:rsidR="00625CCA" w:rsidRPr="00DC5556" w14:paraId="27304CF4" w14:textId="77777777" w:rsidTr="00E43704">
        <w:trPr>
          <w:trHeight w:val="201"/>
        </w:trPr>
        <w:tc>
          <w:tcPr>
            <w:tcW w:w="0" w:type="auto"/>
          </w:tcPr>
          <w:p w14:paraId="6395C16B" w14:textId="77777777" w:rsidR="00625CCA" w:rsidRPr="00D35A8D" w:rsidRDefault="00625CCA" w:rsidP="00E43704">
            <w:pPr>
              <w:spacing w:before="120" w:after="120" w:line="240" w:lineRule="auto"/>
              <w:rPr>
                <w:rFonts w:eastAsia="Arial" w:cs="Arial"/>
                <w:szCs w:val="24"/>
              </w:rPr>
            </w:pPr>
            <w:r w:rsidRPr="00D35A8D">
              <w:rPr>
                <w:rFonts w:eastAsia="Arial" w:cs="Arial"/>
                <w:szCs w:val="24"/>
              </w:rPr>
              <w:t>Influenza-type pandemic</w:t>
            </w:r>
          </w:p>
        </w:tc>
        <w:tc>
          <w:tcPr>
            <w:tcW w:w="0" w:type="auto"/>
            <w:vAlign w:val="center"/>
          </w:tcPr>
          <w:p w14:paraId="032A1E36"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vAlign w:val="center"/>
          </w:tcPr>
          <w:p w14:paraId="01D5B19F"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5</w:t>
            </w:r>
          </w:p>
        </w:tc>
        <w:tc>
          <w:tcPr>
            <w:tcW w:w="0" w:type="auto"/>
            <w:shd w:val="clear" w:color="auto" w:fill="E60000"/>
          </w:tcPr>
          <w:p w14:paraId="7E0BD67C" w14:textId="77777777" w:rsidR="00625CCA" w:rsidRPr="00F55893" w:rsidRDefault="00625CCA" w:rsidP="00E43704">
            <w:pPr>
              <w:spacing w:before="120" w:after="120" w:line="240" w:lineRule="auto"/>
              <w:jc w:val="center"/>
              <w:rPr>
                <w:rFonts w:eastAsia="Arial" w:cs="Arial"/>
                <w:color w:val="FFFFFF" w:themeColor="background1"/>
                <w:szCs w:val="24"/>
              </w:rPr>
            </w:pPr>
            <w:r>
              <w:rPr>
                <w:rFonts w:eastAsia="Arial" w:cs="Arial"/>
                <w:color w:val="FFFFFF" w:themeColor="background1"/>
                <w:szCs w:val="24"/>
              </w:rPr>
              <w:t>Very h</w:t>
            </w:r>
            <w:r w:rsidRPr="00F55893">
              <w:rPr>
                <w:rFonts w:eastAsia="Arial" w:cs="Arial"/>
                <w:color w:val="FFFFFF" w:themeColor="background1"/>
                <w:szCs w:val="24"/>
              </w:rPr>
              <w:t>igh</w:t>
            </w:r>
          </w:p>
        </w:tc>
      </w:tr>
      <w:tr w:rsidR="00625CCA" w:rsidRPr="00DC5556" w14:paraId="5A7CD637" w14:textId="77777777" w:rsidTr="00E43704">
        <w:tc>
          <w:tcPr>
            <w:tcW w:w="0" w:type="auto"/>
          </w:tcPr>
          <w:p w14:paraId="0304ECDC" w14:textId="77777777" w:rsidR="00625CCA" w:rsidRPr="00D35A8D" w:rsidRDefault="00625CCA" w:rsidP="00E43704">
            <w:pPr>
              <w:spacing w:before="120" w:after="120" w:line="240" w:lineRule="auto"/>
              <w:rPr>
                <w:rFonts w:eastAsia="Arial" w:cs="Arial"/>
                <w:szCs w:val="24"/>
              </w:rPr>
            </w:pPr>
            <w:r w:rsidRPr="00D35A8D">
              <w:rPr>
                <w:rFonts w:eastAsia="Arial" w:cs="Arial"/>
                <w:szCs w:val="24"/>
              </w:rPr>
              <w:t>Emerging infectious diseases</w:t>
            </w:r>
          </w:p>
        </w:tc>
        <w:tc>
          <w:tcPr>
            <w:tcW w:w="0" w:type="auto"/>
            <w:vAlign w:val="center"/>
          </w:tcPr>
          <w:p w14:paraId="6EFF5A95"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vAlign w:val="center"/>
          </w:tcPr>
          <w:p w14:paraId="5542FBD8"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shd w:val="clear" w:color="auto" w:fill="E60000"/>
          </w:tcPr>
          <w:p w14:paraId="05C465AA" w14:textId="77777777" w:rsidR="00625CCA" w:rsidRPr="00F55893" w:rsidRDefault="00625CCA" w:rsidP="00E43704">
            <w:pPr>
              <w:spacing w:before="120" w:after="120" w:line="240" w:lineRule="auto"/>
              <w:jc w:val="center"/>
              <w:rPr>
                <w:rFonts w:eastAsia="Arial" w:cs="Arial"/>
                <w:color w:val="FFFFFF" w:themeColor="background1"/>
                <w:szCs w:val="24"/>
              </w:rPr>
            </w:pPr>
            <w:r w:rsidRPr="00D93609">
              <w:rPr>
                <w:rFonts w:eastAsia="Arial" w:cs="Arial"/>
                <w:color w:val="FFFFFF" w:themeColor="background1"/>
                <w:szCs w:val="24"/>
              </w:rPr>
              <w:t>Very high</w:t>
            </w:r>
          </w:p>
        </w:tc>
      </w:tr>
      <w:tr w:rsidR="00625CCA" w:rsidRPr="00DC5556" w14:paraId="5FA643DC" w14:textId="77777777" w:rsidTr="00E43704">
        <w:tc>
          <w:tcPr>
            <w:tcW w:w="0" w:type="auto"/>
          </w:tcPr>
          <w:p w14:paraId="0232E350" w14:textId="77777777" w:rsidR="00625CCA" w:rsidRPr="00D35A8D" w:rsidRDefault="00625CCA" w:rsidP="00E43704">
            <w:pPr>
              <w:spacing w:before="120" w:after="120" w:line="240" w:lineRule="auto"/>
              <w:rPr>
                <w:rFonts w:eastAsia="Arial" w:cs="Arial"/>
                <w:szCs w:val="24"/>
              </w:rPr>
            </w:pPr>
            <w:r>
              <w:rPr>
                <w:rFonts w:eastAsia="Arial" w:cs="Arial"/>
                <w:szCs w:val="24"/>
              </w:rPr>
              <w:t>Industrial Action (fuel)</w:t>
            </w:r>
          </w:p>
        </w:tc>
        <w:tc>
          <w:tcPr>
            <w:tcW w:w="0" w:type="auto"/>
            <w:vAlign w:val="center"/>
          </w:tcPr>
          <w:p w14:paraId="754713AE" w14:textId="77777777" w:rsidR="00625CCA" w:rsidRPr="00D35A8D" w:rsidDel="00B17FD8" w:rsidRDefault="00625CCA" w:rsidP="00E43704">
            <w:pPr>
              <w:spacing w:before="120" w:after="120" w:line="240" w:lineRule="auto"/>
              <w:jc w:val="center"/>
              <w:rPr>
                <w:rFonts w:eastAsia="Arial" w:cs="Arial"/>
                <w:szCs w:val="24"/>
              </w:rPr>
            </w:pPr>
            <w:r>
              <w:rPr>
                <w:rFonts w:eastAsia="Arial" w:cs="Arial"/>
                <w:szCs w:val="24"/>
              </w:rPr>
              <w:t>4</w:t>
            </w:r>
          </w:p>
        </w:tc>
        <w:tc>
          <w:tcPr>
            <w:tcW w:w="0" w:type="auto"/>
            <w:vAlign w:val="center"/>
          </w:tcPr>
          <w:p w14:paraId="42CAED14"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shd w:val="clear" w:color="auto" w:fill="E60000"/>
          </w:tcPr>
          <w:p w14:paraId="7DF5F433" w14:textId="77777777" w:rsidR="00625CCA" w:rsidRPr="00F55893" w:rsidRDefault="00625CCA" w:rsidP="00E43704">
            <w:pPr>
              <w:spacing w:before="120" w:after="120" w:line="240" w:lineRule="auto"/>
              <w:jc w:val="center"/>
              <w:rPr>
                <w:rFonts w:eastAsia="Arial" w:cs="Arial"/>
                <w:color w:val="FFFFFF" w:themeColor="background1"/>
                <w:szCs w:val="24"/>
              </w:rPr>
            </w:pPr>
            <w:r w:rsidRPr="00D93609">
              <w:rPr>
                <w:rFonts w:eastAsia="Arial" w:cs="Arial"/>
                <w:color w:val="FFFFFF" w:themeColor="background1"/>
                <w:szCs w:val="24"/>
              </w:rPr>
              <w:t>Very high</w:t>
            </w:r>
          </w:p>
        </w:tc>
      </w:tr>
      <w:tr w:rsidR="00625CCA" w:rsidRPr="00DC5556" w14:paraId="1D1B4FF3" w14:textId="77777777" w:rsidTr="00E43704">
        <w:tc>
          <w:tcPr>
            <w:tcW w:w="0" w:type="auto"/>
          </w:tcPr>
          <w:p w14:paraId="0886282A" w14:textId="77777777" w:rsidR="00625CCA" w:rsidRPr="00D35A8D" w:rsidRDefault="00625CCA" w:rsidP="00E43704">
            <w:pPr>
              <w:spacing w:before="120" w:after="120" w:line="240" w:lineRule="auto"/>
              <w:rPr>
                <w:rFonts w:eastAsia="Arial" w:cs="Arial"/>
                <w:szCs w:val="24"/>
              </w:rPr>
            </w:pPr>
            <w:r w:rsidRPr="00D35A8D">
              <w:rPr>
                <w:rFonts w:eastAsia="Arial" w:cs="Arial"/>
                <w:szCs w:val="24"/>
              </w:rPr>
              <w:t>Surface water flooding/localised flash flooding</w:t>
            </w:r>
          </w:p>
        </w:tc>
        <w:tc>
          <w:tcPr>
            <w:tcW w:w="0" w:type="auto"/>
            <w:vAlign w:val="center"/>
          </w:tcPr>
          <w:p w14:paraId="1DBF938C"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vAlign w:val="center"/>
          </w:tcPr>
          <w:p w14:paraId="598C35DA"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shd w:val="clear" w:color="auto" w:fill="E60000"/>
          </w:tcPr>
          <w:p w14:paraId="72FADDC9" w14:textId="77777777" w:rsidR="00625CCA" w:rsidRPr="00F55893" w:rsidRDefault="00625CCA" w:rsidP="00E43704">
            <w:pPr>
              <w:spacing w:before="120" w:after="120" w:line="240" w:lineRule="auto"/>
              <w:jc w:val="center"/>
              <w:rPr>
                <w:rFonts w:eastAsia="Arial" w:cs="Arial"/>
                <w:color w:val="FFFFFF" w:themeColor="background1"/>
                <w:szCs w:val="24"/>
              </w:rPr>
            </w:pPr>
            <w:r w:rsidRPr="00D93609">
              <w:rPr>
                <w:rFonts w:eastAsia="Arial" w:cs="Arial"/>
                <w:color w:val="FFFFFF" w:themeColor="background1"/>
                <w:szCs w:val="24"/>
              </w:rPr>
              <w:t>Very high</w:t>
            </w:r>
          </w:p>
        </w:tc>
      </w:tr>
      <w:tr w:rsidR="00625CCA" w:rsidRPr="00DC5556" w14:paraId="25377775" w14:textId="77777777" w:rsidTr="00E43704">
        <w:trPr>
          <w:trHeight w:val="79"/>
        </w:trPr>
        <w:tc>
          <w:tcPr>
            <w:tcW w:w="0" w:type="auto"/>
          </w:tcPr>
          <w:p w14:paraId="3BD6CE5B" w14:textId="77777777" w:rsidR="00625CCA" w:rsidRPr="00D35A8D" w:rsidRDefault="00625CCA" w:rsidP="00E43704">
            <w:pPr>
              <w:spacing w:before="120" w:after="120" w:line="240" w:lineRule="auto"/>
              <w:rPr>
                <w:rFonts w:eastAsia="Arial" w:cs="Arial"/>
                <w:szCs w:val="24"/>
              </w:rPr>
            </w:pPr>
            <w:r w:rsidRPr="00D35A8D">
              <w:rPr>
                <w:rFonts w:eastAsia="Arial" w:cs="Arial"/>
                <w:szCs w:val="24"/>
              </w:rPr>
              <w:t>Failure of the national electricity transmission system</w:t>
            </w:r>
          </w:p>
        </w:tc>
        <w:tc>
          <w:tcPr>
            <w:tcW w:w="0" w:type="auto"/>
            <w:vAlign w:val="center"/>
          </w:tcPr>
          <w:p w14:paraId="3AB751ED"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3</w:t>
            </w:r>
          </w:p>
        </w:tc>
        <w:tc>
          <w:tcPr>
            <w:tcW w:w="0" w:type="auto"/>
            <w:vAlign w:val="center"/>
          </w:tcPr>
          <w:p w14:paraId="25CEB4E9"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5</w:t>
            </w:r>
          </w:p>
        </w:tc>
        <w:tc>
          <w:tcPr>
            <w:tcW w:w="0" w:type="auto"/>
            <w:shd w:val="clear" w:color="auto" w:fill="E60000"/>
          </w:tcPr>
          <w:p w14:paraId="05FF10E3" w14:textId="77777777" w:rsidR="00625CCA" w:rsidRPr="00D910DA" w:rsidRDefault="00625CCA" w:rsidP="00E43704">
            <w:pPr>
              <w:spacing w:before="120" w:after="120" w:line="240" w:lineRule="auto"/>
              <w:jc w:val="center"/>
              <w:rPr>
                <w:rFonts w:eastAsia="Arial" w:cs="Arial"/>
                <w:color w:val="FFFFFF" w:themeColor="background1"/>
                <w:szCs w:val="24"/>
              </w:rPr>
            </w:pPr>
            <w:r w:rsidRPr="000551B5">
              <w:rPr>
                <w:rFonts w:eastAsia="Arial" w:cs="Arial"/>
                <w:color w:val="FFFFFF" w:themeColor="background1"/>
                <w:szCs w:val="24"/>
              </w:rPr>
              <w:t>Very high</w:t>
            </w:r>
          </w:p>
        </w:tc>
      </w:tr>
      <w:tr w:rsidR="00625CCA" w:rsidRPr="00DC5556" w14:paraId="78864BC6" w14:textId="77777777" w:rsidTr="00E43704">
        <w:tc>
          <w:tcPr>
            <w:tcW w:w="0" w:type="auto"/>
          </w:tcPr>
          <w:p w14:paraId="5BEE96AC" w14:textId="77777777" w:rsidR="00625CCA" w:rsidRPr="00D35A8D" w:rsidRDefault="00625CCA" w:rsidP="00E43704">
            <w:pPr>
              <w:spacing w:before="120" w:after="120" w:line="240" w:lineRule="auto"/>
              <w:rPr>
                <w:rFonts w:eastAsia="Arial" w:cs="Arial"/>
                <w:szCs w:val="24"/>
              </w:rPr>
            </w:pPr>
            <w:r w:rsidRPr="00D35A8D">
              <w:rPr>
                <w:rFonts w:eastAsia="Arial" w:cs="Arial"/>
                <w:szCs w:val="24"/>
              </w:rPr>
              <w:t>Coastal flooding/ Fluvial flooding</w:t>
            </w:r>
          </w:p>
        </w:tc>
        <w:tc>
          <w:tcPr>
            <w:tcW w:w="0" w:type="auto"/>
            <w:vAlign w:val="center"/>
          </w:tcPr>
          <w:p w14:paraId="6B173626"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3</w:t>
            </w:r>
          </w:p>
        </w:tc>
        <w:tc>
          <w:tcPr>
            <w:tcW w:w="0" w:type="auto"/>
            <w:vAlign w:val="center"/>
          </w:tcPr>
          <w:p w14:paraId="74853EB2"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shd w:val="clear" w:color="auto" w:fill="E60000"/>
          </w:tcPr>
          <w:p w14:paraId="36C32C46" w14:textId="77777777" w:rsidR="00625CCA" w:rsidRPr="00D910DA" w:rsidRDefault="00625CCA" w:rsidP="00E43704">
            <w:pPr>
              <w:spacing w:before="120" w:after="120" w:line="240" w:lineRule="auto"/>
              <w:jc w:val="center"/>
              <w:rPr>
                <w:rFonts w:eastAsia="Arial" w:cs="Arial"/>
                <w:color w:val="FFFFFF" w:themeColor="background1"/>
                <w:szCs w:val="24"/>
              </w:rPr>
            </w:pPr>
            <w:r w:rsidRPr="000551B5">
              <w:rPr>
                <w:rFonts w:eastAsia="Arial" w:cs="Arial"/>
                <w:color w:val="FFFFFF" w:themeColor="background1"/>
                <w:szCs w:val="24"/>
              </w:rPr>
              <w:t>Very high</w:t>
            </w:r>
          </w:p>
        </w:tc>
      </w:tr>
      <w:tr w:rsidR="00625CCA" w:rsidRPr="00DC5556" w14:paraId="736A35A4" w14:textId="77777777" w:rsidTr="00E43704">
        <w:tc>
          <w:tcPr>
            <w:tcW w:w="0" w:type="auto"/>
          </w:tcPr>
          <w:p w14:paraId="5315DCAC" w14:textId="77777777" w:rsidR="00625CCA" w:rsidRPr="00D35A8D" w:rsidRDefault="00625CCA" w:rsidP="00E43704">
            <w:pPr>
              <w:spacing w:before="120" w:after="120" w:line="240" w:lineRule="auto"/>
              <w:rPr>
                <w:rFonts w:eastAsia="Arial" w:cs="Arial"/>
                <w:szCs w:val="24"/>
              </w:rPr>
            </w:pPr>
            <w:r>
              <w:rPr>
                <w:rFonts w:eastAsia="Arial" w:cs="Arial"/>
                <w:szCs w:val="24"/>
              </w:rPr>
              <w:t>Gas supply failure</w:t>
            </w:r>
          </w:p>
        </w:tc>
        <w:tc>
          <w:tcPr>
            <w:tcW w:w="0" w:type="auto"/>
            <w:vAlign w:val="center"/>
          </w:tcPr>
          <w:p w14:paraId="08BF8223"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3</w:t>
            </w:r>
          </w:p>
        </w:tc>
        <w:tc>
          <w:tcPr>
            <w:tcW w:w="0" w:type="auto"/>
            <w:vAlign w:val="center"/>
          </w:tcPr>
          <w:p w14:paraId="35F02F6A"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shd w:val="clear" w:color="auto" w:fill="E60000"/>
          </w:tcPr>
          <w:p w14:paraId="5A57BFE9" w14:textId="77777777" w:rsidR="00625CCA" w:rsidRPr="00D910DA" w:rsidRDefault="00625CCA" w:rsidP="00E43704">
            <w:pPr>
              <w:spacing w:before="120" w:after="120" w:line="240" w:lineRule="auto"/>
              <w:jc w:val="center"/>
              <w:rPr>
                <w:rFonts w:eastAsia="Arial" w:cs="Arial"/>
                <w:color w:val="FFFFFF" w:themeColor="background1"/>
                <w:szCs w:val="24"/>
              </w:rPr>
            </w:pPr>
            <w:r w:rsidRPr="000551B5">
              <w:rPr>
                <w:rFonts w:eastAsia="Arial" w:cs="Arial"/>
                <w:color w:val="FFFFFF" w:themeColor="background1"/>
                <w:szCs w:val="24"/>
              </w:rPr>
              <w:t>Very high</w:t>
            </w:r>
          </w:p>
        </w:tc>
      </w:tr>
      <w:tr w:rsidR="00625CCA" w:rsidRPr="00DC5556" w14:paraId="74B54852" w14:textId="77777777" w:rsidTr="00E43704">
        <w:tc>
          <w:tcPr>
            <w:tcW w:w="0" w:type="auto"/>
          </w:tcPr>
          <w:p w14:paraId="4C98D947" w14:textId="77777777" w:rsidR="00625CCA" w:rsidRPr="00D35A8D" w:rsidRDefault="00625CCA" w:rsidP="00E43704">
            <w:pPr>
              <w:spacing w:before="120" w:after="120" w:line="240" w:lineRule="auto"/>
              <w:rPr>
                <w:rFonts w:eastAsia="Arial" w:cs="Arial"/>
                <w:szCs w:val="24"/>
              </w:rPr>
            </w:pPr>
            <w:r w:rsidRPr="00D35A8D">
              <w:rPr>
                <w:rFonts w:eastAsia="Arial" w:cs="Arial"/>
                <w:szCs w:val="24"/>
              </w:rPr>
              <w:t>Rail networks incidents</w:t>
            </w:r>
          </w:p>
        </w:tc>
        <w:tc>
          <w:tcPr>
            <w:tcW w:w="0" w:type="auto"/>
            <w:vAlign w:val="center"/>
          </w:tcPr>
          <w:p w14:paraId="1ED446A5"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5</w:t>
            </w:r>
          </w:p>
        </w:tc>
        <w:tc>
          <w:tcPr>
            <w:tcW w:w="0" w:type="auto"/>
            <w:vAlign w:val="center"/>
          </w:tcPr>
          <w:p w14:paraId="50A6F737"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3</w:t>
            </w:r>
          </w:p>
        </w:tc>
        <w:tc>
          <w:tcPr>
            <w:tcW w:w="0" w:type="auto"/>
            <w:shd w:val="clear" w:color="auto" w:fill="FFC000"/>
          </w:tcPr>
          <w:p w14:paraId="3066D990" w14:textId="77777777" w:rsidR="00625CCA" w:rsidRPr="00D35A8D" w:rsidRDefault="00625CCA" w:rsidP="00E43704">
            <w:pPr>
              <w:spacing w:before="120" w:after="120" w:line="240" w:lineRule="auto"/>
              <w:jc w:val="center"/>
              <w:rPr>
                <w:rFonts w:eastAsia="Arial" w:cs="Arial"/>
                <w:szCs w:val="24"/>
              </w:rPr>
            </w:pPr>
            <w:r w:rsidRPr="0059393B">
              <w:rPr>
                <w:rFonts w:eastAsia="Arial" w:cs="Arial"/>
                <w:szCs w:val="24"/>
              </w:rPr>
              <w:t>High</w:t>
            </w:r>
          </w:p>
        </w:tc>
      </w:tr>
      <w:tr w:rsidR="00625CCA" w:rsidRPr="00010A3B" w14:paraId="18DA1CDC" w14:textId="77777777" w:rsidTr="00E43704">
        <w:tc>
          <w:tcPr>
            <w:tcW w:w="0" w:type="auto"/>
          </w:tcPr>
          <w:p w14:paraId="69A457EA" w14:textId="77777777" w:rsidR="00625CCA" w:rsidRPr="00D35A8D" w:rsidRDefault="00625CCA" w:rsidP="00E43704">
            <w:pPr>
              <w:spacing w:before="120" w:after="120" w:line="240" w:lineRule="auto"/>
              <w:rPr>
                <w:rFonts w:eastAsia="Arial" w:cs="Arial"/>
                <w:szCs w:val="24"/>
              </w:rPr>
            </w:pPr>
            <w:r>
              <w:rPr>
                <w:rFonts w:eastAsia="Arial" w:cs="Arial"/>
                <w:szCs w:val="24"/>
              </w:rPr>
              <w:t>Systematic financial crisis</w:t>
            </w:r>
          </w:p>
        </w:tc>
        <w:tc>
          <w:tcPr>
            <w:tcW w:w="0" w:type="auto"/>
            <w:vAlign w:val="center"/>
          </w:tcPr>
          <w:p w14:paraId="60CD9C06"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5</w:t>
            </w:r>
          </w:p>
        </w:tc>
        <w:tc>
          <w:tcPr>
            <w:tcW w:w="0" w:type="auto"/>
            <w:vAlign w:val="center"/>
          </w:tcPr>
          <w:p w14:paraId="4AE78139"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3</w:t>
            </w:r>
          </w:p>
        </w:tc>
        <w:tc>
          <w:tcPr>
            <w:tcW w:w="0" w:type="auto"/>
            <w:shd w:val="clear" w:color="auto" w:fill="FFC000"/>
          </w:tcPr>
          <w:p w14:paraId="2E5548E4" w14:textId="77777777" w:rsidR="00625CCA" w:rsidRPr="00D35A8D" w:rsidRDefault="00625CCA" w:rsidP="00E43704">
            <w:pPr>
              <w:spacing w:before="120" w:after="120" w:line="240" w:lineRule="auto"/>
              <w:jc w:val="center"/>
              <w:rPr>
                <w:rFonts w:eastAsia="Arial" w:cs="Arial"/>
                <w:szCs w:val="24"/>
              </w:rPr>
            </w:pPr>
            <w:r w:rsidRPr="0059393B">
              <w:rPr>
                <w:rFonts w:eastAsia="Arial" w:cs="Arial"/>
                <w:szCs w:val="24"/>
              </w:rPr>
              <w:t>High</w:t>
            </w:r>
          </w:p>
        </w:tc>
      </w:tr>
      <w:tr w:rsidR="00625CCA" w:rsidRPr="00010A3B" w14:paraId="3688365A" w14:textId="77777777" w:rsidTr="00E43704">
        <w:tc>
          <w:tcPr>
            <w:tcW w:w="0" w:type="auto"/>
          </w:tcPr>
          <w:p w14:paraId="0291E916" w14:textId="77777777" w:rsidR="00625CCA" w:rsidRPr="00D35A8D" w:rsidRDefault="00625CCA" w:rsidP="00E43704">
            <w:pPr>
              <w:spacing w:before="120" w:after="120" w:line="240" w:lineRule="auto"/>
              <w:rPr>
                <w:rFonts w:eastAsia="Arial" w:cs="Arial"/>
                <w:szCs w:val="24"/>
              </w:rPr>
            </w:pPr>
            <w:r w:rsidRPr="00D35A8D">
              <w:rPr>
                <w:rFonts w:eastAsia="Arial" w:cs="Arial"/>
                <w:szCs w:val="24"/>
              </w:rPr>
              <w:t>Volcanic eruption</w:t>
            </w:r>
          </w:p>
        </w:tc>
        <w:tc>
          <w:tcPr>
            <w:tcW w:w="0" w:type="auto"/>
            <w:vAlign w:val="center"/>
          </w:tcPr>
          <w:p w14:paraId="32A79735"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vAlign w:val="center"/>
          </w:tcPr>
          <w:p w14:paraId="62609828"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3</w:t>
            </w:r>
          </w:p>
        </w:tc>
        <w:tc>
          <w:tcPr>
            <w:tcW w:w="0" w:type="auto"/>
            <w:shd w:val="clear" w:color="auto" w:fill="FFC000"/>
          </w:tcPr>
          <w:p w14:paraId="2EBA2773" w14:textId="77777777" w:rsidR="00625CCA" w:rsidRPr="00D35A8D" w:rsidRDefault="00625CCA" w:rsidP="00E43704">
            <w:pPr>
              <w:spacing w:before="120" w:after="120" w:line="240" w:lineRule="auto"/>
              <w:jc w:val="center"/>
              <w:rPr>
                <w:rFonts w:eastAsia="Arial" w:cs="Arial"/>
                <w:szCs w:val="24"/>
              </w:rPr>
            </w:pPr>
            <w:r w:rsidRPr="0059393B">
              <w:rPr>
                <w:rFonts w:eastAsia="Arial" w:cs="Arial"/>
                <w:szCs w:val="24"/>
              </w:rPr>
              <w:t>High</w:t>
            </w:r>
          </w:p>
        </w:tc>
      </w:tr>
      <w:tr w:rsidR="00625CCA" w:rsidRPr="00010A3B" w14:paraId="339E0119" w14:textId="77777777" w:rsidTr="00E43704">
        <w:tc>
          <w:tcPr>
            <w:tcW w:w="0" w:type="auto"/>
          </w:tcPr>
          <w:p w14:paraId="2299F0CA" w14:textId="77777777" w:rsidR="00625CCA" w:rsidRPr="00D35A8D" w:rsidRDefault="00625CCA" w:rsidP="00E43704">
            <w:pPr>
              <w:spacing w:before="120" w:after="120" w:line="240" w:lineRule="auto"/>
              <w:rPr>
                <w:rFonts w:eastAsia="Arial" w:cs="Arial"/>
                <w:szCs w:val="24"/>
              </w:rPr>
            </w:pPr>
            <w:r>
              <w:rPr>
                <w:rFonts w:eastAsia="Arial" w:cs="Arial"/>
                <w:szCs w:val="24"/>
              </w:rPr>
              <w:t>Influx of British Nationals</w:t>
            </w:r>
          </w:p>
        </w:tc>
        <w:tc>
          <w:tcPr>
            <w:tcW w:w="0" w:type="auto"/>
            <w:vAlign w:val="center"/>
          </w:tcPr>
          <w:p w14:paraId="06B743E9"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vAlign w:val="center"/>
          </w:tcPr>
          <w:p w14:paraId="3FB502E8"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3</w:t>
            </w:r>
          </w:p>
        </w:tc>
        <w:tc>
          <w:tcPr>
            <w:tcW w:w="0" w:type="auto"/>
            <w:shd w:val="clear" w:color="auto" w:fill="FFC000"/>
          </w:tcPr>
          <w:p w14:paraId="1E3D6024" w14:textId="77777777" w:rsidR="00625CCA" w:rsidRPr="00D35A8D" w:rsidRDefault="00625CCA" w:rsidP="00E43704">
            <w:pPr>
              <w:spacing w:before="120" w:after="120" w:line="240" w:lineRule="auto"/>
              <w:jc w:val="center"/>
              <w:rPr>
                <w:rFonts w:eastAsia="Arial" w:cs="Arial"/>
                <w:szCs w:val="24"/>
              </w:rPr>
            </w:pPr>
            <w:r w:rsidRPr="0059393B">
              <w:rPr>
                <w:rFonts w:eastAsia="Arial" w:cs="Arial"/>
                <w:szCs w:val="24"/>
              </w:rPr>
              <w:t>High</w:t>
            </w:r>
          </w:p>
        </w:tc>
      </w:tr>
      <w:tr w:rsidR="00625CCA" w:rsidRPr="00010A3B" w14:paraId="653123CC" w14:textId="77777777" w:rsidTr="00E43704">
        <w:tc>
          <w:tcPr>
            <w:tcW w:w="0" w:type="auto"/>
          </w:tcPr>
          <w:p w14:paraId="4F9CE284" w14:textId="21FC65A7" w:rsidR="00625CCA" w:rsidRPr="00D35A8D" w:rsidRDefault="00625CCA" w:rsidP="00E43704">
            <w:pPr>
              <w:spacing w:before="120" w:after="120" w:line="240" w:lineRule="auto"/>
              <w:rPr>
                <w:rFonts w:eastAsia="Arial" w:cs="Arial"/>
                <w:szCs w:val="24"/>
              </w:rPr>
            </w:pPr>
            <w:r w:rsidRPr="00D35A8D">
              <w:rPr>
                <w:rFonts w:eastAsia="Arial" w:cs="Arial"/>
                <w:szCs w:val="24"/>
              </w:rPr>
              <w:t>Severe space weather (</w:t>
            </w:r>
            <w:r w:rsidR="008B4C44" w:rsidRPr="00D35A8D">
              <w:rPr>
                <w:rFonts w:eastAsia="Arial" w:cs="Arial"/>
                <w:szCs w:val="24"/>
              </w:rPr>
              <w:t>e.g.</w:t>
            </w:r>
            <w:r w:rsidRPr="00D35A8D">
              <w:rPr>
                <w:rFonts w:eastAsia="Arial" w:cs="Arial"/>
                <w:szCs w:val="24"/>
              </w:rPr>
              <w:t xml:space="preserve"> geomagnetic storm)</w:t>
            </w:r>
          </w:p>
        </w:tc>
        <w:tc>
          <w:tcPr>
            <w:tcW w:w="0" w:type="auto"/>
            <w:vAlign w:val="center"/>
          </w:tcPr>
          <w:p w14:paraId="50AAB1E7"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4</w:t>
            </w:r>
          </w:p>
        </w:tc>
        <w:tc>
          <w:tcPr>
            <w:tcW w:w="0" w:type="auto"/>
            <w:vAlign w:val="center"/>
          </w:tcPr>
          <w:p w14:paraId="3F77BD7D"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3</w:t>
            </w:r>
          </w:p>
        </w:tc>
        <w:tc>
          <w:tcPr>
            <w:tcW w:w="0" w:type="auto"/>
            <w:shd w:val="clear" w:color="auto" w:fill="FFC000"/>
          </w:tcPr>
          <w:p w14:paraId="6FAD44B1" w14:textId="77777777" w:rsidR="00625CCA" w:rsidRPr="00D35A8D" w:rsidRDefault="00625CCA" w:rsidP="00E43704">
            <w:pPr>
              <w:spacing w:before="120" w:after="120" w:line="240" w:lineRule="auto"/>
              <w:jc w:val="center"/>
              <w:rPr>
                <w:rFonts w:eastAsia="Arial" w:cs="Arial"/>
                <w:szCs w:val="24"/>
              </w:rPr>
            </w:pPr>
            <w:r w:rsidRPr="0059393B">
              <w:rPr>
                <w:rFonts w:eastAsia="Arial" w:cs="Arial"/>
                <w:szCs w:val="24"/>
              </w:rPr>
              <w:t>High</w:t>
            </w:r>
          </w:p>
        </w:tc>
      </w:tr>
      <w:tr w:rsidR="00625CCA" w:rsidRPr="00010A3B" w14:paraId="068AA9C8" w14:textId="77777777" w:rsidTr="00E43704">
        <w:tc>
          <w:tcPr>
            <w:tcW w:w="0" w:type="auto"/>
          </w:tcPr>
          <w:p w14:paraId="29373FB9" w14:textId="77777777" w:rsidR="00625CCA" w:rsidRPr="00D35A8D" w:rsidRDefault="00625CCA" w:rsidP="00E43704">
            <w:pPr>
              <w:spacing w:before="120" w:after="120" w:line="240" w:lineRule="auto"/>
              <w:rPr>
                <w:rFonts w:eastAsia="Arial" w:cs="Arial"/>
                <w:szCs w:val="24"/>
              </w:rPr>
            </w:pPr>
            <w:r>
              <w:rPr>
                <w:rFonts w:eastAsia="Arial" w:cs="Arial"/>
                <w:szCs w:val="24"/>
              </w:rPr>
              <w:t>Disruption or loss of telecommunications</w:t>
            </w:r>
          </w:p>
        </w:tc>
        <w:tc>
          <w:tcPr>
            <w:tcW w:w="0" w:type="auto"/>
            <w:vAlign w:val="center"/>
          </w:tcPr>
          <w:p w14:paraId="4794644A"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3</w:t>
            </w:r>
          </w:p>
        </w:tc>
        <w:tc>
          <w:tcPr>
            <w:tcW w:w="0" w:type="auto"/>
            <w:vAlign w:val="center"/>
          </w:tcPr>
          <w:p w14:paraId="22D83AAF" w14:textId="77777777" w:rsidR="00625CCA" w:rsidRPr="00D35A8D" w:rsidRDefault="00625CCA" w:rsidP="00E43704">
            <w:pPr>
              <w:spacing w:before="120" w:after="120" w:line="240" w:lineRule="auto"/>
              <w:jc w:val="center"/>
              <w:rPr>
                <w:rFonts w:eastAsia="Arial" w:cs="Arial"/>
                <w:szCs w:val="24"/>
              </w:rPr>
            </w:pPr>
            <w:r>
              <w:rPr>
                <w:rFonts w:eastAsia="Arial" w:cs="Arial"/>
                <w:szCs w:val="24"/>
              </w:rPr>
              <w:t>3</w:t>
            </w:r>
          </w:p>
        </w:tc>
        <w:tc>
          <w:tcPr>
            <w:tcW w:w="0" w:type="auto"/>
            <w:shd w:val="clear" w:color="auto" w:fill="FFC000"/>
          </w:tcPr>
          <w:p w14:paraId="5C501035" w14:textId="77777777" w:rsidR="00625CCA" w:rsidRPr="00D35A8D" w:rsidRDefault="00625CCA" w:rsidP="00E43704">
            <w:pPr>
              <w:spacing w:before="120" w:after="120" w:line="240" w:lineRule="auto"/>
              <w:jc w:val="center"/>
              <w:rPr>
                <w:rFonts w:eastAsia="Arial" w:cs="Arial"/>
                <w:szCs w:val="24"/>
              </w:rPr>
            </w:pPr>
            <w:r w:rsidRPr="0059393B">
              <w:rPr>
                <w:rFonts w:eastAsia="Arial" w:cs="Arial"/>
                <w:szCs w:val="24"/>
              </w:rPr>
              <w:t>High</w:t>
            </w:r>
          </w:p>
        </w:tc>
      </w:tr>
      <w:tr w:rsidR="00625CCA" w:rsidRPr="00010A3B" w14:paraId="262E63E3" w14:textId="77777777" w:rsidTr="00E43704">
        <w:tc>
          <w:tcPr>
            <w:tcW w:w="0" w:type="auto"/>
          </w:tcPr>
          <w:p w14:paraId="10A0200C" w14:textId="77777777" w:rsidR="00625CCA" w:rsidRDefault="00625CCA" w:rsidP="00E43704">
            <w:pPr>
              <w:spacing w:before="120" w:after="120" w:line="240" w:lineRule="auto"/>
              <w:rPr>
                <w:rFonts w:eastAsia="Arial" w:cs="Arial"/>
                <w:szCs w:val="24"/>
              </w:rPr>
            </w:pPr>
            <w:r w:rsidRPr="00D35A8D">
              <w:rPr>
                <w:rFonts w:eastAsia="Arial" w:cs="Arial"/>
                <w:szCs w:val="24"/>
              </w:rPr>
              <w:t>Poor air quality</w:t>
            </w:r>
          </w:p>
        </w:tc>
        <w:tc>
          <w:tcPr>
            <w:tcW w:w="0" w:type="auto"/>
            <w:vAlign w:val="center"/>
          </w:tcPr>
          <w:p w14:paraId="69FA1D49" w14:textId="77777777" w:rsidR="00625CCA" w:rsidRDefault="00625CCA" w:rsidP="00E43704">
            <w:pPr>
              <w:spacing w:before="120" w:after="120" w:line="240" w:lineRule="auto"/>
              <w:jc w:val="center"/>
              <w:rPr>
                <w:rFonts w:eastAsia="Arial" w:cs="Arial"/>
                <w:szCs w:val="24"/>
              </w:rPr>
            </w:pPr>
            <w:r>
              <w:rPr>
                <w:rFonts w:eastAsia="Arial" w:cs="Arial"/>
                <w:szCs w:val="24"/>
              </w:rPr>
              <w:t>3</w:t>
            </w:r>
          </w:p>
        </w:tc>
        <w:tc>
          <w:tcPr>
            <w:tcW w:w="0" w:type="auto"/>
            <w:vAlign w:val="center"/>
          </w:tcPr>
          <w:p w14:paraId="3B426AD0" w14:textId="77777777" w:rsidR="00625CCA" w:rsidRDefault="00625CCA" w:rsidP="00E43704">
            <w:pPr>
              <w:spacing w:before="120" w:after="120" w:line="240" w:lineRule="auto"/>
              <w:jc w:val="center"/>
              <w:rPr>
                <w:rFonts w:eastAsia="Arial" w:cs="Arial"/>
                <w:szCs w:val="24"/>
              </w:rPr>
            </w:pPr>
            <w:r>
              <w:rPr>
                <w:rFonts w:eastAsia="Arial" w:cs="Arial"/>
                <w:szCs w:val="24"/>
              </w:rPr>
              <w:t>3</w:t>
            </w:r>
          </w:p>
        </w:tc>
        <w:tc>
          <w:tcPr>
            <w:tcW w:w="0" w:type="auto"/>
            <w:shd w:val="clear" w:color="auto" w:fill="FFC000"/>
          </w:tcPr>
          <w:p w14:paraId="7E08799C" w14:textId="77777777" w:rsidR="00625CCA" w:rsidRPr="0059393B" w:rsidRDefault="00625CCA" w:rsidP="00E43704">
            <w:pPr>
              <w:spacing w:before="120" w:after="120" w:line="240" w:lineRule="auto"/>
              <w:jc w:val="center"/>
              <w:rPr>
                <w:rFonts w:eastAsia="Arial" w:cs="Arial"/>
                <w:szCs w:val="24"/>
              </w:rPr>
            </w:pPr>
            <w:r w:rsidRPr="00D61F08">
              <w:rPr>
                <w:rFonts w:eastAsia="Arial" w:cs="Arial"/>
                <w:szCs w:val="24"/>
              </w:rPr>
              <w:t>High</w:t>
            </w:r>
          </w:p>
        </w:tc>
      </w:tr>
      <w:tr w:rsidR="00625CCA" w:rsidRPr="00010A3B" w14:paraId="6B86839F" w14:textId="77777777" w:rsidTr="00E43704">
        <w:tc>
          <w:tcPr>
            <w:tcW w:w="0" w:type="auto"/>
          </w:tcPr>
          <w:p w14:paraId="5CBACC03" w14:textId="77777777" w:rsidR="00625CCA" w:rsidRDefault="00625CCA" w:rsidP="00E43704">
            <w:pPr>
              <w:spacing w:before="120" w:after="120" w:line="240" w:lineRule="auto"/>
              <w:rPr>
                <w:rFonts w:eastAsia="Arial" w:cs="Arial"/>
                <w:szCs w:val="24"/>
              </w:rPr>
            </w:pPr>
            <w:r>
              <w:rPr>
                <w:rFonts w:eastAsia="Arial" w:cs="Arial"/>
                <w:szCs w:val="24"/>
              </w:rPr>
              <w:t>Low temperatures and heavy snow</w:t>
            </w:r>
          </w:p>
        </w:tc>
        <w:tc>
          <w:tcPr>
            <w:tcW w:w="0" w:type="auto"/>
            <w:vAlign w:val="center"/>
          </w:tcPr>
          <w:p w14:paraId="0531730C" w14:textId="77777777" w:rsidR="00625CCA" w:rsidRDefault="00625CCA" w:rsidP="00E43704">
            <w:pPr>
              <w:spacing w:before="120" w:after="120" w:line="240" w:lineRule="auto"/>
              <w:jc w:val="center"/>
              <w:rPr>
                <w:rFonts w:eastAsia="Arial" w:cs="Arial"/>
                <w:szCs w:val="24"/>
              </w:rPr>
            </w:pPr>
            <w:r>
              <w:rPr>
                <w:rFonts w:eastAsia="Arial" w:cs="Arial"/>
                <w:szCs w:val="24"/>
              </w:rPr>
              <w:t>3</w:t>
            </w:r>
          </w:p>
        </w:tc>
        <w:tc>
          <w:tcPr>
            <w:tcW w:w="0" w:type="auto"/>
            <w:vAlign w:val="center"/>
          </w:tcPr>
          <w:p w14:paraId="551752AC" w14:textId="77777777" w:rsidR="00625CCA" w:rsidRDefault="00625CCA" w:rsidP="00E43704">
            <w:pPr>
              <w:spacing w:before="120" w:after="120" w:line="240" w:lineRule="auto"/>
              <w:jc w:val="center"/>
              <w:rPr>
                <w:rFonts w:eastAsia="Arial" w:cs="Arial"/>
                <w:szCs w:val="24"/>
              </w:rPr>
            </w:pPr>
            <w:r>
              <w:rPr>
                <w:rFonts w:eastAsia="Arial" w:cs="Arial"/>
                <w:szCs w:val="24"/>
              </w:rPr>
              <w:t>3</w:t>
            </w:r>
          </w:p>
        </w:tc>
        <w:tc>
          <w:tcPr>
            <w:tcW w:w="0" w:type="auto"/>
            <w:shd w:val="clear" w:color="auto" w:fill="FFC000"/>
          </w:tcPr>
          <w:p w14:paraId="7ACB7CFA" w14:textId="77777777" w:rsidR="00625CCA" w:rsidRPr="0059393B" w:rsidRDefault="00625CCA" w:rsidP="00E43704">
            <w:pPr>
              <w:spacing w:before="120" w:after="120" w:line="240" w:lineRule="auto"/>
              <w:jc w:val="center"/>
              <w:rPr>
                <w:rFonts w:eastAsia="Arial" w:cs="Arial"/>
                <w:szCs w:val="24"/>
              </w:rPr>
            </w:pPr>
            <w:r w:rsidRPr="00D61F08">
              <w:rPr>
                <w:rFonts w:eastAsia="Arial" w:cs="Arial"/>
                <w:szCs w:val="24"/>
              </w:rPr>
              <w:t>High</w:t>
            </w:r>
          </w:p>
        </w:tc>
      </w:tr>
      <w:tr w:rsidR="00625CCA" w:rsidRPr="00010A3B" w14:paraId="124EE863" w14:textId="77777777" w:rsidTr="00E43704">
        <w:tc>
          <w:tcPr>
            <w:tcW w:w="0" w:type="auto"/>
          </w:tcPr>
          <w:p w14:paraId="22744DE5" w14:textId="77777777" w:rsidR="00625CCA" w:rsidRDefault="00625CCA" w:rsidP="00E43704">
            <w:pPr>
              <w:spacing w:before="120" w:after="120" w:line="240" w:lineRule="auto"/>
              <w:rPr>
                <w:rFonts w:eastAsia="Arial" w:cs="Arial"/>
                <w:szCs w:val="24"/>
              </w:rPr>
            </w:pPr>
            <w:r>
              <w:rPr>
                <w:rFonts w:eastAsia="Arial" w:cs="Arial"/>
                <w:szCs w:val="24"/>
              </w:rPr>
              <w:t>Heatwave</w:t>
            </w:r>
          </w:p>
        </w:tc>
        <w:tc>
          <w:tcPr>
            <w:tcW w:w="0" w:type="auto"/>
            <w:vAlign w:val="center"/>
          </w:tcPr>
          <w:p w14:paraId="62DD09A7" w14:textId="77777777" w:rsidR="00625CCA" w:rsidRDefault="00625CCA" w:rsidP="00E43704">
            <w:pPr>
              <w:spacing w:before="120" w:after="120" w:line="240" w:lineRule="auto"/>
              <w:jc w:val="center"/>
              <w:rPr>
                <w:rFonts w:eastAsia="Arial" w:cs="Arial"/>
                <w:szCs w:val="24"/>
              </w:rPr>
            </w:pPr>
            <w:r>
              <w:rPr>
                <w:rFonts w:eastAsia="Arial" w:cs="Arial"/>
                <w:szCs w:val="24"/>
              </w:rPr>
              <w:t>3</w:t>
            </w:r>
          </w:p>
        </w:tc>
        <w:tc>
          <w:tcPr>
            <w:tcW w:w="0" w:type="auto"/>
            <w:vAlign w:val="center"/>
          </w:tcPr>
          <w:p w14:paraId="54C8461A" w14:textId="77777777" w:rsidR="00625CCA" w:rsidRDefault="00625CCA" w:rsidP="00E43704">
            <w:pPr>
              <w:spacing w:before="120" w:after="120" w:line="240" w:lineRule="auto"/>
              <w:jc w:val="center"/>
              <w:rPr>
                <w:rFonts w:eastAsia="Arial" w:cs="Arial"/>
                <w:szCs w:val="24"/>
              </w:rPr>
            </w:pPr>
            <w:r>
              <w:rPr>
                <w:rFonts w:eastAsia="Arial" w:cs="Arial"/>
                <w:szCs w:val="24"/>
              </w:rPr>
              <w:t>3</w:t>
            </w:r>
          </w:p>
        </w:tc>
        <w:tc>
          <w:tcPr>
            <w:tcW w:w="0" w:type="auto"/>
            <w:shd w:val="clear" w:color="auto" w:fill="FFC000"/>
          </w:tcPr>
          <w:p w14:paraId="223625A5" w14:textId="77777777" w:rsidR="00625CCA" w:rsidRPr="0059393B" w:rsidRDefault="00625CCA" w:rsidP="00E43704">
            <w:pPr>
              <w:spacing w:before="120" w:after="120" w:line="240" w:lineRule="auto"/>
              <w:jc w:val="center"/>
              <w:rPr>
                <w:rFonts w:eastAsia="Arial" w:cs="Arial"/>
                <w:szCs w:val="24"/>
              </w:rPr>
            </w:pPr>
            <w:r w:rsidRPr="00D61F08">
              <w:rPr>
                <w:rFonts w:eastAsia="Arial" w:cs="Arial"/>
                <w:szCs w:val="24"/>
              </w:rPr>
              <w:t>High</w:t>
            </w:r>
          </w:p>
        </w:tc>
      </w:tr>
      <w:tr w:rsidR="00625CCA" w:rsidRPr="00010A3B" w14:paraId="0D1E0868" w14:textId="77777777" w:rsidTr="00E43704">
        <w:tc>
          <w:tcPr>
            <w:tcW w:w="0" w:type="auto"/>
          </w:tcPr>
          <w:p w14:paraId="7835CF57" w14:textId="77777777" w:rsidR="00625CCA" w:rsidRDefault="00625CCA" w:rsidP="00E43704">
            <w:pPr>
              <w:spacing w:before="120" w:after="120" w:line="240" w:lineRule="auto"/>
              <w:rPr>
                <w:rFonts w:eastAsia="Arial" w:cs="Arial"/>
                <w:szCs w:val="24"/>
              </w:rPr>
            </w:pPr>
            <w:r w:rsidRPr="00D35A8D">
              <w:rPr>
                <w:rFonts w:eastAsia="Arial" w:cs="Arial"/>
                <w:szCs w:val="24"/>
              </w:rPr>
              <w:t>Technological failure at a retail bank</w:t>
            </w:r>
          </w:p>
        </w:tc>
        <w:tc>
          <w:tcPr>
            <w:tcW w:w="0" w:type="auto"/>
            <w:vAlign w:val="center"/>
          </w:tcPr>
          <w:p w14:paraId="43603158" w14:textId="77777777" w:rsidR="00625CCA" w:rsidRDefault="00625CCA" w:rsidP="00E43704">
            <w:pPr>
              <w:spacing w:before="120" w:after="120" w:line="240" w:lineRule="auto"/>
              <w:jc w:val="center"/>
              <w:rPr>
                <w:rFonts w:eastAsia="Arial" w:cs="Arial"/>
                <w:szCs w:val="24"/>
              </w:rPr>
            </w:pPr>
            <w:r>
              <w:rPr>
                <w:rFonts w:eastAsia="Arial" w:cs="Arial"/>
                <w:szCs w:val="24"/>
              </w:rPr>
              <w:t>3</w:t>
            </w:r>
          </w:p>
        </w:tc>
        <w:tc>
          <w:tcPr>
            <w:tcW w:w="0" w:type="auto"/>
            <w:vAlign w:val="center"/>
          </w:tcPr>
          <w:p w14:paraId="5C51D6CE" w14:textId="77777777" w:rsidR="00625CCA" w:rsidRDefault="00625CCA" w:rsidP="00E43704">
            <w:pPr>
              <w:spacing w:before="120" w:after="120" w:line="240" w:lineRule="auto"/>
              <w:jc w:val="center"/>
              <w:rPr>
                <w:rFonts w:eastAsia="Arial" w:cs="Arial"/>
                <w:szCs w:val="24"/>
              </w:rPr>
            </w:pPr>
            <w:r>
              <w:rPr>
                <w:rFonts w:eastAsia="Arial" w:cs="Arial"/>
                <w:szCs w:val="24"/>
              </w:rPr>
              <w:t>3</w:t>
            </w:r>
          </w:p>
        </w:tc>
        <w:tc>
          <w:tcPr>
            <w:tcW w:w="0" w:type="auto"/>
            <w:shd w:val="clear" w:color="auto" w:fill="FFC000"/>
          </w:tcPr>
          <w:p w14:paraId="4AAA94DF" w14:textId="77777777" w:rsidR="00625CCA" w:rsidRPr="0059393B" w:rsidRDefault="00625CCA" w:rsidP="00E43704">
            <w:pPr>
              <w:spacing w:before="120" w:after="120" w:line="240" w:lineRule="auto"/>
              <w:jc w:val="center"/>
              <w:rPr>
                <w:rFonts w:eastAsia="Arial" w:cs="Arial"/>
                <w:szCs w:val="24"/>
              </w:rPr>
            </w:pPr>
            <w:r w:rsidRPr="00D61F08">
              <w:rPr>
                <w:rFonts w:eastAsia="Arial" w:cs="Arial"/>
                <w:szCs w:val="24"/>
              </w:rPr>
              <w:t>High</w:t>
            </w:r>
          </w:p>
        </w:tc>
      </w:tr>
      <w:tr w:rsidR="00625CCA" w:rsidRPr="00010A3B" w14:paraId="3C70AD76" w14:textId="77777777" w:rsidTr="00E43704">
        <w:tc>
          <w:tcPr>
            <w:tcW w:w="0" w:type="auto"/>
          </w:tcPr>
          <w:p w14:paraId="543525A4" w14:textId="77777777" w:rsidR="00625CCA" w:rsidRPr="00D35A8D" w:rsidRDefault="00625CCA" w:rsidP="00E43704">
            <w:pPr>
              <w:spacing w:before="120" w:after="120" w:line="240" w:lineRule="auto"/>
              <w:rPr>
                <w:rFonts w:eastAsia="Arial" w:cs="Arial"/>
                <w:szCs w:val="24"/>
              </w:rPr>
            </w:pPr>
            <w:r w:rsidRPr="00D910DA">
              <w:rPr>
                <w:rFonts w:eastAsia="Arial" w:cs="Arial"/>
                <w:szCs w:val="24"/>
              </w:rPr>
              <w:t>Loss of Positioning, Navigation and Timing (PNT) services</w:t>
            </w:r>
          </w:p>
        </w:tc>
        <w:tc>
          <w:tcPr>
            <w:tcW w:w="0" w:type="auto"/>
            <w:vAlign w:val="center"/>
          </w:tcPr>
          <w:p w14:paraId="15F1F6B2" w14:textId="77777777" w:rsidR="00625CCA" w:rsidRDefault="00625CCA" w:rsidP="00E43704">
            <w:pPr>
              <w:spacing w:before="120" w:after="120" w:line="240" w:lineRule="auto"/>
              <w:jc w:val="center"/>
              <w:rPr>
                <w:rFonts w:eastAsia="Arial" w:cs="Arial"/>
                <w:szCs w:val="24"/>
              </w:rPr>
            </w:pPr>
            <w:r>
              <w:rPr>
                <w:rFonts w:eastAsia="Arial" w:cs="Arial"/>
                <w:szCs w:val="24"/>
              </w:rPr>
              <w:t>2</w:t>
            </w:r>
          </w:p>
        </w:tc>
        <w:tc>
          <w:tcPr>
            <w:tcW w:w="0" w:type="auto"/>
            <w:vAlign w:val="center"/>
          </w:tcPr>
          <w:p w14:paraId="7E91D6A3" w14:textId="77777777" w:rsidR="00625CCA" w:rsidRDefault="00625CCA" w:rsidP="00E43704">
            <w:pPr>
              <w:spacing w:before="120" w:after="120" w:line="240" w:lineRule="auto"/>
              <w:jc w:val="center"/>
              <w:rPr>
                <w:rFonts w:eastAsia="Arial" w:cs="Arial"/>
                <w:szCs w:val="24"/>
              </w:rPr>
            </w:pPr>
            <w:r>
              <w:rPr>
                <w:rFonts w:eastAsia="Arial" w:cs="Arial"/>
                <w:szCs w:val="24"/>
              </w:rPr>
              <w:t>4</w:t>
            </w:r>
          </w:p>
        </w:tc>
        <w:tc>
          <w:tcPr>
            <w:tcW w:w="0" w:type="auto"/>
            <w:shd w:val="clear" w:color="auto" w:fill="FFC000"/>
          </w:tcPr>
          <w:p w14:paraId="3BE43276" w14:textId="77777777" w:rsidR="00625CCA" w:rsidRPr="0059393B" w:rsidRDefault="00625CCA" w:rsidP="00E43704">
            <w:pPr>
              <w:spacing w:before="120" w:after="120" w:line="240" w:lineRule="auto"/>
              <w:jc w:val="center"/>
              <w:rPr>
                <w:rFonts w:eastAsia="Arial" w:cs="Arial"/>
                <w:szCs w:val="24"/>
              </w:rPr>
            </w:pPr>
            <w:r w:rsidRPr="00D61F08">
              <w:rPr>
                <w:rFonts w:eastAsia="Arial" w:cs="Arial"/>
                <w:szCs w:val="24"/>
              </w:rPr>
              <w:t>High</w:t>
            </w:r>
          </w:p>
        </w:tc>
      </w:tr>
      <w:tr w:rsidR="00625CCA" w:rsidRPr="00010A3B" w14:paraId="34FE0732" w14:textId="77777777" w:rsidTr="00E43704">
        <w:tc>
          <w:tcPr>
            <w:tcW w:w="0" w:type="auto"/>
          </w:tcPr>
          <w:p w14:paraId="49BB647A" w14:textId="77777777" w:rsidR="00625CCA" w:rsidRPr="00D35A8D" w:rsidRDefault="00625CCA" w:rsidP="00E43704">
            <w:pPr>
              <w:spacing w:before="120" w:after="120" w:line="240" w:lineRule="auto"/>
              <w:rPr>
                <w:rFonts w:eastAsia="Arial" w:cs="Arial"/>
                <w:szCs w:val="24"/>
              </w:rPr>
            </w:pPr>
            <w:r w:rsidRPr="00D910DA">
              <w:rPr>
                <w:rFonts w:eastAsia="Arial" w:cs="Arial"/>
                <w:szCs w:val="24"/>
              </w:rPr>
              <w:t>Reservoir/dam collapse</w:t>
            </w:r>
          </w:p>
        </w:tc>
        <w:tc>
          <w:tcPr>
            <w:tcW w:w="0" w:type="auto"/>
            <w:vAlign w:val="center"/>
          </w:tcPr>
          <w:p w14:paraId="350A89A4" w14:textId="77777777" w:rsidR="00625CCA" w:rsidRDefault="00625CCA" w:rsidP="00E43704">
            <w:pPr>
              <w:spacing w:before="120" w:after="120" w:line="240" w:lineRule="auto"/>
              <w:jc w:val="center"/>
              <w:rPr>
                <w:rFonts w:eastAsia="Arial" w:cs="Arial"/>
                <w:szCs w:val="24"/>
              </w:rPr>
            </w:pPr>
            <w:r>
              <w:rPr>
                <w:rFonts w:eastAsia="Arial" w:cs="Arial"/>
                <w:szCs w:val="24"/>
              </w:rPr>
              <w:t>2</w:t>
            </w:r>
          </w:p>
        </w:tc>
        <w:tc>
          <w:tcPr>
            <w:tcW w:w="0" w:type="auto"/>
            <w:vAlign w:val="center"/>
          </w:tcPr>
          <w:p w14:paraId="704F32F0" w14:textId="77777777" w:rsidR="00625CCA" w:rsidRDefault="00625CCA" w:rsidP="00E43704">
            <w:pPr>
              <w:spacing w:before="120" w:after="120" w:line="240" w:lineRule="auto"/>
              <w:jc w:val="center"/>
              <w:rPr>
                <w:rFonts w:eastAsia="Arial" w:cs="Arial"/>
                <w:szCs w:val="24"/>
              </w:rPr>
            </w:pPr>
            <w:r>
              <w:rPr>
                <w:rFonts w:eastAsia="Arial" w:cs="Arial"/>
                <w:szCs w:val="24"/>
              </w:rPr>
              <w:t>4</w:t>
            </w:r>
          </w:p>
        </w:tc>
        <w:tc>
          <w:tcPr>
            <w:tcW w:w="0" w:type="auto"/>
            <w:shd w:val="clear" w:color="auto" w:fill="FFC000"/>
          </w:tcPr>
          <w:p w14:paraId="296223A4" w14:textId="77777777" w:rsidR="00625CCA" w:rsidRPr="0059393B" w:rsidRDefault="00625CCA" w:rsidP="00E43704">
            <w:pPr>
              <w:spacing w:before="120" w:after="120" w:line="240" w:lineRule="auto"/>
              <w:jc w:val="center"/>
              <w:rPr>
                <w:rFonts w:eastAsia="Arial" w:cs="Arial"/>
                <w:szCs w:val="24"/>
              </w:rPr>
            </w:pPr>
            <w:r w:rsidRPr="00D61F08">
              <w:rPr>
                <w:rFonts w:eastAsia="Arial" w:cs="Arial"/>
                <w:szCs w:val="24"/>
              </w:rPr>
              <w:t>High</w:t>
            </w:r>
          </w:p>
        </w:tc>
      </w:tr>
      <w:tr w:rsidR="00625CCA" w:rsidRPr="00010A3B" w14:paraId="2F5252A1" w14:textId="77777777" w:rsidTr="00E43704">
        <w:tc>
          <w:tcPr>
            <w:tcW w:w="0" w:type="auto"/>
          </w:tcPr>
          <w:p w14:paraId="1066E0FC" w14:textId="77777777" w:rsidR="00625CCA" w:rsidRPr="00D35A8D" w:rsidRDefault="00625CCA" w:rsidP="00E43704">
            <w:pPr>
              <w:spacing w:before="120" w:after="120" w:line="240" w:lineRule="auto"/>
              <w:rPr>
                <w:rFonts w:eastAsia="Arial" w:cs="Arial"/>
                <w:szCs w:val="24"/>
              </w:rPr>
            </w:pPr>
            <w:r w:rsidRPr="00D910DA">
              <w:rPr>
                <w:rFonts w:eastAsia="Arial" w:cs="Arial"/>
                <w:szCs w:val="24"/>
              </w:rPr>
              <w:t>Major outbreak of animal disease</w:t>
            </w:r>
          </w:p>
        </w:tc>
        <w:tc>
          <w:tcPr>
            <w:tcW w:w="0" w:type="auto"/>
            <w:vAlign w:val="center"/>
          </w:tcPr>
          <w:p w14:paraId="55D1D287" w14:textId="77777777" w:rsidR="00625CCA" w:rsidRDefault="00625CCA" w:rsidP="00E43704">
            <w:pPr>
              <w:spacing w:before="120" w:after="120" w:line="240" w:lineRule="auto"/>
              <w:jc w:val="center"/>
              <w:rPr>
                <w:rFonts w:eastAsia="Arial" w:cs="Arial"/>
                <w:szCs w:val="24"/>
              </w:rPr>
            </w:pPr>
            <w:r>
              <w:rPr>
                <w:rFonts w:eastAsia="Arial" w:cs="Arial"/>
                <w:szCs w:val="24"/>
              </w:rPr>
              <w:t>2</w:t>
            </w:r>
          </w:p>
        </w:tc>
        <w:tc>
          <w:tcPr>
            <w:tcW w:w="0" w:type="auto"/>
            <w:vAlign w:val="center"/>
          </w:tcPr>
          <w:p w14:paraId="6D865A9C" w14:textId="77777777" w:rsidR="00625CCA" w:rsidRDefault="00625CCA" w:rsidP="00E43704">
            <w:pPr>
              <w:spacing w:before="120" w:after="120" w:line="240" w:lineRule="auto"/>
              <w:jc w:val="center"/>
              <w:rPr>
                <w:rFonts w:eastAsia="Arial" w:cs="Arial"/>
                <w:szCs w:val="24"/>
              </w:rPr>
            </w:pPr>
            <w:r>
              <w:rPr>
                <w:rFonts w:eastAsia="Arial" w:cs="Arial"/>
                <w:szCs w:val="24"/>
              </w:rPr>
              <w:t>4</w:t>
            </w:r>
          </w:p>
        </w:tc>
        <w:tc>
          <w:tcPr>
            <w:tcW w:w="0" w:type="auto"/>
            <w:shd w:val="clear" w:color="auto" w:fill="FFC000"/>
          </w:tcPr>
          <w:p w14:paraId="564EFD25" w14:textId="77777777" w:rsidR="00625CCA" w:rsidRPr="0059393B" w:rsidRDefault="00625CCA" w:rsidP="00E43704">
            <w:pPr>
              <w:spacing w:before="120" w:after="120" w:line="240" w:lineRule="auto"/>
              <w:jc w:val="center"/>
              <w:rPr>
                <w:rFonts w:eastAsia="Arial" w:cs="Arial"/>
                <w:szCs w:val="24"/>
              </w:rPr>
            </w:pPr>
            <w:r w:rsidRPr="00D61F08">
              <w:rPr>
                <w:rFonts w:eastAsia="Arial" w:cs="Arial"/>
                <w:szCs w:val="24"/>
              </w:rPr>
              <w:t>High</w:t>
            </w:r>
          </w:p>
        </w:tc>
      </w:tr>
      <w:tr w:rsidR="00625CCA" w:rsidRPr="00010A3B" w14:paraId="0226763D" w14:textId="77777777" w:rsidTr="00E43704">
        <w:tc>
          <w:tcPr>
            <w:tcW w:w="0" w:type="auto"/>
          </w:tcPr>
          <w:p w14:paraId="0438AA55" w14:textId="77777777" w:rsidR="00625CCA" w:rsidRPr="00D910DA" w:rsidRDefault="00625CCA" w:rsidP="00E43704">
            <w:pPr>
              <w:spacing w:before="120" w:after="120" w:line="240" w:lineRule="auto"/>
              <w:rPr>
                <w:rFonts w:eastAsia="Arial" w:cs="Arial"/>
                <w:szCs w:val="24"/>
              </w:rPr>
            </w:pPr>
            <w:r w:rsidRPr="00D910DA">
              <w:rPr>
                <w:rFonts w:eastAsia="Arial" w:cs="Arial"/>
                <w:szCs w:val="24"/>
              </w:rPr>
              <w:t>Drought</w:t>
            </w:r>
          </w:p>
        </w:tc>
        <w:tc>
          <w:tcPr>
            <w:tcW w:w="0" w:type="auto"/>
            <w:vAlign w:val="center"/>
          </w:tcPr>
          <w:p w14:paraId="0CEB2911" w14:textId="77777777" w:rsidR="00625CCA" w:rsidRDefault="00625CCA" w:rsidP="00E43704">
            <w:pPr>
              <w:spacing w:before="120" w:after="120" w:line="240" w:lineRule="auto"/>
              <w:jc w:val="center"/>
              <w:rPr>
                <w:rFonts w:eastAsia="Arial" w:cs="Arial"/>
                <w:szCs w:val="24"/>
              </w:rPr>
            </w:pPr>
            <w:r>
              <w:rPr>
                <w:rFonts w:eastAsia="Arial" w:cs="Arial"/>
                <w:szCs w:val="24"/>
              </w:rPr>
              <w:t>2</w:t>
            </w:r>
          </w:p>
        </w:tc>
        <w:tc>
          <w:tcPr>
            <w:tcW w:w="0" w:type="auto"/>
            <w:vAlign w:val="center"/>
          </w:tcPr>
          <w:p w14:paraId="34932EC5" w14:textId="77777777" w:rsidR="00625CCA" w:rsidRDefault="00625CCA" w:rsidP="00E43704">
            <w:pPr>
              <w:spacing w:before="120" w:after="120" w:line="240" w:lineRule="auto"/>
              <w:jc w:val="center"/>
              <w:rPr>
                <w:rFonts w:eastAsia="Arial" w:cs="Arial"/>
                <w:szCs w:val="24"/>
              </w:rPr>
            </w:pPr>
            <w:r>
              <w:rPr>
                <w:rFonts w:eastAsia="Arial" w:cs="Arial"/>
                <w:szCs w:val="24"/>
              </w:rPr>
              <w:t>4</w:t>
            </w:r>
          </w:p>
        </w:tc>
        <w:tc>
          <w:tcPr>
            <w:tcW w:w="0" w:type="auto"/>
            <w:shd w:val="clear" w:color="auto" w:fill="FFC000"/>
          </w:tcPr>
          <w:p w14:paraId="0D75FAE2" w14:textId="77777777" w:rsidR="00625CCA" w:rsidRPr="0059393B" w:rsidRDefault="00625CCA" w:rsidP="00E43704">
            <w:pPr>
              <w:spacing w:before="120" w:after="120" w:line="240" w:lineRule="auto"/>
              <w:jc w:val="center"/>
              <w:rPr>
                <w:rFonts w:eastAsia="Arial" w:cs="Arial"/>
                <w:szCs w:val="24"/>
              </w:rPr>
            </w:pPr>
            <w:r w:rsidRPr="00D61F08">
              <w:rPr>
                <w:rFonts w:eastAsia="Arial" w:cs="Arial"/>
                <w:szCs w:val="24"/>
              </w:rPr>
              <w:t>High</w:t>
            </w:r>
          </w:p>
        </w:tc>
      </w:tr>
      <w:tr w:rsidR="00625CCA" w:rsidRPr="00010A3B" w14:paraId="7886E528" w14:textId="77777777" w:rsidTr="00E43704">
        <w:tc>
          <w:tcPr>
            <w:tcW w:w="0" w:type="auto"/>
          </w:tcPr>
          <w:p w14:paraId="1892B63D" w14:textId="77777777" w:rsidR="00625CCA" w:rsidRPr="00D910DA" w:rsidRDefault="00625CCA" w:rsidP="00E43704">
            <w:pPr>
              <w:spacing w:before="120" w:after="120" w:line="240" w:lineRule="auto"/>
              <w:rPr>
                <w:rFonts w:eastAsia="Arial" w:cs="Arial"/>
                <w:szCs w:val="24"/>
              </w:rPr>
            </w:pPr>
            <w:r w:rsidRPr="00D910DA">
              <w:rPr>
                <w:rFonts w:eastAsia="Arial" w:cs="Arial"/>
                <w:szCs w:val="24"/>
              </w:rPr>
              <w:t>Radiation release from overseas nuclear accident</w:t>
            </w:r>
          </w:p>
        </w:tc>
        <w:tc>
          <w:tcPr>
            <w:tcW w:w="0" w:type="auto"/>
            <w:vAlign w:val="center"/>
          </w:tcPr>
          <w:p w14:paraId="4F65FEDB" w14:textId="77777777" w:rsidR="00625CCA" w:rsidRDefault="00625CCA" w:rsidP="00E43704">
            <w:pPr>
              <w:spacing w:before="120" w:after="120" w:line="240" w:lineRule="auto"/>
              <w:jc w:val="center"/>
              <w:rPr>
                <w:rFonts w:eastAsia="Arial" w:cs="Arial"/>
                <w:szCs w:val="24"/>
              </w:rPr>
            </w:pPr>
            <w:r>
              <w:rPr>
                <w:rFonts w:eastAsia="Arial" w:cs="Arial"/>
                <w:szCs w:val="24"/>
              </w:rPr>
              <w:t>1</w:t>
            </w:r>
          </w:p>
        </w:tc>
        <w:tc>
          <w:tcPr>
            <w:tcW w:w="0" w:type="auto"/>
            <w:vAlign w:val="center"/>
          </w:tcPr>
          <w:p w14:paraId="16EEE6FC" w14:textId="77777777" w:rsidR="00625CCA" w:rsidRDefault="00625CCA" w:rsidP="00E43704">
            <w:pPr>
              <w:spacing w:before="120" w:after="120" w:line="240" w:lineRule="auto"/>
              <w:jc w:val="center"/>
              <w:rPr>
                <w:rFonts w:eastAsia="Arial" w:cs="Arial"/>
                <w:szCs w:val="24"/>
              </w:rPr>
            </w:pPr>
            <w:r>
              <w:rPr>
                <w:rFonts w:eastAsia="Arial" w:cs="Arial"/>
                <w:szCs w:val="24"/>
              </w:rPr>
              <w:t>5</w:t>
            </w:r>
          </w:p>
        </w:tc>
        <w:tc>
          <w:tcPr>
            <w:tcW w:w="0" w:type="auto"/>
            <w:shd w:val="clear" w:color="auto" w:fill="FFC000"/>
          </w:tcPr>
          <w:p w14:paraId="662019B3" w14:textId="77777777" w:rsidR="00625CCA" w:rsidRPr="0059393B" w:rsidRDefault="00625CCA" w:rsidP="00E43704">
            <w:pPr>
              <w:spacing w:before="120" w:after="120" w:line="240" w:lineRule="auto"/>
              <w:jc w:val="center"/>
              <w:rPr>
                <w:rFonts w:eastAsia="Arial" w:cs="Arial"/>
                <w:szCs w:val="24"/>
              </w:rPr>
            </w:pPr>
            <w:r w:rsidRPr="00D61F08">
              <w:rPr>
                <w:rFonts w:eastAsia="Arial" w:cs="Arial"/>
                <w:szCs w:val="24"/>
              </w:rPr>
              <w:t>High</w:t>
            </w:r>
          </w:p>
        </w:tc>
      </w:tr>
    </w:tbl>
    <w:p w14:paraId="6A121668" w14:textId="6A52573D" w:rsidR="00625CCA" w:rsidRPr="00FC15CC" w:rsidRDefault="00625CCA" w:rsidP="00625CCA">
      <w:pPr>
        <w:rPr>
          <w:rFonts w:eastAsia="Arial" w:cs="Arial"/>
          <w:szCs w:val="24"/>
        </w:rPr>
      </w:pPr>
      <w:r w:rsidRPr="00FC15CC">
        <w:rPr>
          <w:rFonts w:eastAsia="Arial" w:cs="Arial"/>
          <w:szCs w:val="24"/>
        </w:rPr>
        <w:lastRenderedPageBreak/>
        <w:t xml:space="preserve">Further information can be found on the </w:t>
      </w:r>
      <w:hyperlink r:id="rId14" w:history="1">
        <w:r w:rsidRPr="00FC15CC">
          <w:rPr>
            <w:rStyle w:val="Hyperlink"/>
            <w:rFonts w:eastAsia="Arial" w:cs="Arial"/>
            <w:szCs w:val="24"/>
          </w:rPr>
          <w:t>Lancashire Resilience Forum website</w:t>
        </w:r>
      </w:hyperlink>
      <w:r w:rsidRPr="00FC15CC">
        <w:rPr>
          <w:rStyle w:val="Hyperlink"/>
          <w:rFonts w:eastAsia="Arial" w:cs="Arial"/>
          <w:szCs w:val="24"/>
        </w:rPr>
        <w:t>.</w:t>
      </w:r>
      <w:r w:rsidRPr="00FC15CC">
        <w:rPr>
          <w:rFonts w:eastAsia="Arial" w:cs="Arial"/>
          <w:szCs w:val="24"/>
        </w:rPr>
        <w:t xml:space="preserve"> </w:t>
      </w:r>
    </w:p>
    <w:p w14:paraId="52F27CC1" w14:textId="4DBECED0" w:rsidR="00625CCA" w:rsidRPr="00FC15CC" w:rsidRDefault="00625CCA" w:rsidP="00625CCA">
      <w:pPr>
        <w:rPr>
          <w:rFonts w:eastAsia="Arial" w:cs="Arial"/>
          <w:color w:val="000000" w:themeColor="text1"/>
          <w:szCs w:val="24"/>
        </w:rPr>
      </w:pPr>
      <w:r w:rsidRPr="00FC15CC">
        <w:rPr>
          <w:rFonts w:eastAsia="Arial" w:cs="Arial"/>
          <w:color w:val="000000" w:themeColor="text1"/>
          <w:szCs w:val="24"/>
        </w:rPr>
        <w:t xml:space="preserve">To ensure that </w:t>
      </w:r>
      <w:r w:rsidR="00BB2639" w:rsidRPr="00B118A8">
        <w:rPr>
          <w:lang w:eastAsia="en-GB"/>
        </w:rPr>
        <w:t>L</w:t>
      </w:r>
      <w:r w:rsidR="00BB2639">
        <w:rPr>
          <w:lang w:eastAsia="en-GB"/>
        </w:rPr>
        <w:t xml:space="preserve">ancashire </w:t>
      </w:r>
      <w:r w:rsidR="00F02673">
        <w:rPr>
          <w:lang w:eastAsia="en-GB"/>
        </w:rPr>
        <w:t>F</w:t>
      </w:r>
      <w:r w:rsidR="00BB2639">
        <w:rPr>
          <w:lang w:eastAsia="en-GB"/>
        </w:rPr>
        <w:t xml:space="preserve">ire and </w:t>
      </w:r>
      <w:r w:rsidR="00F02673">
        <w:rPr>
          <w:lang w:eastAsia="en-GB"/>
        </w:rPr>
        <w:t>R</w:t>
      </w:r>
      <w:r w:rsidR="00BB2639">
        <w:rPr>
          <w:lang w:eastAsia="en-GB"/>
        </w:rPr>
        <w:t xml:space="preserve">escue </w:t>
      </w:r>
      <w:r w:rsidR="00F02673">
        <w:rPr>
          <w:lang w:eastAsia="en-GB"/>
        </w:rPr>
        <w:t>S</w:t>
      </w:r>
      <w:r w:rsidR="00BB2639">
        <w:rPr>
          <w:lang w:eastAsia="en-GB"/>
        </w:rPr>
        <w:t>ervice</w:t>
      </w:r>
      <w:r w:rsidR="00BB2639" w:rsidRPr="00FC15CC">
        <w:rPr>
          <w:rFonts w:eastAsia="Arial" w:cs="Arial"/>
          <w:color w:val="000000" w:themeColor="text1"/>
          <w:szCs w:val="24"/>
        </w:rPr>
        <w:t xml:space="preserve"> </w:t>
      </w:r>
      <w:r w:rsidRPr="00FC15CC">
        <w:rPr>
          <w:rFonts w:eastAsia="Arial" w:cs="Arial"/>
          <w:color w:val="000000" w:themeColor="text1"/>
          <w:szCs w:val="24"/>
        </w:rPr>
        <w:t xml:space="preserve">are prepared for any national or local events we work in partnership with the </w:t>
      </w:r>
      <w:r w:rsidR="00C82A3D" w:rsidRPr="008D0104">
        <w:t>L</w:t>
      </w:r>
      <w:r w:rsidR="00C82A3D">
        <w:t>ancashire Resilience Forum</w:t>
      </w:r>
      <w:r w:rsidRPr="00FC15CC">
        <w:rPr>
          <w:rFonts w:eastAsia="Arial" w:cs="Arial"/>
          <w:color w:val="000000" w:themeColor="text1"/>
          <w:szCs w:val="24"/>
        </w:rPr>
        <w:t xml:space="preserve"> to train and exercise for foreseeable events and have robust business continuity planning to ensure we can still fulfil our statutory duties.</w:t>
      </w:r>
    </w:p>
    <w:p w14:paraId="3BA8E44F" w14:textId="302FE5A5" w:rsidR="00625CCA" w:rsidRDefault="00625CCA" w:rsidP="00625CCA">
      <w:pPr>
        <w:rPr>
          <w:rFonts w:eastAsiaTheme="majorEastAsia" w:cstheme="majorBidi"/>
          <w:b/>
          <w:sz w:val="32"/>
          <w:szCs w:val="32"/>
        </w:rPr>
      </w:pPr>
      <w:r w:rsidRPr="00FC15CC">
        <w:rPr>
          <w:rFonts w:eastAsia="Arial" w:cs="Arial"/>
          <w:color w:val="000000" w:themeColor="text1"/>
          <w:szCs w:val="24"/>
        </w:rPr>
        <w:t xml:space="preserve">13/16 agreements - </w:t>
      </w:r>
      <w:r w:rsidR="00BB2639" w:rsidRPr="00B118A8">
        <w:rPr>
          <w:lang w:eastAsia="en-GB"/>
        </w:rPr>
        <w:t>L</w:t>
      </w:r>
      <w:r w:rsidR="00BB2639">
        <w:rPr>
          <w:lang w:eastAsia="en-GB"/>
        </w:rPr>
        <w:t xml:space="preserve">ancashire </w:t>
      </w:r>
      <w:r w:rsidR="00E769C6">
        <w:rPr>
          <w:lang w:eastAsia="en-GB"/>
        </w:rPr>
        <w:t>F</w:t>
      </w:r>
      <w:r w:rsidR="00BB2639">
        <w:rPr>
          <w:lang w:eastAsia="en-GB"/>
        </w:rPr>
        <w:t xml:space="preserve">ire and </w:t>
      </w:r>
      <w:r w:rsidR="00E769C6">
        <w:rPr>
          <w:lang w:eastAsia="en-GB"/>
        </w:rPr>
        <w:t>R</w:t>
      </w:r>
      <w:r w:rsidR="00BB2639">
        <w:rPr>
          <w:lang w:eastAsia="en-GB"/>
        </w:rPr>
        <w:t xml:space="preserve">escue </w:t>
      </w:r>
      <w:r w:rsidR="00E769C6">
        <w:rPr>
          <w:lang w:eastAsia="en-GB"/>
        </w:rPr>
        <w:t>S</w:t>
      </w:r>
      <w:r w:rsidR="00BB2639">
        <w:rPr>
          <w:lang w:eastAsia="en-GB"/>
        </w:rPr>
        <w:t>ervice</w:t>
      </w:r>
      <w:r w:rsidR="00BB2639" w:rsidRPr="00FC15CC">
        <w:rPr>
          <w:rFonts w:eastAsia="Arial" w:cs="Arial"/>
          <w:szCs w:val="24"/>
        </w:rPr>
        <w:t xml:space="preserve"> </w:t>
      </w:r>
      <w:r w:rsidRPr="00FC15CC">
        <w:rPr>
          <w:rFonts w:eastAsia="Arial" w:cs="Arial"/>
          <w:szCs w:val="24"/>
        </w:rPr>
        <w:t>has ‘memorandum of understanding’</w:t>
      </w:r>
      <w:r w:rsidR="009D5A7F">
        <w:rPr>
          <w:rFonts w:eastAsia="Arial" w:cs="Arial"/>
          <w:szCs w:val="24"/>
        </w:rPr>
        <w:t xml:space="preserve"> </w:t>
      </w:r>
      <w:r w:rsidRPr="00FC15CC">
        <w:rPr>
          <w:rFonts w:eastAsia="Arial" w:cs="Arial"/>
          <w:szCs w:val="24"/>
        </w:rPr>
        <w:t>arrangements in place with its regional and neighbouring</w:t>
      </w:r>
      <w:r w:rsidR="00E72A72">
        <w:rPr>
          <w:rFonts w:eastAsia="Arial" w:cs="Arial"/>
          <w:szCs w:val="24"/>
        </w:rPr>
        <w:t xml:space="preserve"> </w:t>
      </w:r>
      <w:r w:rsidR="00E72A72">
        <w:t>fire and rescue service</w:t>
      </w:r>
      <w:r w:rsidR="00E72A72" w:rsidRPr="005067E2">
        <w:t xml:space="preserve"> </w:t>
      </w:r>
      <w:r w:rsidR="00E72A72">
        <w:t>i</w:t>
      </w:r>
      <w:r w:rsidRPr="00FC15CC">
        <w:rPr>
          <w:rFonts w:eastAsia="Arial" w:cs="Arial"/>
          <w:szCs w:val="24"/>
        </w:rPr>
        <w:t>n terms of reinforcement schemes to ensure serious emergencies are attended in an efficient and effective manner.  This also includes specialist functions such as rope rescue.</w:t>
      </w:r>
    </w:p>
    <w:p w14:paraId="7449B634" w14:textId="3AE70656" w:rsidR="009308D7" w:rsidRPr="005221A6" w:rsidRDefault="009308D7" w:rsidP="00625CCA">
      <w:pPr>
        <w:pStyle w:val="Heading1"/>
      </w:pPr>
      <w:bookmarkStart w:id="26" w:name="_Toc208329914"/>
      <w:r w:rsidRPr="005221A6">
        <w:t>P</w:t>
      </w:r>
      <w:r w:rsidR="00CA3C5F" w:rsidRPr="005221A6">
        <w:t xml:space="preserve">olitical, </w:t>
      </w:r>
      <w:r w:rsidRPr="005221A6">
        <w:t>E</w:t>
      </w:r>
      <w:r w:rsidR="00CA3C5F" w:rsidRPr="005221A6">
        <w:t xml:space="preserve">conomic, </w:t>
      </w:r>
      <w:r w:rsidRPr="005221A6">
        <w:t>S</w:t>
      </w:r>
      <w:r w:rsidR="00CA3C5F" w:rsidRPr="005221A6">
        <w:t xml:space="preserve">ocio-cultural, </w:t>
      </w:r>
      <w:r w:rsidRPr="005221A6">
        <w:t>T</w:t>
      </w:r>
      <w:r w:rsidR="00CA3C5F" w:rsidRPr="005221A6">
        <w:t xml:space="preserve">echnological and infrastructure, </w:t>
      </w:r>
      <w:r w:rsidRPr="005221A6">
        <w:t>E</w:t>
      </w:r>
      <w:r w:rsidR="00CA3C5F" w:rsidRPr="005221A6">
        <w:t xml:space="preserve">nvironmental, </w:t>
      </w:r>
      <w:r w:rsidRPr="005221A6">
        <w:t>L</w:t>
      </w:r>
      <w:r w:rsidR="00CA3C5F" w:rsidRPr="005221A6">
        <w:t xml:space="preserve">egislative, </w:t>
      </w:r>
      <w:r w:rsidRPr="005221A6">
        <w:t>O</w:t>
      </w:r>
      <w:r w:rsidR="00CA3C5F" w:rsidRPr="005221A6">
        <w:t>rganisational</w:t>
      </w:r>
      <w:r w:rsidR="00625CCA" w:rsidRPr="005221A6">
        <w:t xml:space="preserve"> A</w:t>
      </w:r>
      <w:r w:rsidR="00201879" w:rsidRPr="005221A6">
        <w:t>nalysis</w:t>
      </w:r>
      <w:bookmarkEnd w:id="26"/>
    </w:p>
    <w:p w14:paraId="678FD3E8" w14:textId="0159BA22" w:rsidR="00157502" w:rsidRPr="005221A6" w:rsidRDefault="00987CB0" w:rsidP="000E5042">
      <w:r w:rsidRPr="005221A6">
        <w:t>PESTELO</w:t>
      </w:r>
      <w:r w:rsidR="00157502" w:rsidRPr="005221A6">
        <w:t xml:space="preserve"> anal</w:t>
      </w:r>
      <w:r w:rsidR="009206AF" w:rsidRPr="005221A6">
        <w:t xml:space="preserve">yses </w:t>
      </w:r>
      <w:r w:rsidR="00157502" w:rsidRPr="005221A6">
        <w:t>seven external influences on an organisation:</w:t>
      </w:r>
    </w:p>
    <w:p w14:paraId="13C1698A" w14:textId="50486D96" w:rsidR="00157502" w:rsidRPr="005221A6" w:rsidRDefault="00157502" w:rsidP="00987CB0">
      <w:pPr>
        <w:pStyle w:val="bullet"/>
      </w:pPr>
      <w:r w:rsidRPr="005221A6">
        <w:t>Political</w:t>
      </w:r>
    </w:p>
    <w:p w14:paraId="7DFA8914" w14:textId="00EB76BE" w:rsidR="00157502" w:rsidRPr="005221A6" w:rsidRDefault="00157502" w:rsidP="00987CB0">
      <w:pPr>
        <w:pStyle w:val="bullet"/>
      </w:pPr>
      <w:r w:rsidRPr="005221A6">
        <w:t>Economic</w:t>
      </w:r>
    </w:p>
    <w:p w14:paraId="0F69BC14" w14:textId="1F6AF22D" w:rsidR="00157502" w:rsidRPr="005221A6" w:rsidRDefault="00157502" w:rsidP="00987CB0">
      <w:pPr>
        <w:pStyle w:val="bullet"/>
      </w:pPr>
      <w:r w:rsidRPr="005221A6">
        <w:t>Socio</w:t>
      </w:r>
      <w:r w:rsidR="009206AF" w:rsidRPr="005221A6">
        <w:t>-cultural</w:t>
      </w:r>
    </w:p>
    <w:p w14:paraId="66610FD3" w14:textId="29CC4ADE" w:rsidR="00157502" w:rsidRPr="005221A6" w:rsidRDefault="00157502" w:rsidP="00987CB0">
      <w:pPr>
        <w:pStyle w:val="bullet"/>
      </w:pPr>
      <w:r w:rsidRPr="005221A6">
        <w:t>Technological</w:t>
      </w:r>
      <w:r w:rsidR="009206AF" w:rsidRPr="005221A6">
        <w:t xml:space="preserve"> and Infrastructure</w:t>
      </w:r>
    </w:p>
    <w:p w14:paraId="34A8F336" w14:textId="773D578C" w:rsidR="00157502" w:rsidRPr="005221A6" w:rsidRDefault="00157502" w:rsidP="00987CB0">
      <w:pPr>
        <w:pStyle w:val="bullet"/>
      </w:pPr>
      <w:r w:rsidRPr="005221A6">
        <w:t>Environmental</w:t>
      </w:r>
    </w:p>
    <w:p w14:paraId="50872520" w14:textId="2D699526" w:rsidR="00157502" w:rsidRPr="005221A6" w:rsidRDefault="00157502" w:rsidP="00987CB0">
      <w:pPr>
        <w:pStyle w:val="bullet"/>
      </w:pPr>
      <w:r w:rsidRPr="005221A6">
        <w:t>Leg</w:t>
      </w:r>
      <w:r w:rsidR="009206AF" w:rsidRPr="005221A6">
        <w:t>islative</w:t>
      </w:r>
    </w:p>
    <w:p w14:paraId="6BA8138A" w14:textId="45B45E85" w:rsidR="00157502" w:rsidRPr="005221A6" w:rsidRDefault="00157502" w:rsidP="00987CB0">
      <w:pPr>
        <w:pStyle w:val="bullet"/>
      </w:pPr>
      <w:r w:rsidRPr="005221A6">
        <w:t>Organisational</w:t>
      </w:r>
    </w:p>
    <w:p w14:paraId="2E074AFF" w14:textId="40C051CF" w:rsidR="00201879" w:rsidRPr="005221A6" w:rsidRDefault="00157502" w:rsidP="009206AF">
      <w:pPr>
        <w:sectPr w:rsidR="00201879" w:rsidRPr="005221A6" w:rsidSect="00F13025">
          <w:footerReference w:type="default" r:id="rId15"/>
          <w:footerReference w:type="first" r:id="rId16"/>
          <w:pgSz w:w="11906" w:h="16838"/>
          <w:pgMar w:top="1440" w:right="1080" w:bottom="1440" w:left="1080" w:header="708" w:footer="708" w:gutter="0"/>
          <w:cols w:space="708"/>
          <w:titlePg/>
          <w:docGrid w:linePitch="360"/>
        </w:sectPr>
      </w:pPr>
      <w:r w:rsidRPr="005221A6">
        <w:t xml:space="preserve">By analysing these factors, we can gain insight into the external influences which may impact </w:t>
      </w:r>
      <w:r w:rsidR="00BB2639" w:rsidRPr="005221A6">
        <w:rPr>
          <w:lang w:eastAsia="en-GB"/>
        </w:rPr>
        <w:t xml:space="preserve">Lancashire </w:t>
      </w:r>
      <w:r w:rsidR="00F02673" w:rsidRPr="005221A6">
        <w:rPr>
          <w:lang w:eastAsia="en-GB"/>
        </w:rPr>
        <w:t>F</w:t>
      </w:r>
      <w:r w:rsidR="00BB2639" w:rsidRPr="005221A6">
        <w:rPr>
          <w:lang w:eastAsia="en-GB"/>
        </w:rPr>
        <w:t xml:space="preserve">ire and </w:t>
      </w:r>
      <w:r w:rsidR="00F02673" w:rsidRPr="005221A6">
        <w:rPr>
          <w:lang w:eastAsia="en-GB"/>
        </w:rPr>
        <w:t>R</w:t>
      </w:r>
      <w:r w:rsidR="00BB2639" w:rsidRPr="005221A6">
        <w:rPr>
          <w:lang w:eastAsia="en-GB"/>
        </w:rPr>
        <w:t xml:space="preserve">escue </w:t>
      </w:r>
      <w:r w:rsidR="00F02673" w:rsidRPr="005221A6">
        <w:rPr>
          <w:lang w:eastAsia="en-GB"/>
        </w:rPr>
        <w:t>S</w:t>
      </w:r>
      <w:r w:rsidR="00BB2639" w:rsidRPr="005221A6">
        <w:rPr>
          <w:lang w:eastAsia="en-GB"/>
        </w:rPr>
        <w:t>ervice</w:t>
      </w:r>
      <w:r w:rsidRPr="005221A6">
        <w:t>.</w:t>
      </w:r>
    </w:p>
    <w:p w14:paraId="0AEB2A7C" w14:textId="68B20557" w:rsidR="00175AD3" w:rsidRPr="008561DA" w:rsidRDefault="00175AD3" w:rsidP="00201879">
      <w:pPr>
        <w:pStyle w:val="Heading2"/>
      </w:pPr>
      <w:bookmarkStart w:id="27" w:name="_Toc208329915"/>
      <w:r w:rsidRPr="008561DA">
        <w:lastRenderedPageBreak/>
        <w:t>Overview</w:t>
      </w:r>
      <w:bookmarkEnd w:id="27"/>
    </w:p>
    <w:tbl>
      <w:tblPr>
        <w:tblStyle w:val="TableGrid"/>
        <w:tblW w:w="0" w:type="auto"/>
        <w:tblCellMar>
          <w:left w:w="57" w:type="dxa"/>
          <w:right w:w="57" w:type="dxa"/>
        </w:tblCellMar>
        <w:tblLook w:val="04A0" w:firstRow="1" w:lastRow="0" w:firstColumn="1" w:lastColumn="0" w:noHBand="0" w:noVBand="1"/>
      </w:tblPr>
      <w:tblGrid>
        <w:gridCol w:w="1990"/>
        <w:gridCol w:w="2078"/>
        <w:gridCol w:w="1992"/>
        <w:gridCol w:w="2172"/>
        <w:gridCol w:w="2272"/>
        <w:gridCol w:w="2405"/>
        <w:gridCol w:w="2479"/>
      </w:tblGrid>
      <w:tr w:rsidR="0071416D" w:rsidRPr="008561DA" w14:paraId="38072AFB" w14:textId="77777777" w:rsidTr="0095735D">
        <w:trPr>
          <w:tblHeader/>
        </w:trPr>
        <w:tc>
          <w:tcPr>
            <w:tcW w:w="0" w:type="auto"/>
            <w:shd w:val="clear" w:color="auto" w:fill="BFBFBF"/>
            <w:vAlign w:val="center"/>
          </w:tcPr>
          <w:p w14:paraId="051A4FD4" w14:textId="088ADA47" w:rsidR="0095735D" w:rsidRPr="008561DA" w:rsidRDefault="0095735D" w:rsidP="0095735D">
            <w:pPr>
              <w:spacing w:before="0" w:after="0" w:line="240" w:lineRule="auto"/>
              <w:rPr>
                <w:rFonts w:eastAsia="Calibri" w:cs="Arial"/>
                <w:b/>
                <w:bCs/>
                <w:szCs w:val="24"/>
              </w:rPr>
            </w:pPr>
            <w:bookmarkStart w:id="28" w:name="_Hlk181777183"/>
            <w:r w:rsidRPr="008561DA">
              <w:rPr>
                <w:rFonts w:eastAsia="Calibri" w:cs="Arial"/>
                <w:b/>
                <w:bCs/>
                <w:szCs w:val="24"/>
              </w:rPr>
              <w:t>P</w:t>
            </w:r>
            <w:r w:rsidR="00CA3C5F" w:rsidRPr="008561DA">
              <w:rPr>
                <w:rFonts w:eastAsia="Calibri" w:cs="Arial"/>
                <w:b/>
                <w:bCs/>
                <w:szCs w:val="24"/>
              </w:rPr>
              <w:t>olitical</w:t>
            </w:r>
          </w:p>
        </w:tc>
        <w:tc>
          <w:tcPr>
            <w:tcW w:w="0" w:type="auto"/>
            <w:shd w:val="clear" w:color="auto" w:fill="BFBFBF"/>
            <w:vAlign w:val="center"/>
          </w:tcPr>
          <w:p w14:paraId="5D75286B" w14:textId="4D7DCAB7" w:rsidR="0095735D" w:rsidRPr="008561DA" w:rsidRDefault="0095735D" w:rsidP="0095735D">
            <w:pPr>
              <w:spacing w:before="0" w:after="0" w:line="240" w:lineRule="auto"/>
              <w:rPr>
                <w:rFonts w:eastAsia="Calibri" w:cs="Arial"/>
                <w:b/>
                <w:bCs/>
                <w:szCs w:val="24"/>
              </w:rPr>
            </w:pPr>
            <w:r w:rsidRPr="008561DA">
              <w:rPr>
                <w:rFonts w:eastAsia="Calibri" w:cs="Arial"/>
                <w:b/>
                <w:bCs/>
                <w:szCs w:val="24"/>
              </w:rPr>
              <w:t>E</w:t>
            </w:r>
            <w:r w:rsidR="00CA3C5F" w:rsidRPr="008561DA">
              <w:rPr>
                <w:rFonts w:eastAsia="Calibri" w:cs="Arial"/>
                <w:b/>
                <w:bCs/>
                <w:szCs w:val="24"/>
              </w:rPr>
              <w:t>conomic</w:t>
            </w:r>
          </w:p>
        </w:tc>
        <w:tc>
          <w:tcPr>
            <w:tcW w:w="0" w:type="auto"/>
            <w:shd w:val="clear" w:color="auto" w:fill="BFBFBF"/>
            <w:vAlign w:val="center"/>
          </w:tcPr>
          <w:p w14:paraId="729C77BF" w14:textId="6EB74DF3" w:rsidR="0095735D" w:rsidRPr="008561DA" w:rsidRDefault="0095735D" w:rsidP="0095735D">
            <w:pPr>
              <w:spacing w:before="0" w:after="0" w:line="240" w:lineRule="auto"/>
              <w:rPr>
                <w:rFonts w:eastAsia="Calibri" w:cs="Arial"/>
                <w:b/>
                <w:bCs/>
                <w:szCs w:val="24"/>
              </w:rPr>
            </w:pPr>
            <w:r w:rsidRPr="008561DA">
              <w:rPr>
                <w:rFonts w:eastAsia="Calibri" w:cs="Arial"/>
                <w:b/>
                <w:bCs/>
                <w:szCs w:val="24"/>
              </w:rPr>
              <w:t>S</w:t>
            </w:r>
            <w:r w:rsidR="00CA3C5F" w:rsidRPr="008561DA">
              <w:rPr>
                <w:rFonts w:eastAsia="Calibri" w:cs="Arial"/>
                <w:b/>
                <w:bCs/>
                <w:szCs w:val="24"/>
              </w:rPr>
              <w:t>ocio-cultural</w:t>
            </w:r>
          </w:p>
        </w:tc>
        <w:tc>
          <w:tcPr>
            <w:tcW w:w="0" w:type="auto"/>
            <w:shd w:val="clear" w:color="auto" w:fill="BFBFBF"/>
            <w:vAlign w:val="center"/>
          </w:tcPr>
          <w:p w14:paraId="77AAC349" w14:textId="62656A87" w:rsidR="0095735D" w:rsidRPr="008561DA" w:rsidRDefault="0095735D" w:rsidP="0095735D">
            <w:pPr>
              <w:spacing w:before="0" w:after="0" w:line="240" w:lineRule="auto"/>
              <w:rPr>
                <w:rFonts w:eastAsia="Calibri" w:cs="Arial"/>
                <w:b/>
                <w:bCs/>
                <w:szCs w:val="24"/>
              </w:rPr>
            </w:pPr>
            <w:r w:rsidRPr="008561DA">
              <w:rPr>
                <w:rFonts w:eastAsia="Calibri" w:cs="Arial"/>
                <w:b/>
                <w:bCs/>
                <w:szCs w:val="24"/>
              </w:rPr>
              <w:t>T</w:t>
            </w:r>
            <w:r w:rsidR="00CA3C5F" w:rsidRPr="008561DA">
              <w:rPr>
                <w:rFonts w:eastAsia="Calibri" w:cs="Arial"/>
                <w:b/>
                <w:bCs/>
                <w:szCs w:val="24"/>
              </w:rPr>
              <w:t>echnological</w:t>
            </w:r>
            <w:r w:rsidRPr="008561DA">
              <w:rPr>
                <w:rFonts w:eastAsia="Calibri" w:cs="Arial"/>
                <w:b/>
                <w:bCs/>
                <w:szCs w:val="24"/>
              </w:rPr>
              <w:t>/ I</w:t>
            </w:r>
            <w:r w:rsidR="00CA3C5F" w:rsidRPr="008561DA">
              <w:rPr>
                <w:rFonts w:eastAsia="Calibri" w:cs="Arial"/>
                <w:b/>
                <w:bCs/>
                <w:szCs w:val="24"/>
              </w:rPr>
              <w:t>nfrastructure</w:t>
            </w:r>
          </w:p>
        </w:tc>
        <w:tc>
          <w:tcPr>
            <w:tcW w:w="0" w:type="auto"/>
            <w:shd w:val="clear" w:color="auto" w:fill="BFBFBF"/>
            <w:vAlign w:val="center"/>
          </w:tcPr>
          <w:p w14:paraId="6D12ACBF" w14:textId="3C45AC93" w:rsidR="0095735D" w:rsidRPr="008561DA" w:rsidRDefault="0095735D" w:rsidP="0095735D">
            <w:pPr>
              <w:spacing w:before="0" w:after="0" w:line="240" w:lineRule="auto"/>
              <w:rPr>
                <w:rFonts w:eastAsia="Calibri" w:cs="Arial"/>
                <w:b/>
                <w:bCs/>
                <w:szCs w:val="24"/>
              </w:rPr>
            </w:pPr>
            <w:r w:rsidRPr="008561DA">
              <w:rPr>
                <w:rFonts w:eastAsia="Calibri" w:cs="Arial"/>
                <w:b/>
                <w:bCs/>
                <w:szCs w:val="24"/>
              </w:rPr>
              <w:t>E</w:t>
            </w:r>
            <w:r w:rsidR="00CA3C5F" w:rsidRPr="008561DA">
              <w:rPr>
                <w:rFonts w:eastAsia="Calibri" w:cs="Arial"/>
                <w:b/>
                <w:bCs/>
                <w:szCs w:val="24"/>
              </w:rPr>
              <w:t>nvironment</w:t>
            </w:r>
          </w:p>
        </w:tc>
        <w:tc>
          <w:tcPr>
            <w:tcW w:w="0" w:type="auto"/>
            <w:shd w:val="clear" w:color="auto" w:fill="BFBFBF"/>
            <w:vAlign w:val="center"/>
          </w:tcPr>
          <w:p w14:paraId="007A0484" w14:textId="409A57B4" w:rsidR="0095735D" w:rsidRPr="008561DA" w:rsidRDefault="0095735D" w:rsidP="0095735D">
            <w:pPr>
              <w:spacing w:before="0" w:after="0" w:line="240" w:lineRule="auto"/>
              <w:rPr>
                <w:rFonts w:eastAsia="Calibri" w:cs="Arial"/>
                <w:b/>
                <w:bCs/>
                <w:szCs w:val="24"/>
              </w:rPr>
            </w:pPr>
            <w:r w:rsidRPr="008561DA">
              <w:rPr>
                <w:rFonts w:eastAsia="Calibri" w:cs="Arial"/>
                <w:b/>
                <w:bCs/>
                <w:szCs w:val="24"/>
              </w:rPr>
              <w:t>L</w:t>
            </w:r>
            <w:r w:rsidR="00CA3C5F" w:rsidRPr="008561DA">
              <w:rPr>
                <w:rFonts w:eastAsia="Calibri" w:cs="Arial"/>
                <w:b/>
                <w:bCs/>
                <w:szCs w:val="24"/>
              </w:rPr>
              <w:t>egislative</w:t>
            </w:r>
          </w:p>
        </w:tc>
        <w:tc>
          <w:tcPr>
            <w:tcW w:w="0" w:type="auto"/>
            <w:shd w:val="clear" w:color="auto" w:fill="BFBFBF"/>
            <w:vAlign w:val="center"/>
          </w:tcPr>
          <w:p w14:paraId="640BE96F" w14:textId="13E23C58" w:rsidR="0095735D" w:rsidRPr="008561DA" w:rsidRDefault="0095735D" w:rsidP="0095735D">
            <w:pPr>
              <w:spacing w:before="0" w:after="0" w:line="240" w:lineRule="auto"/>
              <w:rPr>
                <w:rFonts w:eastAsia="Calibri" w:cs="Arial"/>
                <w:b/>
                <w:bCs/>
                <w:szCs w:val="24"/>
              </w:rPr>
            </w:pPr>
            <w:r w:rsidRPr="008561DA">
              <w:rPr>
                <w:rFonts w:eastAsia="Calibri" w:cs="Arial"/>
                <w:b/>
                <w:bCs/>
                <w:szCs w:val="24"/>
              </w:rPr>
              <w:t>O</w:t>
            </w:r>
            <w:r w:rsidR="00CA3C5F" w:rsidRPr="008561DA">
              <w:rPr>
                <w:rFonts w:eastAsia="Calibri" w:cs="Arial"/>
                <w:b/>
                <w:bCs/>
                <w:szCs w:val="24"/>
              </w:rPr>
              <w:t>rganisational</w:t>
            </w:r>
          </w:p>
        </w:tc>
      </w:tr>
      <w:tr w:rsidR="0071416D" w:rsidRPr="008561DA" w14:paraId="20040097" w14:textId="77777777" w:rsidTr="0095735D">
        <w:tc>
          <w:tcPr>
            <w:tcW w:w="0" w:type="auto"/>
            <w:shd w:val="clear" w:color="000000" w:fill="FFFFFF"/>
            <w:vAlign w:val="center"/>
          </w:tcPr>
          <w:p w14:paraId="0608B475"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Wider political changes</w:t>
            </w:r>
          </w:p>
        </w:tc>
        <w:tc>
          <w:tcPr>
            <w:tcW w:w="0" w:type="auto"/>
            <w:vAlign w:val="center"/>
          </w:tcPr>
          <w:p w14:paraId="16FF94BE"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Inflation/ Cost of Living</w:t>
            </w:r>
          </w:p>
        </w:tc>
        <w:tc>
          <w:tcPr>
            <w:tcW w:w="0" w:type="auto"/>
            <w:vAlign w:val="center"/>
          </w:tcPr>
          <w:p w14:paraId="65FA0541"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 xml:space="preserve">Rising Population </w:t>
            </w:r>
          </w:p>
        </w:tc>
        <w:tc>
          <w:tcPr>
            <w:tcW w:w="0" w:type="auto"/>
            <w:vAlign w:val="center"/>
          </w:tcPr>
          <w:p w14:paraId="43A86C59"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 xml:space="preserve">Cyber Security </w:t>
            </w:r>
          </w:p>
        </w:tc>
        <w:tc>
          <w:tcPr>
            <w:tcW w:w="0" w:type="auto"/>
            <w:vAlign w:val="center"/>
          </w:tcPr>
          <w:p w14:paraId="2F517517"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Climate Change</w:t>
            </w:r>
          </w:p>
        </w:tc>
        <w:tc>
          <w:tcPr>
            <w:tcW w:w="0" w:type="auto"/>
            <w:vAlign w:val="center"/>
          </w:tcPr>
          <w:p w14:paraId="6305B644"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 xml:space="preserve">Safeguarding </w:t>
            </w:r>
          </w:p>
        </w:tc>
        <w:tc>
          <w:tcPr>
            <w:tcW w:w="0" w:type="auto"/>
            <w:vAlign w:val="center"/>
          </w:tcPr>
          <w:p w14:paraId="6D2E3068" w14:textId="04B074BC" w:rsidR="0095735D" w:rsidRPr="008561DA" w:rsidRDefault="00BB2639" w:rsidP="0095735D">
            <w:pPr>
              <w:spacing w:before="0" w:after="0" w:line="240" w:lineRule="auto"/>
              <w:rPr>
                <w:rFonts w:eastAsia="Calibri" w:cs="Arial"/>
                <w:szCs w:val="24"/>
              </w:rPr>
            </w:pPr>
            <w:r w:rsidRPr="008561DA">
              <w:rPr>
                <w:lang w:eastAsia="en-GB"/>
              </w:rPr>
              <w:t xml:space="preserve">Lancashire </w:t>
            </w:r>
            <w:r w:rsidR="00F02673" w:rsidRPr="008561DA">
              <w:rPr>
                <w:lang w:eastAsia="en-GB"/>
              </w:rPr>
              <w:t>F</w:t>
            </w:r>
            <w:r w:rsidRPr="008561DA">
              <w:rPr>
                <w:lang w:eastAsia="en-GB"/>
              </w:rPr>
              <w:t xml:space="preserve">ire and </w:t>
            </w:r>
            <w:r w:rsidR="00F02673" w:rsidRPr="008561DA">
              <w:rPr>
                <w:lang w:eastAsia="en-GB"/>
              </w:rPr>
              <w:t>R</w:t>
            </w:r>
            <w:r w:rsidRPr="008561DA">
              <w:rPr>
                <w:lang w:eastAsia="en-GB"/>
              </w:rPr>
              <w:t xml:space="preserve">escue </w:t>
            </w:r>
            <w:r w:rsidR="00F02673" w:rsidRPr="008561DA">
              <w:rPr>
                <w:lang w:eastAsia="en-GB"/>
              </w:rPr>
              <w:t>S</w:t>
            </w:r>
            <w:r w:rsidRPr="008561DA">
              <w:rPr>
                <w:lang w:eastAsia="en-GB"/>
              </w:rPr>
              <w:t>ervice</w:t>
            </w:r>
            <w:r w:rsidRPr="008561DA">
              <w:rPr>
                <w:rFonts w:eastAsia="Calibri" w:cs="Arial"/>
                <w:szCs w:val="24"/>
              </w:rPr>
              <w:t xml:space="preserve"> </w:t>
            </w:r>
            <w:r w:rsidR="0095735D" w:rsidRPr="008561DA">
              <w:rPr>
                <w:rFonts w:eastAsia="Calibri" w:cs="Arial"/>
                <w:szCs w:val="24"/>
              </w:rPr>
              <w:t xml:space="preserve">resilience issues </w:t>
            </w:r>
          </w:p>
        </w:tc>
      </w:tr>
      <w:tr w:rsidR="0071416D" w:rsidRPr="008561DA" w14:paraId="7F2A3362" w14:textId="77777777" w:rsidTr="0095735D">
        <w:tc>
          <w:tcPr>
            <w:tcW w:w="0" w:type="auto"/>
            <w:vAlign w:val="center"/>
          </w:tcPr>
          <w:p w14:paraId="54976F9B" w14:textId="5DA801E7" w:rsidR="0095735D" w:rsidRPr="008561DA" w:rsidRDefault="0095735D" w:rsidP="0095735D">
            <w:pPr>
              <w:spacing w:before="0" w:after="0" w:line="240" w:lineRule="auto"/>
              <w:rPr>
                <w:rFonts w:eastAsia="Calibri" w:cs="Arial"/>
                <w:szCs w:val="24"/>
              </w:rPr>
            </w:pPr>
            <w:r w:rsidRPr="008561DA">
              <w:rPr>
                <w:rFonts w:eastAsia="Calibri" w:cs="Arial"/>
                <w:szCs w:val="24"/>
              </w:rPr>
              <w:t>Wars, conflicts and political unrest</w:t>
            </w:r>
            <w:r w:rsidR="00F62BED" w:rsidRPr="008561DA">
              <w:rPr>
                <w:rFonts w:eastAsia="Calibri" w:cs="Arial"/>
                <w:szCs w:val="24"/>
              </w:rPr>
              <w:t xml:space="preserve"> abroad</w:t>
            </w:r>
          </w:p>
        </w:tc>
        <w:tc>
          <w:tcPr>
            <w:tcW w:w="0" w:type="auto"/>
            <w:vAlign w:val="center"/>
          </w:tcPr>
          <w:p w14:paraId="50A1637A"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 xml:space="preserve">Fuel Poverty </w:t>
            </w:r>
          </w:p>
        </w:tc>
        <w:tc>
          <w:tcPr>
            <w:tcW w:w="0" w:type="auto"/>
            <w:vAlign w:val="center"/>
          </w:tcPr>
          <w:p w14:paraId="5A7214D0"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 xml:space="preserve">Ageing Population </w:t>
            </w:r>
          </w:p>
        </w:tc>
        <w:tc>
          <w:tcPr>
            <w:tcW w:w="0" w:type="auto"/>
            <w:vAlign w:val="center"/>
          </w:tcPr>
          <w:p w14:paraId="65955311"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Remote working technologies</w:t>
            </w:r>
          </w:p>
        </w:tc>
        <w:tc>
          <w:tcPr>
            <w:tcW w:w="0" w:type="auto"/>
            <w:vAlign w:val="center"/>
          </w:tcPr>
          <w:p w14:paraId="2CA09569"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Unoccupied and Derelict Buildings</w:t>
            </w:r>
          </w:p>
        </w:tc>
        <w:tc>
          <w:tcPr>
            <w:tcW w:w="0" w:type="auto"/>
            <w:vAlign w:val="center"/>
          </w:tcPr>
          <w:p w14:paraId="279095A4"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Serious Violence Duty Statutory Guidance</w:t>
            </w:r>
          </w:p>
        </w:tc>
        <w:tc>
          <w:tcPr>
            <w:tcW w:w="0" w:type="auto"/>
            <w:vAlign w:val="center"/>
          </w:tcPr>
          <w:p w14:paraId="70C98CC4"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Results from Audits / Inspections</w:t>
            </w:r>
          </w:p>
        </w:tc>
      </w:tr>
      <w:tr w:rsidR="0071416D" w:rsidRPr="008561DA" w14:paraId="1522949F" w14:textId="77777777" w:rsidTr="0095735D">
        <w:tc>
          <w:tcPr>
            <w:tcW w:w="0" w:type="auto"/>
            <w:vAlign w:val="center"/>
          </w:tcPr>
          <w:p w14:paraId="1102444B"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Integrated Review Refresh 2023</w:t>
            </w:r>
          </w:p>
        </w:tc>
        <w:tc>
          <w:tcPr>
            <w:tcW w:w="0" w:type="auto"/>
            <w:vAlign w:val="center"/>
          </w:tcPr>
          <w:p w14:paraId="1F02B74E"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Decline in high street / larger retail sector</w:t>
            </w:r>
          </w:p>
        </w:tc>
        <w:tc>
          <w:tcPr>
            <w:tcW w:w="0" w:type="auto"/>
            <w:vAlign w:val="center"/>
          </w:tcPr>
          <w:p w14:paraId="463EFECE"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Cultural Diversity</w:t>
            </w:r>
          </w:p>
        </w:tc>
        <w:tc>
          <w:tcPr>
            <w:tcW w:w="0" w:type="auto"/>
            <w:vAlign w:val="center"/>
          </w:tcPr>
          <w:p w14:paraId="79C20C02"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Alternatively Fuelled Vehicles (AFV), e-scooters etc</w:t>
            </w:r>
          </w:p>
        </w:tc>
        <w:tc>
          <w:tcPr>
            <w:tcW w:w="0" w:type="auto"/>
            <w:vAlign w:val="center"/>
          </w:tcPr>
          <w:p w14:paraId="2453AD80"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 xml:space="preserve">Increase in incident numbers at waste / scrap / recycling sites </w:t>
            </w:r>
          </w:p>
        </w:tc>
        <w:tc>
          <w:tcPr>
            <w:tcW w:w="0" w:type="auto"/>
            <w:vAlign w:val="center"/>
          </w:tcPr>
          <w:p w14:paraId="3933DC3F"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Fire Safety (England) Regulations 2022</w:t>
            </w:r>
          </w:p>
        </w:tc>
        <w:tc>
          <w:tcPr>
            <w:tcW w:w="0" w:type="auto"/>
            <w:vAlign w:val="center"/>
          </w:tcPr>
          <w:p w14:paraId="15952113" w14:textId="77777777" w:rsidR="0095735D" w:rsidRPr="008561DA" w:rsidRDefault="0095735D" w:rsidP="0095735D">
            <w:pPr>
              <w:spacing w:before="0" w:after="0" w:line="240" w:lineRule="auto"/>
              <w:rPr>
                <w:rFonts w:eastAsia="Calibri" w:cs="Arial"/>
                <w:szCs w:val="24"/>
              </w:rPr>
            </w:pPr>
            <w:r w:rsidRPr="008561DA">
              <w:rPr>
                <w:rFonts w:eastAsia="Calibri" w:cs="Arial"/>
                <w:szCs w:val="24"/>
              </w:rPr>
              <w:t>Ageing workforce: health and wellbeing.</w:t>
            </w:r>
          </w:p>
        </w:tc>
      </w:tr>
      <w:tr w:rsidR="0071416D" w:rsidRPr="008561DA" w14:paraId="3562A71F" w14:textId="77777777" w:rsidTr="0095735D">
        <w:tc>
          <w:tcPr>
            <w:tcW w:w="0" w:type="auto"/>
            <w:shd w:val="clear" w:color="000000" w:fill="FFFFFF"/>
            <w:vAlign w:val="center"/>
          </w:tcPr>
          <w:p w14:paraId="6AAC4C82"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2023 Defence Command Paper</w:t>
            </w:r>
          </w:p>
        </w:tc>
        <w:tc>
          <w:tcPr>
            <w:tcW w:w="0" w:type="auto"/>
            <w:vAlign w:val="center"/>
          </w:tcPr>
          <w:p w14:paraId="6F0012A2" w14:textId="5EAFABAB" w:rsidR="00F62BED" w:rsidRPr="008561DA" w:rsidRDefault="00F62BED" w:rsidP="00F62BED">
            <w:pPr>
              <w:spacing w:before="0" w:after="0" w:line="240" w:lineRule="auto"/>
              <w:rPr>
                <w:rFonts w:eastAsia="Calibri" w:cs="Arial"/>
                <w:szCs w:val="24"/>
              </w:rPr>
            </w:pPr>
            <w:r w:rsidRPr="008561DA">
              <w:rPr>
                <w:rFonts w:eastAsia="Calibri" w:cs="Arial"/>
                <w:szCs w:val="24"/>
              </w:rPr>
              <w:t>Increase in costs and administration associated with changes to pensions</w:t>
            </w:r>
          </w:p>
        </w:tc>
        <w:tc>
          <w:tcPr>
            <w:tcW w:w="0" w:type="auto"/>
            <w:vAlign w:val="center"/>
          </w:tcPr>
          <w:p w14:paraId="70D7B0E8"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Health and Wellbeing - Age Related Illness</w:t>
            </w:r>
          </w:p>
        </w:tc>
        <w:tc>
          <w:tcPr>
            <w:tcW w:w="0" w:type="auto"/>
            <w:vAlign w:val="center"/>
          </w:tcPr>
          <w:p w14:paraId="1DAAAF64" w14:textId="7EDD5FBB" w:rsidR="00F62BED" w:rsidRPr="008561DA" w:rsidRDefault="00F62BED" w:rsidP="00F62BED">
            <w:pPr>
              <w:spacing w:before="0" w:after="0" w:line="240" w:lineRule="auto"/>
              <w:rPr>
                <w:rFonts w:eastAsia="Calibri" w:cs="Arial"/>
                <w:szCs w:val="24"/>
              </w:rPr>
            </w:pPr>
            <w:r w:rsidRPr="008561DA">
              <w:rPr>
                <w:rFonts w:eastAsia="Calibri" w:cs="Arial"/>
                <w:szCs w:val="24"/>
              </w:rPr>
              <w:t>Artificial Intelligence / Robotics / Autonomous Vehicles / Drones</w:t>
            </w:r>
          </w:p>
        </w:tc>
        <w:tc>
          <w:tcPr>
            <w:tcW w:w="0" w:type="auto"/>
            <w:vAlign w:val="center"/>
          </w:tcPr>
          <w:p w14:paraId="38175397" w14:textId="0CEA5679" w:rsidR="00F62BED" w:rsidRPr="008561DA" w:rsidRDefault="00F62BED" w:rsidP="00F62BED">
            <w:pPr>
              <w:spacing w:before="0" w:after="0" w:line="240" w:lineRule="auto"/>
              <w:rPr>
                <w:rFonts w:eastAsia="Calibri" w:cs="Arial"/>
                <w:szCs w:val="24"/>
              </w:rPr>
            </w:pPr>
            <w:r w:rsidRPr="008561DA">
              <w:rPr>
                <w:rFonts w:eastAsia="Calibri" w:cs="Arial"/>
                <w:szCs w:val="24"/>
              </w:rPr>
              <w:t>Reinforced Autoclaved Aerated Concrete</w:t>
            </w:r>
          </w:p>
        </w:tc>
        <w:tc>
          <w:tcPr>
            <w:tcW w:w="0" w:type="auto"/>
            <w:vAlign w:val="center"/>
          </w:tcPr>
          <w:p w14:paraId="71EE8D89"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Firefighters Pensions (Remediable Service) Regulations 2023</w:t>
            </w:r>
          </w:p>
        </w:tc>
        <w:tc>
          <w:tcPr>
            <w:tcW w:w="0" w:type="auto"/>
            <w:vAlign w:val="center"/>
          </w:tcPr>
          <w:p w14:paraId="67B8BE1F" w14:textId="2E9B524F" w:rsidR="00F62BED" w:rsidRPr="008561DA" w:rsidRDefault="00F62BED" w:rsidP="00F62BED">
            <w:pPr>
              <w:spacing w:before="0" w:after="0" w:line="240" w:lineRule="auto"/>
              <w:rPr>
                <w:rFonts w:eastAsia="Calibri" w:cs="Arial"/>
                <w:szCs w:val="24"/>
              </w:rPr>
            </w:pPr>
            <w:r w:rsidRPr="008561DA">
              <w:t xml:space="preserve">Fire and rescue service </w:t>
            </w:r>
            <w:r w:rsidRPr="008561DA">
              <w:rPr>
                <w:rFonts w:eastAsia="Calibri" w:cs="Arial"/>
                <w:szCs w:val="24"/>
              </w:rPr>
              <w:t>workplace culture: risk of misconduct / behaviours at odds with Service Values</w:t>
            </w:r>
          </w:p>
        </w:tc>
      </w:tr>
      <w:tr w:rsidR="0071416D" w:rsidRPr="008561DA" w14:paraId="4217F1FE" w14:textId="77777777" w:rsidTr="0095735D">
        <w:tc>
          <w:tcPr>
            <w:tcW w:w="0" w:type="auto"/>
            <w:vAlign w:val="center"/>
          </w:tcPr>
          <w:p w14:paraId="24B20D68"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Prolonged continuation of the Russia / Ukraine war</w:t>
            </w:r>
          </w:p>
        </w:tc>
        <w:tc>
          <w:tcPr>
            <w:tcW w:w="0" w:type="auto"/>
            <w:vAlign w:val="center"/>
          </w:tcPr>
          <w:p w14:paraId="5DB90AA6" w14:textId="1459ABFF" w:rsidR="00F62BED" w:rsidRPr="008561DA" w:rsidRDefault="00F62BED" w:rsidP="00F62BED">
            <w:pPr>
              <w:spacing w:before="0" w:after="0" w:line="240" w:lineRule="auto"/>
              <w:rPr>
                <w:rFonts w:eastAsia="Calibri" w:cs="Arial"/>
                <w:szCs w:val="24"/>
              </w:rPr>
            </w:pPr>
            <w:r w:rsidRPr="008561DA">
              <w:rPr>
                <w:rFonts w:eastAsia="Calibri" w:cs="Arial"/>
                <w:szCs w:val="24"/>
              </w:rPr>
              <w:t>Future pension liabilities</w:t>
            </w:r>
          </w:p>
        </w:tc>
        <w:tc>
          <w:tcPr>
            <w:tcW w:w="0" w:type="auto"/>
            <w:vAlign w:val="center"/>
          </w:tcPr>
          <w:p w14:paraId="1EDA612B"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Mental health issues, hoarding and homelessness</w:t>
            </w:r>
          </w:p>
        </w:tc>
        <w:tc>
          <w:tcPr>
            <w:tcW w:w="0" w:type="auto"/>
            <w:vAlign w:val="center"/>
          </w:tcPr>
          <w:p w14:paraId="3ACE6073"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Building structures being built using different types of materials</w:t>
            </w:r>
          </w:p>
        </w:tc>
        <w:tc>
          <w:tcPr>
            <w:tcW w:w="0" w:type="auto"/>
            <w:vAlign w:val="center"/>
          </w:tcPr>
          <w:p w14:paraId="1A56ED9A"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Presence of asbestos at emergency incidents and other interventions in buildings, industrial plant etc.</w:t>
            </w:r>
          </w:p>
        </w:tc>
        <w:tc>
          <w:tcPr>
            <w:tcW w:w="0" w:type="auto"/>
            <w:vAlign w:val="center"/>
          </w:tcPr>
          <w:p w14:paraId="13E5EDE9"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New positive duty on all employers to take reasonable steps to prevent sexual harassment of employees</w:t>
            </w:r>
          </w:p>
        </w:tc>
        <w:tc>
          <w:tcPr>
            <w:tcW w:w="0" w:type="auto"/>
            <w:vAlign w:val="center"/>
          </w:tcPr>
          <w:p w14:paraId="76E4C9A0" w14:textId="20416925" w:rsidR="00F62BED" w:rsidRPr="008561DA" w:rsidRDefault="00F62BED" w:rsidP="00F62BED">
            <w:pPr>
              <w:spacing w:before="0" w:after="0" w:line="240" w:lineRule="auto"/>
              <w:rPr>
                <w:rFonts w:eastAsia="Calibri" w:cs="Arial"/>
                <w:szCs w:val="24"/>
              </w:rPr>
            </w:pPr>
            <w:r w:rsidRPr="008561DA">
              <w:rPr>
                <w:rFonts w:eastAsia="Calibri" w:cs="Arial"/>
                <w:szCs w:val="24"/>
              </w:rPr>
              <w:t>Government reliance on Council Tax funding for Fire Services which are a local decision</w:t>
            </w:r>
          </w:p>
        </w:tc>
      </w:tr>
      <w:tr w:rsidR="0071416D" w:rsidRPr="008561DA" w14:paraId="093D1D2A" w14:textId="77777777" w:rsidTr="0095735D">
        <w:tc>
          <w:tcPr>
            <w:tcW w:w="0" w:type="auto"/>
            <w:vAlign w:val="center"/>
          </w:tcPr>
          <w:p w14:paraId="2BAB6249"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UK Government Fire Reform White paper</w:t>
            </w:r>
          </w:p>
        </w:tc>
        <w:tc>
          <w:tcPr>
            <w:tcW w:w="0" w:type="auto"/>
            <w:vAlign w:val="center"/>
          </w:tcPr>
          <w:p w14:paraId="68E64928" w14:textId="748AAC35" w:rsidR="00F62BED" w:rsidRPr="008561DA" w:rsidRDefault="00F62BED" w:rsidP="00F62BED">
            <w:pPr>
              <w:spacing w:before="0" w:after="0" w:line="240" w:lineRule="auto"/>
              <w:rPr>
                <w:rFonts w:eastAsia="Calibri" w:cs="Arial"/>
                <w:szCs w:val="24"/>
              </w:rPr>
            </w:pPr>
            <w:r w:rsidRPr="008561DA">
              <w:rPr>
                <w:rFonts w:eastAsia="Calibri" w:cs="Arial"/>
                <w:szCs w:val="24"/>
              </w:rPr>
              <w:t>Potential changes to the pension tax relief</w:t>
            </w:r>
          </w:p>
        </w:tc>
        <w:tc>
          <w:tcPr>
            <w:tcW w:w="0" w:type="auto"/>
            <w:vAlign w:val="center"/>
          </w:tcPr>
          <w:p w14:paraId="65917E09"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Health and disability</w:t>
            </w:r>
          </w:p>
        </w:tc>
        <w:tc>
          <w:tcPr>
            <w:tcW w:w="0" w:type="auto"/>
            <w:vAlign w:val="center"/>
          </w:tcPr>
          <w:p w14:paraId="199D1ECD"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High energy density rechargeable batteries</w:t>
            </w:r>
          </w:p>
        </w:tc>
        <w:tc>
          <w:tcPr>
            <w:tcW w:w="0" w:type="auto"/>
            <w:vAlign w:val="center"/>
          </w:tcPr>
          <w:p w14:paraId="3BB357CB"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Defective External Wall Systems (Cladding)</w:t>
            </w:r>
          </w:p>
        </w:tc>
        <w:tc>
          <w:tcPr>
            <w:tcW w:w="0" w:type="auto"/>
            <w:vAlign w:val="center"/>
          </w:tcPr>
          <w:p w14:paraId="6A3BDEDC" w14:textId="06C3E7EE" w:rsidR="00F62BED" w:rsidRPr="008561DA" w:rsidRDefault="00F62BED" w:rsidP="00F62BED">
            <w:pPr>
              <w:spacing w:before="0" w:after="0" w:line="240" w:lineRule="auto"/>
              <w:rPr>
                <w:rFonts w:eastAsia="Calibri" w:cs="Arial"/>
                <w:szCs w:val="24"/>
              </w:rPr>
            </w:pPr>
            <w:r w:rsidRPr="008561DA">
              <w:rPr>
                <w:rFonts w:eastAsia="Calibri" w:cs="Arial"/>
                <w:szCs w:val="24"/>
              </w:rPr>
              <w:t xml:space="preserve">The Regulation of Investigatory Powers Act 2000 </w:t>
            </w:r>
          </w:p>
        </w:tc>
        <w:tc>
          <w:tcPr>
            <w:tcW w:w="0" w:type="auto"/>
            <w:vAlign w:val="center"/>
          </w:tcPr>
          <w:p w14:paraId="15E18F24"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Impact of public inquiries e.g. Grenfell, Manchester Arena</w:t>
            </w:r>
          </w:p>
        </w:tc>
      </w:tr>
      <w:tr w:rsidR="0071416D" w:rsidRPr="008561DA" w14:paraId="52D3CB38" w14:textId="77777777" w:rsidTr="0095735D">
        <w:tc>
          <w:tcPr>
            <w:tcW w:w="0" w:type="auto"/>
            <w:shd w:val="clear" w:color="000000" w:fill="FFFFFF"/>
            <w:vAlign w:val="center"/>
          </w:tcPr>
          <w:p w14:paraId="089499DF" w14:textId="30675318" w:rsidR="00F62BED" w:rsidRPr="008561DA" w:rsidRDefault="0071416D" w:rsidP="00F62BED">
            <w:pPr>
              <w:spacing w:before="0" w:after="0" w:line="240" w:lineRule="auto"/>
              <w:rPr>
                <w:rFonts w:eastAsia="Calibri" w:cs="Arial"/>
                <w:szCs w:val="24"/>
              </w:rPr>
            </w:pPr>
            <w:r>
              <w:rPr>
                <w:rFonts w:eastAsia="Calibri" w:cs="Arial"/>
                <w:szCs w:val="24"/>
              </w:rPr>
              <w:lastRenderedPageBreak/>
              <w:t>Community tensions and civil and political unrest in the U</w:t>
            </w:r>
            <w:r w:rsidR="00F62BED" w:rsidRPr="008561DA">
              <w:rPr>
                <w:rFonts w:eastAsia="Calibri" w:cs="Arial"/>
                <w:szCs w:val="24"/>
              </w:rPr>
              <w:t>K</w:t>
            </w:r>
            <w:r>
              <w:rPr>
                <w:rFonts w:eastAsia="Calibri" w:cs="Arial"/>
                <w:szCs w:val="24"/>
              </w:rPr>
              <w:t>.</w:t>
            </w:r>
          </w:p>
        </w:tc>
        <w:tc>
          <w:tcPr>
            <w:tcW w:w="0" w:type="auto"/>
            <w:vAlign w:val="center"/>
          </w:tcPr>
          <w:p w14:paraId="47DFA9AC" w14:textId="0B0BFABF" w:rsidR="00F62BED" w:rsidRPr="008561DA" w:rsidRDefault="00F62BED" w:rsidP="00F62BED">
            <w:pPr>
              <w:spacing w:before="0" w:after="0" w:line="240" w:lineRule="auto"/>
              <w:rPr>
                <w:rFonts w:eastAsia="Calibri" w:cs="Arial"/>
                <w:szCs w:val="24"/>
              </w:rPr>
            </w:pPr>
            <w:r w:rsidRPr="008561DA">
              <w:rPr>
                <w:rFonts w:eastAsia="Calibri" w:cs="Arial"/>
                <w:szCs w:val="24"/>
              </w:rPr>
              <w:t>Rising costs of construction</w:t>
            </w:r>
          </w:p>
        </w:tc>
        <w:tc>
          <w:tcPr>
            <w:tcW w:w="0" w:type="auto"/>
            <w:vAlign w:val="center"/>
          </w:tcPr>
          <w:p w14:paraId="6A7D0505"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Overcrowded housing</w:t>
            </w:r>
          </w:p>
        </w:tc>
        <w:tc>
          <w:tcPr>
            <w:tcW w:w="0" w:type="auto"/>
            <w:vAlign w:val="center"/>
          </w:tcPr>
          <w:p w14:paraId="59369357" w14:textId="77777777" w:rsidR="00F62BED" w:rsidRPr="008561DA" w:rsidRDefault="00F62BED" w:rsidP="00F62BED">
            <w:pPr>
              <w:spacing w:before="0" w:after="0" w:line="240" w:lineRule="auto"/>
              <w:rPr>
                <w:rFonts w:eastAsia="Calibri" w:cs="Arial"/>
                <w:szCs w:val="24"/>
              </w:rPr>
            </w:pPr>
          </w:p>
        </w:tc>
        <w:tc>
          <w:tcPr>
            <w:tcW w:w="0" w:type="auto"/>
            <w:vAlign w:val="center"/>
          </w:tcPr>
          <w:p w14:paraId="1DBF5A7B"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Housing and associated infrastructure development</w:t>
            </w:r>
          </w:p>
        </w:tc>
        <w:tc>
          <w:tcPr>
            <w:tcW w:w="0" w:type="auto"/>
            <w:vAlign w:val="center"/>
          </w:tcPr>
          <w:p w14:paraId="50FEED69"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Failure to comply with equal pay legislative requirements</w:t>
            </w:r>
          </w:p>
        </w:tc>
        <w:tc>
          <w:tcPr>
            <w:tcW w:w="0" w:type="auto"/>
            <w:vAlign w:val="center"/>
          </w:tcPr>
          <w:p w14:paraId="5EE6AEFB"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Fire and Rescue Service Pension Scheme Changes</w:t>
            </w:r>
          </w:p>
        </w:tc>
      </w:tr>
      <w:tr w:rsidR="0071416D" w:rsidRPr="008561DA" w14:paraId="611C3D17" w14:textId="77777777" w:rsidTr="0095735D">
        <w:tc>
          <w:tcPr>
            <w:tcW w:w="0" w:type="auto"/>
            <w:shd w:val="clear" w:color="000000" w:fill="FFFFFF"/>
            <w:vAlign w:val="center"/>
          </w:tcPr>
          <w:p w14:paraId="2227FCBC" w14:textId="18F183C1" w:rsidR="00F62BED" w:rsidRPr="008561DA" w:rsidRDefault="0081064E" w:rsidP="00F62BED">
            <w:pPr>
              <w:spacing w:before="0" w:after="0" w:line="240" w:lineRule="auto"/>
              <w:rPr>
                <w:rFonts w:eastAsia="Calibri" w:cs="Arial"/>
                <w:szCs w:val="24"/>
              </w:rPr>
            </w:pPr>
            <w:r>
              <w:rPr>
                <w:rFonts w:eastAsia="Calibri" w:cs="Arial"/>
                <w:szCs w:val="24"/>
              </w:rPr>
              <w:t>L</w:t>
            </w:r>
            <w:r w:rsidRPr="0081064E">
              <w:rPr>
                <w:rFonts w:eastAsia="Calibri" w:cs="Arial"/>
                <w:szCs w:val="24"/>
              </w:rPr>
              <w:t>ocal government reorganisation</w:t>
            </w:r>
          </w:p>
        </w:tc>
        <w:tc>
          <w:tcPr>
            <w:tcW w:w="0" w:type="auto"/>
            <w:vAlign w:val="center"/>
          </w:tcPr>
          <w:p w14:paraId="73178685" w14:textId="3DAD24F2" w:rsidR="00F62BED" w:rsidRPr="008561DA" w:rsidRDefault="00F62BED" w:rsidP="00F62BED">
            <w:pPr>
              <w:spacing w:before="0" w:after="0" w:line="240" w:lineRule="auto"/>
              <w:rPr>
                <w:rFonts w:eastAsia="Calibri" w:cs="Arial"/>
                <w:szCs w:val="24"/>
              </w:rPr>
            </w:pPr>
            <w:r w:rsidRPr="008561DA">
              <w:rPr>
                <w:rFonts w:eastAsia="Calibri" w:cs="Arial"/>
                <w:szCs w:val="24"/>
              </w:rPr>
              <w:t>USA Tariffs</w:t>
            </w:r>
          </w:p>
        </w:tc>
        <w:tc>
          <w:tcPr>
            <w:tcW w:w="0" w:type="auto"/>
            <w:vAlign w:val="center"/>
          </w:tcPr>
          <w:p w14:paraId="68908E6E"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Communal establishments</w:t>
            </w:r>
          </w:p>
        </w:tc>
        <w:tc>
          <w:tcPr>
            <w:tcW w:w="0" w:type="auto"/>
            <w:vAlign w:val="center"/>
          </w:tcPr>
          <w:p w14:paraId="0CB50461" w14:textId="77777777" w:rsidR="00F62BED" w:rsidRPr="008561DA" w:rsidRDefault="00F62BED" w:rsidP="00F62BED">
            <w:pPr>
              <w:spacing w:before="0" w:after="0" w:line="240" w:lineRule="auto"/>
              <w:rPr>
                <w:rFonts w:eastAsia="Calibri" w:cs="Arial"/>
                <w:szCs w:val="24"/>
              </w:rPr>
            </w:pPr>
          </w:p>
        </w:tc>
        <w:tc>
          <w:tcPr>
            <w:tcW w:w="0" w:type="auto"/>
            <w:vAlign w:val="center"/>
          </w:tcPr>
          <w:p w14:paraId="1775BEBA" w14:textId="77777777" w:rsidR="00F62BED" w:rsidRPr="008561DA" w:rsidRDefault="00F62BED" w:rsidP="00F62BED">
            <w:pPr>
              <w:spacing w:before="0" w:after="0" w:line="240" w:lineRule="auto"/>
              <w:rPr>
                <w:rFonts w:eastAsia="Calibri" w:cs="Arial"/>
                <w:szCs w:val="24"/>
              </w:rPr>
            </w:pPr>
          </w:p>
        </w:tc>
        <w:tc>
          <w:tcPr>
            <w:tcW w:w="0" w:type="auto"/>
            <w:vAlign w:val="center"/>
          </w:tcPr>
          <w:p w14:paraId="1B22B5F9" w14:textId="012244E3" w:rsidR="00F62BED" w:rsidRPr="008561DA" w:rsidRDefault="00F62BED" w:rsidP="00F62BED">
            <w:pPr>
              <w:spacing w:before="0" w:after="0" w:line="240" w:lineRule="auto"/>
              <w:rPr>
                <w:rFonts w:eastAsia="Calibri" w:cs="Arial"/>
                <w:szCs w:val="24"/>
              </w:rPr>
            </w:pPr>
            <w:r w:rsidRPr="008561DA">
              <w:rPr>
                <w:rFonts w:eastAsia="Calibri" w:cs="Arial"/>
                <w:szCs w:val="24"/>
              </w:rPr>
              <w:t>Data sharing and Freedom of Information/ General Data Protection Regulations (GDPR) legislation challenges</w:t>
            </w:r>
          </w:p>
        </w:tc>
        <w:tc>
          <w:tcPr>
            <w:tcW w:w="0" w:type="auto"/>
            <w:vAlign w:val="center"/>
          </w:tcPr>
          <w:p w14:paraId="1DABC11D" w14:textId="53D6775A" w:rsidR="00F62BED" w:rsidRPr="008561DA" w:rsidRDefault="00F62BED" w:rsidP="00F62BED">
            <w:pPr>
              <w:spacing w:before="0" w:after="0" w:line="240" w:lineRule="auto"/>
              <w:rPr>
                <w:rFonts w:eastAsia="Calibri" w:cs="Arial"/>
                <w:szCs w:val="24"/>
              </w:rPr>
            </w:pPr>
            <w:r w:rsidRPr="008561DA">
              <w:rPr>
                <w:rFonts w:eastAsia="Calibri" w:cs="Arial"/>
                <w:szCs w:val="24"/>
              </w:rPr>
              <w:t>Maintaining cadres of specialist skills: National Inter-Agency Liaison Officer (NILO), Tac-Ads, etc.</w:t>
            </w:r>
          </w:p>
        </w:tc>
      </w:tr>
      <w:tr w:rsidR="0071416D" w:rsidRPr="008561DA" w14:paraId="63A6A921" w14:textId="77777777" w:rsidTr="0095735D">
        <w:tc>
          <w:tcPr>
            <w:tcW w:w="0" w:type="auto"/>
            <w:shd w:val="clear" w:color="000000" w:fill="FFFFFF"/>
            <w:vAlign w:val="center"/>
          </w:tcPr>
          <w:p w14:paraId="1360871B" w14:textId="77777777" w:rsidR="00F62BED" w:rsidRPr="008561DA" w:rsidRDefault="00F62BED" w:rsidP="00F62BED">
            <w:pPr>
              <w:spacing w:before="0" w:after="0" w:line="240" w:lineRule="auto"/>
              <w:rPr>
                <w:rFonts w:eastAsia="Calibri" w:cs="Arial"/>
                <w:szCs w:val="24"/>
              </w:rPr>
            </w:pPr>
          </w:p>
        </w:tc>
        <w:tc>
          <w:tcPr>
            <w:tcW w:w="0" w:type="auto"/>
            <w:vAlign w:val="center"/>
          </w:tcPr>
          <w:p w14:paraId="792BD1ED" w14:textId="77777777" w:rsidR="00F62BED" w:rsidRPr="008561DA" w:rsidRDefault="00F62BED" w:rsidP="00F62BED">
            <w:pPr>
              <w:spacing w:before="0" w:after="0" w:line="240" w:lineRule="auto"/>
              <w:rPr>
                <w:rFonts w:eastAsia="Calibri" w:cs="Arial"/>
                <w:szCs w:val="24"/>
              </w:rPr>
            </w:pPr>
          </w:p>
        </w:tc>
        <w:tc>
          <w:tcPr>
            <w:tcW w:w="0" w:type="auto"/>
            <w:vAlign w:val="center"/>
          </w:tcPr>
          <w:p w14:paraId="21215701"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Fly-tipping.</w:t>
            </w:r>
          </w:p>
        </w:tc>
        <w:tc>
          <w:tcPr>
            <w:tcW w:w="0" w:type="auto"/>
            <w:vAlign w:val="center"/>
          </w:tcPr>
          <w:p w14:paraId="1713760A" w14:textId="77777777" w:rsidR="00F62BED" w:rsidRPr="008561DA" w:rsidRDefault="00F62BED" w:rsidP="00F62BED">
            <w:pPr>
              <w:spacing w:before="0" w:after="0" w:line="240" w:lineRule="auto"/>
              <w:rPr>
                <w:rFonts w:eastAsia="Calibri" w:cs="Arial"/>
                <w:szCs w:val="24"/>
              </w:rPr>
            </w:pPr>
          </w:p>
        </w:tc>
        <w:tc>
          <w:tcPr>
            <w:tcW w:w="0" w:type="auto"/>
            <w:vAlign w:val="center"/>
          </w:tcPr>
          <w:p w14:paraId="60A42BB5" w14:textId="77777777" w:rsidR="00F62BED" w:rsidRPr="008561DA" w:rsidRDefault="00F62BED" w:rsidP="00F62BED">
            <w:pPr>
              <w:spacing w:before="0" w:after="0" w:line="240" w:lineRule="auto"/>
              <w:rPr>
                <w:rFonts w:eastAsia="Calibri" w:cs="Arial"/>
                <w:szCs w:val="24"/>
              </w:rPr>
            </w:pPr>
          </w:p>
        </w:tc>
        <w:tc>
          <w:tcPr>
            <w:tcW w:w="0" w:type="auto"/>
            <w:vAlign w:val="center"/>
          </w:tcPr>
          <w:p w14:paraId="152DA2F0"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Changes in Environmental Legislation and Health and Safety Legislation</w:t>
            </w:r>
          </w:p>
        </w:tc>
        <w:tc>
          <w:tcPr>
            <w:tcW w:w="0" w:type="auto"/>
            <w:vAlign w:val="center"/>
          </w:tcPr>
          <w:p w14:paraId="12D07F0C"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Risk that Service funding over the medium term is insufficient</w:t>
            </w:r>
          </w:p>
        </w:tc>
      </w:tr>
      <w:tr w:rsidR="0071416D" w:rsidRPr="008561DA" w14:paraId="381D2407" w14:textId="77777777" w:rsidTr="0095735D">
        <w:tc>
          <w:tcPr>
            <w:tcW w:w="0" w:type="auto"/>
            <w:shd w:val="clear" w:color="000000" w:fill="FFFFFF"/>
            <w:vAlign w:val="center"/>
          </w:tcPr>
          <w:p w14:paraId="0BB3328E" w14:textId="77777777" w:rsidR="00F62BED" w:rsidRPr="008561DA" w:rsidRDefault="00F62BED" w:rsidP="00F62BED">
            <w:pPr>
              <w:spacing w:before="0" w:after="0" w:line="240" w:lineRule="auto"/>
              <w:rPr>
                <w:rFonts w:eastAsia="Calibri" w:cs="Arial"/>
                <w:szCs w:val="24"/>
              </w:rPr>
            </w:pPr>
          </w:p>
        </w:tc>
        <w:tc>
          <w:tcPr>
            <w:tcW w:w="0" w:type="auto"/>
            <w:vAlign w:val="center"/>
          </w:tcPr>
          <w:p w14:paraId="74A723B6" w14:textId="77777777" w:rsidR="00F62BED" w:rsidRPr="008561DA" w:rsidRDefault="00F62BED" w:rsidP="00F62BED">
            <w:pPr>
              <w:spacing w:before="0" w:after="0" w:line="240" w:lineRule="auto"/>
              <w:rPr>
                <w:rFonts w:eastAsia="Calibri" w:cs="Arial"/>
                <w:szCs w:val="24"/>
              </w:rPr>
            </w:pPr>
          </w:p>
        </w:tc>
        <w:tc>
          <w:tcPr>
            <w:tcW w:w="0" w:type="auto"/>
            <w:vAlign w:val="center"/>
          </w:tcPr>
          <w:p w14:paraId="4B11EAD0" w14:textId="77777777" w:rsidR="00F62BED" w:rsidRPr="008561DA" w:rsidRDefault="00F62BED" w:rsidP="00F62BED">
            <w:pPr>
              <w:spacing w:before="0" w:after="0" w:line="240" w:lineRule="auto"/>
              <w:rPr>
                <w:rFonts w:eastAsia="Calibri" w:cs="Arial"/>
                <w:szCs w:val="24"/>
              </w:rPr>
            </w:pPr>
          </w:p>
        </w:tc>
        <w:tc>
          <w:tcPr>
            <w:tcW w:w="0" w:type="auto"/>
            <w:vAlign w:val="center"/>
          </w:tcPr>
          <w:p w14:paraId="096A0468" w14:textId="77777777" w:rsidR="00F62BED" w:rsidRPr="008561DA" w:rsidRDefault="00F62BED" w:rsidP="00F62BED">
            <w:pPr>
              <w:spacing w:before="0" w:after="0" w:line="240" w:lineRule="auto"/>
              <w:rPr>
                <w:rFonts w:eastAsia="Calibri" w:cs="Arial"/>
                <w:szCs w:val="24"/>
              </w:rPr>
            </w:pPr>
          </w:p>
        </w:tc>
        <w:tc>
          <w:tcPr>
            <w:tcW w:w="0" w:type="auto"/>
            <w:vAlign w:val="center"/>
          </w:tcPr>
          <w:p w14:paraId="4337D143" w14:textId="77777777" w:rsidR="00F62BED" w:rsidRPr="008561DA" w:rsidRDefault="00F62BED" w:rsidP="00F62BED">
            <w:pPr>
              <w:spacing w:before="0" w:after="0" w:line="240" w:lineRule="auto"/>
              <w:rPr>
                <w:rFonts w:eastAsia="Calibri" w:cs="Arial"/>
                <w:szCs w:val="24"/>
              </w:rPr>
            </w:pPr>
          </w:p>
        </w:tc>
        <w:tc>
          <w:tcPr>
            <w:tcW w:w="0" w:type="auto"/>
            <w:vAlign w:val="center"/>
          </w:tcPr>
          <w:p w14:paraId="4F63DC1E"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Procurement Act 2023</w:t>
            </w:r>
          </w:p>
        </w:tc>
        <w:tc>
          <w:tcPr>
            <w:tcW w:w="0" w:type="auto"/>
            <w:vAlign w:val="center"/>
          </w:tcPr>
          <w:p w14:paraId="45005080" w14:textId="4AB7A5FE" w:rsidR="00F62BED" w:rsidRPr="008561DA" w:rsidRDefault="00F62BED" w:rsidP="00F62BED">
            <w:pPr>
              <w:spacing w:before="0" w:after="0" w:line="240" w:lineRule="auto"/>
              <w:rPr>
                <w:rFonts w:eastAsia="Calibri" w:cs="Arial"/>
                <w:szCs w:val="24"/>
              </w:rPr>
            </w:pPr>
            <w:r w:rsidRPr="008561DA">
              <w:rPr>
                <w:rFonts w:eastAsia="Calibri" w:cs="Arial"/>
                <w:szCs w:val="24"/>
              </w:rPr>
              <w:t>Future of Northwest Fire Control.</w:t>
            </w:r>
          </w:p>
        </w:tc>
      </w:tr>
      <w:tr w:rsidR="0071416D" w:rsidRPr="008561DA" w14:paraId="1CBE6379" w14:textId="77777777" w:rsidTr="0095735D">
        <w:tc>
          <w:tcPr>
            <w:tcW w:w="0" w:type="auto"/>
            <w:shd w:val="clear" w:color="000000" w:fill="FFFFFF"/>
            <w:vAlign w:val="center"/>
          </w:tcPr>
          <w:p w14:paraId="50FBFF1A" w14:textId="77777777" w:rsidR="00F62BED" w:rsidRPr="008561DA" w:rsidRDefault="00F62BED" w:rsidP="00F62BED">
            <w:pPr>
              <w:spacing w:before="0" w:after="0" w:line="240" w:lineRule="auto"/>
              <w:rPr>
                <w:rFonts w:eastAsia="Calibri" w:cs="Arial"/>
                <w:szCs w:val="24"/>
              </w:rPr>
            </w:pPr>
          </w:p>
        </w:tc>
        <w:tc>
          <w:tcPr>
            <w:tcW w:w="0" w:type="auto"/>
            <w:vAlign w:val="center"/>
          </w:tcPr>
          <w:p w14:paraId="6E766B20" w14:textId="77777777" w:rsidR="00F62BED" w:rsidRPr="008561DA" w:rsidRDefault="00F62BED" w:rsidP="00F62BED">
            <w:pPr>
              <w:spacing w:before="0" w:after="0" w:line="240" w:lineRule="auto"/>
              <w:rPr>
                <w:rFonts w:eastAsia="Calibri" w:cs="Arial"/>
                <w:szCs w:val="24"/>
              </w:rPr>
            </w:pPr>
          </w:p>
        </w:tc>
        <w:tc>
          <w:tcPr>
            <w:tcW w:w="0" w:type="auto"/>
            <w:vAlign w:val="center"/>
          </w:tcPr>
          <w:p w14:paraId="4FF88CEE" w14:textId="77777777" w:rsidR="00F62BED" w:rsidRPr="008561DA" w:rsidRDefault="00F62BED" w:rsidP="00F62BED">
            <w:pPr>
              <w:spacing w:before="0" w:after="0" w:line="240" w:lineRule="auto"/>
              <w:rPr>
                <w:rFonts w:eastAsia="Calibri" w:cs="Arial"/>
                <w:szCs w:val="24"/>
              </w:rPr>
            </w:pPr>
          </w:p>
        </w:tc>
        <w:tc>
          <w:tcPr>
            <w:tcW w:w="0" w:type="auto"/>
            <w:vAlign w:val="center"/>
          </w:tcPr>
          <w:p w14:paraId="0D436C4B" w14:textId="77777777" w:rsidR="00F62BED" w:rsidRPr="008561DA" w:rsidRDefault="00F62BED" w:rsidP="00F62BED">
            <w:pPr>
              <w:spacing w:before="0" w:after="0" w:line="240" w:lineRule="auto"/>
              <w:rPr>
                <w:rFonts w:eastAsia="Calibri" w:cs="Arial"/>
                <w:szCs w:val="24"/>
              </w:rPr>
            </w:pPr>
          </w:p>
        </w:tc>
        <w:tc>
          <w:tcPr>
            <w:tcW w:w="0" w:type="auto"/>
            <w:vAlign w:val="center"/>
          </w:tcPr>
          <w:p w14:paraId="6E9E26F3" w14:textId="77777777" w:rsidR="00F62BED" w:rsidRPr="008561DA" w:rsidRDefault="00F62BED" w:rsidP="00F62BED">
            <w:pPr>
              <w:spacing w:before="0" w:after="0" w:line="240" w:lineRule="auto"/>
              <w:rPr>
                <w:rFonts w:eastAsia="Calibri" w:cs="Arial"/>
                <w:szCs w:val="24"/>
              </w:rPr>
            </w:pPr>
          </w:p>
        </w:tc>
        <w:tc>
          <w:tcPr>
            <w:tcW w:w="0" w:type="auto"/>
            <w:vAlign w:val="center"/>
          </w:tcPr>
          <w:p w14:paraId="444930D6"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Fire Safety Act 2021</w:t>
            </w:r>
          </w:p>
        </w:tc>
        <w:tc>
          <w:tcPr>
            <w:tcW w:w="0" w:type="auto"/>
            <w:vAlign w:val="center"/>
          </w:tcPr>
          <w:p w14:paraId="46E3659F"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New Fire Fighting techniques</w:t>
            </w:r>
          </w:p>
        </w:tc>
      </w:tr>
      <w:tr w:rsidR="0071416D" w:rsidRPr="008561DA" w14:paraId="48FCF606" w14:textId="77777777" w:rsidTr="0095735D">
        <w:tc>
          <w:tcPr>
            <w:tcW w:w="0" w:type="auto"/>
            <w:shd w:val="clear" w:color="000000" w:fill="FFFFFF"/>
            <w:vAlign w:val="center"/>
          </w:tcPr>
          <w:p w14:paraId="4EFAE336" w14:textId="77777777" w:rsidR="00F62BED" w:rsidRPr="008561DA" w:rsidRDefault="00F62BED" w:rsidP="00F62BED">
            <w:pPr>
              <w:spacing w:before="0" w:after="0" w:line="240" w:lineRule="auto"/>
              <w:rPr>
                <w:rFonts w:eastAsia="Calibri" w:cs="Arial"/>
                <w:szCs w:val="24"/>
              </w:rPr>
            </w:pPr>
          </w:p>
        </w:tc>
        <w:tc>
          <w:tcPr>
            <w:tcW w:w="0" w:type="auto"/>
            <w:vAlign w:val="center"/>
          </w:tcPr>
          <w:p w14:paraId="09EB68AF" w14:textId="77777777" w:rsidR="00F62BED" w:rsidRPr="008561DA" w:rsidRDefault="00F62BED" w:rsidP="00F62BED">
            <w:pPr>
              <w:spacing w:before="0" w:after="0" w:line="240" w:lineRule="auto"/>
              <w:rPr>
                <w:rFonts w:eastAsia="Calibri" w:cs="Arial"/>
                <w:szCs w:val="24"/>
              </w:rPr>
            </w:pPr>
          </w:p>
        </w:tc>
        <w:tc>
          <w:tcPr>
            <w:tcW w:w="0" w:type="auto"/>
            <w:vAlign w:val="center"/>
          </w:tcPr>
          <w:p w14:paraId="271BC1CA" w14:textId="77777777" w:rsidR="00F62BED" w:rsidRPr="008561DA" w:rsidRDefault="00F62BED" w:rsidP="00F62BED">
            <w:pPr>
              <w:spacing w:before="0" w:after="0" w:line="240" w:lineRule="auto"/>
              <w:rPr>
                <w:rFonts w:eastAsia="Calibri" w:cs="Arial"/>
                <w:szCs w:val="24"/>
              </w:rPr>
            </w:pPr>
          </w:p>
        </w:tc>
        <w:tc>
          <w:tcPr>
            <w:tcW w:w="0" w:type="auto"/>
            <w:vAlign w:val="center"/>
          </w:tcPr>
          <w:p w14:paraId="6EE62F68" w14:textId="77777777" w:rsidR="00F62BED" w:rsidRPr="008561DA" w:rsidRDefault="00F62BED" w:rsidP="00F62BED">
            <w:pPr>
              <w:spacing w:before="0" w:after="0" w:line="240" w:lineRule="auto"/>
              <w:rPr>
                <w:rFonts w:eastAsia="Calibri" w:cs="Arial"/>
                <w:szCs w:val="24"/>
              </w:rPr>
            </w:pPr>
          </w:p>
        </w:tc>
        <w:tc>
          <w:tcPr>
            <w:tcW w:w="0" w:type="auto"/>
            <w:vAlign w:val="center"/>
          </w:tcPr>
          <w:p w14:paraId="0FB59E7F" w14:textId="77777777" w:rsidR="00F62BED" w:rsidRPr="008561DA" w:rsidRDefault="00F62BED" w:rsidP="00F62BED">
            <w:pPr>
              <w:spacing w:before="0" w:after="0" w:line="240" w:lineRule="auto"/>
              <w:rPr>
                <w:rFonts w:eastAsia="Calibri" w:cs="Arial"/>
                <w:szCs w:val="24"/>
              </w:rPr>
            </w:pPr>
          </w:p>
        </w:tc>
        <w:tc>
          <w:tcPr>
            <w:tcW w:w="0" w:type="auto"/>
            <w:vAlign w:val="center"/>
          </w:tcPr>
          <w:p w14:paraId="458E2F66" w14:textId="77777777" w:rsidR="00F62BED" w:rsidRPr="008561DA" w:rsidRDefault="00F62BED" w:rsidP="00F62BED">
            <w:pPr>
              <w:spacing w:before="0" w:after="0" w:line="240" w:lineRule="auto"/>
              <w:rPr>
                <w:rFonts w:eastAsia="Calibri" w:cs="Arial"/>
                <w:szCs w:val="24"/>
              </w:rPr>
            </w:pPr>
            <w:r w:rsidRPr="008561DA">
              <w:rPr>
                <w:rFonts w:eastAsia="Calibri" w:cs="Arial"/>
                <w:szCs w:val="24"/>
              </w:rPr>
              <w:t>Building Safety Act (2022)</w:t>
            </w:r>
          </w:p>
        </w:tc>
        <w:tc>
          <w:tcPr>
            <w:tcW w:w="0" w:type="auto"/>
            <w:vAlign w:val="center"/>
          </w:tcPr>
          <w:p w14:paraId="7ABD3DE8" w14:textId="7959FAC6" w:rsidR="00F62BED" w:rsidRPr="008561DA" w:rsidRDefault="00F62BED" w:rsidP="00F62BED">
            <w:pPr>
              <w:spacing w:before="0" w:after="0" w:line="240" w:lineRule="auto"/>
              <w:rPr>
                <w:rFonts w:eastAsia="Calibri" w:cs="Arial"/>
                <w:szCs w:val="24"/>
              </w:rPr>
            </w:pPr>
            <w:r w:rsidRPr="008561DA">
              <w:rPr>
                <w:rFonts w:eastAsia="Calibri" w:cs="Arial"/>
                <w:szCs w:val="24"/>
              </w:rPr>
              <w:t>Strategic Partnership Opportunities/ Collaboration</w:t>
            </w:r>
          </w:p>
        </w:tc>
      </w:tr>
      <w:tr w:rsidR="0071416D" w:rsidRPr="008561DA" w14:paraId="644D2B2C" w14:textId="77777777" w:rsidTr="0095735D">
        <w:tc>
          <w:tcPr>
            <w:tcW w:w="0" w:type="auto"/>
            <w:shd w:val="clear" w:color="000000" w:fill="FFFFFF"/>
            <w:vAlign w:val="center"/>
          </w:tcPr>
          <w:p w14:paraId="2B77310D" w14:textId="77777777" w:rsidR="00F62BED" w:rsidRPr="008561DA" w:rsidRDefault="00F62BED" w:rsidP="00F62BED">
            <w:pPr>
              <w:spacing w:before="0" w:after="0" w:line="240" w:lineRule="auto"/>
              <w:rPr>
                <w:rFonts w:eastAsia="Calibri" w:cs="Arial"/>
                <w:szCs w:val="24"/>
              </w:rPr>
            </w:pPr>
          </w:p>
        </w:tc>
        <w:tc>
          <w:tcPr>
            <w:tcW w:w="0" w:type="auto"/>
            <w:vAlign w:val="center"/>
          </w:tcPr>
          <w:p w14:paraId="16A196A4" w14:textId="77777777" w:rsidR="00F62BED" w:rsidRPr="008561DA" w:rsidRDefault="00F62BED" w:rsidP="00F62BED">
            <w:pPr>
              <w:spacing w:before="0" w:after="0" w:line="240" w:lineRule="auto"/>
              <w:rPr>
                <w:rFonts w:eastAsia="Calibri" w:cs="Arial"/>
                <w:szCs w:val="24"/>
              </w:rPr>
            </w:pPr>
          </w:p>
        </w:tc>
        <w:tc>
          <w:tcPr>
            <w:tcW w:w="0" w:type="auto"/>
            <w:vAlign w:val="center"/>
          </w:tcPr>
          <w:p w14:paraId="501CE007" w14:textId="77777777" w:rsidR="00F62BED" w:rsidRPr="008561DA" w:rsidRDefault="00F62BED" w:rsidP="00F62BED">
            <w:pPr>
              <w:spacing w:before="0" w:after="0" w:line="240" w:lineRule="auto"/>
              <w:rPr>
                <w:rFonts w:eastAsia="Calibri" w:cs="Arial"/>
                <w:szCs w:val="24"/>
              </w:rPr>
            </w:pPr>
          </w:p>
        </w:tc>
        <w:tc>
          <w:tcPr>
            <w:tcW w:w="0" w:type="auto"/>
            <w:vAlign w:val="center"/>
          </w:tcPr>
          <w:p w14:paraId="7ECB4D32" w14:textId="77777777" w:rsidR="00F62BED" w:rsidRPr="008561DA" w:rsidRDefault="00F62BED" w:rsidP="00F62BED">
            <w:pPr>
              <w:spacing w:before="0" w:after="0" w:line="240" w:lineRule="auto"/>
              <w:rPr>
                <w:rFonts w:eastAsia="Calibri" w:cs="Arial"/>
                <w:szCs w:val="24"/>
              </w:rPr>
            </w:pPr>
          </w:p>
        </w:tc>
        <w:tc>
          <w:tcPr>
            <w:tcW w:w="0" w:type="auto"/>
            <w:vAlign w:val="center"/>
          </w:tcPr>
          <w:p w14:paraId="585D8381" w14:textId="77777777" w:rsidR="00F62BED" w:rsidRPr="008561DA" w:rsidRDefault="00F62BED" w:rsidP="00F62BED">
            <w:pPr>
              <w:spacing w:before="0" w:after="0" w:line="240" w:lineRule="auto"/>
              <w:rPr>
                <w:rFonts w:eastAsia="Calibri" w:cs="Arial"/>
                <w:szCs w:val="24"/>
              </w:rPr>
            </w:pPr>
          </w:p>
        </w:tc>
        <w:tc>
          <w:tcPr>
            <w:tcW w:w="0" w:type="auto"/>
            <w:vAlign w:val="center"/>
          </w:tcPr>
          <w:p w14:paraId="168ACDF3" w14:textId="0FC57CFA" w:rsidR="00F62BED" w:rsidRPr="008561DA" w:rsidRDefault="00F62BED" w:rsidP="00F62BED">
            <w:pPr>
              <w:spacing w:before="0" w:after="0" w:line="240" w:lineRule="auto"/>
              <w:rPr>
                <w:rFonts w:eastAsia="Calibri" w:cs="Arial"/>
                <w:szCs w:val="24"/>
              </w:rPr>
            </w:pPr>
            <w:r w:rsidRPr="008561DA">
              <w:rPr>
                <w:rFonts w:eastAsia="Calibri" w:cs="Arial"/>
                <w:szCs w:val="24"/>
              </w:rPr>
              <w:t xml:space="preserve">Hillsborough Law - legal duty of candour </w:t>
            </w:r>
          </w:p>
        </w:tc>
        <w:tc>
          <w:tcPr>
            <w:tcW w:w="0" w:type="auto"/>
            <w:vAlign w:val="center"/>
          </w:tcPr>
          <w:p w14:paraId="660B8DD6" w14:textId="77777777" w:rsidR="00F62BED" w:rsidRPr="008561DA" w:rsidRDefault="00F62BED" w:rsidP="00F62BED">
            <w:pPr>
              <w:spacing w:before="0" w:after="0" w:line="240" w:lineRule="auto"/>
              <w:rPr>
                <w:rFonts w:eastAsia="Calibri" w:cs="Arial"/>
                <w:szCs w:val="24"/>
              </w:rPr>
            </w:pPr>
          </w:p>
        </w:tc>
      </w:tr>
      <w:tr w:rsidR="0071416D" w:rsidRPr="0095735D" w14:paraId="69908EE1" w14:textId="77777777" w:rsidTr="0095735D">
        <w:tc>
          <w:tcPr>
            <w:tcW w:w="0" w:type="auto"/>
            <w:shd w:val="clear" w:color="000000" w:fill="FFFFFF"/>
            <w:vAlign w:val="center"/>
          </w:tcPr>
          <w:p w14:paraId="543CDBBB" w14:textId="77777777" w:rsidR="008561DA" w:rsidRPr="008561DA" w:rsidRDefault="008561DA" w:rsidP="00F62BED">
            <w:pPr>
              <w:spacing w:before="0" w:after="0" w:line="240" w:lineRule="auto"/>
              <w:rPr>
                <w:rFonts w:eastAsia="Calibri" w:cs="Arial"/>
                <w:szCs w:val="24"/>
              </w:rPr>
            </w:pPr>
          </w:p>
        </w:tc>
        <w:tc>
          <w:tcPr>
            <w:tcW w:w="0" w:type="auto"/>
            <w:vAlign w:val="center"/>
          </w:tcPr>
          <w:p w14:paraId="3DC67AD6" w14:textId="77777777" w:rsidR="008561DA" w:rsidRPr="008561DA" w:rsidRDefault="008561DA" w:rsidP="00F62BED">
            <w:pPr>
              <w:spacing w:before="0" w:after="0" w:line="240" w:lineRule="auto"/>
              <w:rPr>
                <w:rFonts w:eastAsia="Calibri" w:cs="Arial"/>
                <w:szCs w:val="24"/>
              </w:rPr>
            </w:pPr>
          </w:p>
        </w:tc>
        <w:tc>
          <w:tcPr>
            <w:tcW w:w="0" w:type="auto"/>
            <w:vAlign w:val="center"/>
          </w:tcPr>
          <w:p w14:paraId="02633EC9" w14:textId="77777777" w:rsidR="008561DA" w:rsidRPr="008561DA" w:rsidRDefault="008561DA" w:rsidP="00F62BED">
            <w:pPr>
              <w:spacing w:before="0" w:after="0" w:line="240" w:lineRule="auto"/>
              <w:rPr>
                <w:rFonts w:eastAsia="Calibri" w:cs="Arial"/>
                <w:szCs w:val="24"/>
              </w:rPr>
            </w:pPr>
          </w:p>
        </w:tc>
        <w:tc>
          <w:tcPr>
            <w:tcW w:w="0" w:type="auto"/>
            <w:vAlign w:val="center"/>
          </w:tcPr>
          <w:p w14:paraId="346C4CBC" w14:textId="77777777" w:rsidR="008561DA" w:rsidRPr="008561DA" w:rsidRDefault="008561DA" w:rsidP="00F62BED">
            <w:pPr>
              <w:spacing w:before="0" w:after="0" w:line="240" w:lineRule="auto"/>
              <w:rPr>
                <w:rFonts w:eastAsia="Calibri" w:cs="Arial"/>
                <w:szCs w:val="24"/>
              </w:rPr>
            </w:pPr>
          </w:p>
        </w:tc>
        <w:tc>
          <w:tcPr>
            <w:tcW w:w="0" w:type="auto"/>
            <w:vAlign w:val="center"/>
          </w:tcPr>
          <w:p w14:paraId="39C8861E" w14:textId="77777777" w:rsidR="008561DA" w:rsidRPr="008561DA" w:rsidRDefault="008561DA" w:rsidP="00F62BED">
            <w:pPr>
              <w:spacing w:before="0" w:after="0" w:line="240" w:lineRule="auto"/>
              <w:rPr>
                <w:rFonts w:eastAsia="Calibri" w:cs="Arial"/>
                <w:szCs w:val="24"/>
              </w:rPr>
            </w:pPr>
          </w:p>
        </w:tc>
        <w:tc>
          <w:tcPr>
            <w:tcW w:w="0" w:type="auto"/>
            <w:vAlign w:val="center"/>
          </w:tcPr>
          <w:p w14:paraId="5CCDF1C2" w14:textId="77724AAD" w:rsidR="008561DA" w:rsidRPr="008561DA" w:rsidRDefault="008561DA" w:rsidP="00F62BED">
            <w:pPr>
              <w:spacing w:before="0" w:after="0" w:line="240" w:lineRule="auto"/>
              <w:rPr>
                <w:rFonts w:eastAsia="Calibri" w:cs="Arial"/>
                <w:szCs w:val="24"/>
              </w:rPr>
            </w:pPr>
            <w:r w:rsidRPr="008561DA">
              <w:rPr>
                <w:rFonts w:eastAsia="Calibri" w:cs="Arial"/>
                <w:szCs w:val="24"/>
              </w:rPr>
              <w:t>Terrorism (Protection of Premises) Act 2025</w:t>
            </w:r>
          </w:p>
        </w:tc>
        <w:tc>
          <w:tcPr>
            <w:tcW w:w="0" w:type="auto"/>
            <w:vAlign w:val="center"/>
          </w:tcPr>
          <w:p w14:paraId="63C0768B" w14:textId="77777777" w:rsidR="008561DA" w:rsidRPr="0095735D" w:rsidRDefault="008561DA" w:rsidP="00F62BED">
            <w:pPr>
              <w:spacing w:before="0" w:after="0" w:line="240" w:lineRule="auto"/>
              <w:rPr>
                <w:rFonts w:eastAsia="Calibri" w:cs="Arial"/>
                <w:szCs w:val="24"/>
              </w:rPr>
            </w:pPr>
          </w:p>
        </w:tc>
      </w:tr>
      <w:tr w:rsidR="0081064E" w:rsidRPr="0095735D" w14:paraId="0F90BE28" w14:textId="77777777" w:rsidTr="0095735D">
        <w:tc>
          <w:tcPr>
            <w:tcW w:w="0" w:type="auto"/>
            <w:shd w:val="clear" w:color="000000" w:fill="FFFFFF"/>
            <w:vAlign w:val="center"/>
          </w:tcPr>
          <w:p w14:paraId="51E46152" w14:textId="77777777" w:rsidR="0081064E" w:rsidRPr="008561DA" w:rsidRDefault="0081064E" w:rsidP="00F62BED">
            <w:pPr>
              <w:spacing w:before="0" w:after="0" w:line="240" w:lineRule="auto"/>
              <w:rPr>
                <w:rFonts w:eastAsia="Calibri" w:cs="Arial"/>
                <w:szCs w:val="24"/>
              </w:rPr>
            </w:pPr>
          </w:p>
        </w:tc>
        <w:tc>
          <w:tcPr>
            <w:tcW w:w="0" w:type="auto"/>
            <w:vAlign w:val="center"/>
          </w:tcPr>
          <w:p w14:paraId="41766B31" w14:textId="77777777" w:rsidR="0081064E" w:rsidRPr="008561DA" w:rsidRDefault="0081064E" w:rsidP="00F62BED">
            <w:pPr>
              <w:spacing w:before="0" w:after="0" w:line="240" w:lineRule="auto"/>
              <w:rPr>
                <w:rFonts w:eastAsia="Calibri" w:cs="Arial"/>
                <w:szCs w:val="24"/>
              </w:rPr>
            </w:pPr>
          </w:p>
        </w:tc>
        <w:tc>
          <w:tcPr>
            <w:tcW w:w="0" w:type="auto"/>
            <w:vAlign w:val="center"/>
          </w:tcPr>
          <w:p w14:paraId="76FB1FEC" w14:textId="77777777" w:rsidR="0081064E" w:rsidRPr="008561DA" w:rsidRDefault="0081064E" w:rsidP="00F62BED">
            <w:pPr>
              <w:spacing w:before="0" w:after="0" w:line="240" w:lineRule="auto"/>
              <w:rPr>
                <w:rFonts w:eastAsia="Calibri" w:cs="Arial"/>
                <w:szCs w:val="24"/>
              </w:rPr>
            </w:pPr>
          </w:p>
        </w:tc>
        <w:tc>
          <w:tcPr>
            <w:tcW w:w="0" w:type="auto"/>
            <w:vAlign w:val="center"/>
          </w:tcPr>
          <w:p w14:paraId="1B049ADF" w14:textId="77777777" w:rsidR="0081064E" w:rsidRPr="008561DA" w:rsidRDefault="0081064E" w:rsidP="00F62BED">
            <w:pPr>
              <w:spacing w:before="0" w:after="0" w:line="240" w:lineRule="auto"/>
              <w:rPr>
                <w:rFonts w:eastAsia="Calibri" w:cs="Arial"/>
                <w:szCs w:val="24"/>
              </w:rPr>
            </w:pPr>
          </w:p>
        </w:tc>
        <w:tc>
          <w:tcPr>
            <w:tcW w:w="0" w:type="auto"/>
            <w:vAlign w:val="center"/>
          </w:tcPr>
          <w:p w14:paraId="1AB6137D" w14:textId="77777777" w:rsidR="0081064E" w:rsidRPr="008561DA" w:rsidRDefault="0081064E" w:rsidP="00F62BED">
            <w:pPr>
              <w:spacing w:before="0" w:after="0" w:line="240" w:lineRule="auto"/>
              <w:rPr>
                <w:rFonts w:eastAsia="Calibri" w:cs="Arial"/>
                <w:szCs w:val="24"/>
              </w:rPr>
            </w:pPr>
          </w:p>
        </w:tc>
        <w:tc>
          <w:tcPr>
            <w:tcW w:w="0" w:type="auto"/>
            <w:vAlign w:val="center"/>
          </w:tcPr>
          <w:p w14:paraId="561657E8" w14:textId="0F2406F5" w:rsidR="0081064E" w:rsidRPr="008561DA" w:rsidRDefault="0081064E" w:rsidP="00F62BED">
            <w:pPr>
              <w:spacing w:before="0" w:after="0" w:line="240" w:lineRule="auto"/>
              <w:rPr>
                <w:rFonts w:eastAsia="Calibri" w:cs="Arial"/>
                <w:szCs w:val="24"/>
              </w:rPr>
            </w:pPr>
            <w:r>
              <w:rPr>
                <w:rFonts w:eastAsia="Calibri" w:cs="Arial"/>
                <w:szCs w:val="24"/>
              </w:rPr>
              <w:t>E</w:t>
            </w:r>
            <w:r w:rsidRPr="0081064E">
              <w:rPr>
                <w:rFonts w:eastAsia="Calibri" w:cs="Arial"/>
                <w:szCs w:val="24"/>
              </w:rPr>
              <w:t xml:space="preserve">mployment </w:t>
            </w:r>
            <w:r>
              <w:rPr>
                <w:rFonts w:eastAsia="Calibri" w:cs="Arial"/>
                <w:szCs w:val="24"/>
              </w:rPr>
              <w:t>B</w:t>
            </w:r>
            <w:r w:rsidRPr="0081064E">
              <w:rPr>
                <w:rFonts w:eastAsia="Calibri" w:cs="Arial"/>
                <w:szCs w:val="24"/>
              </w:rPr>
              <w:t>ill 2025</w:t>
            </w:r>
          </w:p>
        </w:tc>
        <w:tc>
          <w:tcPr>
            <w:tcW w:w="0" w:type="auto"/>
            <w:vAlign w:val="center"/>
          </w:tcPr>
          <w:p w14:paraId="323753A5" w14:textId="77777777" w:rsidR="0081064E" w:rsidRPr="0095735D" w:rsidRDefault="0081064E" w:rsidP="00F62BED">
            <w:pPr>
              <w:spacing w:before="0" w:after="0" w:line="240" w:lineRule="auto"/>
              <w:rPr>
                <w:rFonts w:eastAsia="Calibri" w:cs="Arial"/>
                <w:szCs w:val="24"/>
              </w:rPr>
            </w:pPr>
          </w:p>
        </w:tc>
      </w:tr>
      <w:bookmarkEnd w:id="28"/>
    </w:tbl>
    <w:p w14:paraId="57E1572C" w14:textId="77777777" w:rsidR="00201879" w:rsidRPr="000E5042" w:rsidRDefault="00201879" w:rsidP="00175AD3">
      <w:pPr>
        <w:sectPr w:rsidR="00201879" w:rsidRPr="000E5042" w:rsidSect="000E5042">
          <w:pgSz w:w="16838" w:h="11906" w:orient="landscape"/>
          <w:pgMar w:top="720" w:right="720" w:bottom="720" w:left="720" w:header="708" w:footer="708" w:gutter="0"/>
          <w:cols w:space="708"/>
          <w:titlePg/>
          <w:docGrid w:linePitch="360"/>
        </w:sectPr>
      </w:pPr>
    </w:p>
    <w:p w14:paraId="05A86E8C" w14:textId="261190C2" w:rsidR="009308D7" w:rsidRPr="008561DA" w:rsidRDefault="009308D7" w:rsidP="000C1082">
      <w:pPr>
        <w:pStyle w:val="Heading2"/>
      </w:pPr>
      <w:bookmarkStart w:id="29" w:name="_Toc208329916"/>
      <w:r w:rsidRPr="008561DA">
        <w:lastRenderedPageBreak/>
        <w:t>Political</w:t>
      </w:r>
      <w:bookmarkEnd w:id="29"/>
    </w:p>
    <w:p w14:paraId="5D44C648" w14:textId="3FB4E7CE" w:rsidR="00D20288" w:rsidRPr="008561DA" w:rsidRDefault="00D20288" w:rsidP="000E5042">
      <w:pPr>
        <w:pStyle w:val="Heading3"/>
      </w:pPr>
      <w:bookmarkStart w:id="30" w:name="_Toc208329917"/>
      <w:r w:rsidRPr="008561DA">
        <w:t>UK Government Fire Reform White Paper</w:t>
      </w:r>
      <w:bookmarkEnd w:id="30"/>
    </w:p>
    <w:p w14:paraId="4D22631A" w14:textId="1A23319A" w:rsidR="00D20288" w:rsidRPr="008561DA" w:rsidRDefault="00D20288" w:rsidP="00D20288">
      <w:r w:rsidRPr="008561DA">
        <w:t>The Home Office published the Government response to the Fire Reform White Paper consultation on 12 December 2023.  The Ministerial Statement set out the Government’s priorities which include:</w:t>
      </w:r>
    </w:p>
    <w:p w14:paraId="3F38C230" w14:textId="22A0AB9B" w:rsidR="00D20288" w:rsidRPr="008561DA" w:rsidRDefault="00D20288" w:rsidP="000E5042">
      <w:pPr>
        <w:pStyle w:val="ListParagraph"/>
        <w:numPr>
          <w:ilvl w:val="0"/>
          <w:numId w:val="26"/>
        </w:numPr>
      </w:pPr>
      <w:r w:rsidRPr="008561DA">
        <w:t>Introducing a professional College of Fire &amp; Rescue to raise standards and strengthen leadership.</w:t>
      </w:r>
    </w:p>
    <w:p w14:paraId="7F7E87D2" w14:textId="185C6439" w:rsidR="00D20288" w:rsidRPr="008561DA" w:rsidRDefault="00D20288" w:rsidP="000E5042">
      <w:pPr>
        <w:pStyle w:val="ListParagraph"/>
        <w:numPr>
          <w:ilvl w:val="0"/>
          <w:numId w:val="26"/>
        </w:numPr>
      </w:pPr>
      <w:r w:rsidRPr="008561DA">
        <w:t>Developing provision for fire chiefs to have operational independence.</w:t>
      </w:r>
    </w:p>
    <w:p w14:paraId="342D8212" w14:textId="2B7DA5E4" w:rsidR="00D20288" w:rsidRPr="008561DA" w:rsidRDefault="00D20288" w:rsidP="000E5042">
      <w:pPr>
        <w:pStyle w:val="ListParagraph"/>
        <w:numPr>
          <w:ilvl w:val="0"/>
          <w:numId w:val="26"/>
        </w:numPr>
      </w:pPr>
      <w:r w:rsidRPr="008561DA">
        <w:t>Tasking the National Joint Council to review the pay negotiation mechanism.</w:t>
      </w:r>
    </w:p>
    <w:p w14:paraId="28A67C10" w14:textId="0E51E4BD" w:rsidR="00DB6F7E" w:rsidRPr="008561DA" w:rsidRDefault="00D20288" w:rsidP="000E5042">
      <w:pPr>
        <w:pStyle w:val="ListParagraph"/>
        <w:numPr>
          <w:ilvl w:val="0"/>
          <w:numId w:val="26"/>
        </w:numPr>
      </w:pPr>
      <w:r w:rsidRPr="008561DA">
        <w:t>Taking action to improve integrity and culture in fire and rescue services through improved training, more open recruitment practices and working towards a statutory code of ethics for fire and rescue employees.</w:t>
      </w:r>
    </w:p>
    <w:p w14:paraId="1C2F89FA" w14:textId="42B53187" w:rsidR="004571B9" w:rsidRPr="008561DA" w:rsidRDefault="004571B9" w:rsidP="000E5042">
      <w:pPr>
        <w:pStyle w:val="Heading3"/>
        <w:rPr>
          <w:lang w:eastAsia="en-GB"/>
        </w:rPr>
      </w:pPr>
      <w:bookmarkStart w:id="31" w:name="_Toc208329918"/>
      <w:r w:rsidRPr="008561DA">
        <w:t>Wars</w:t>
      </w:r>
      <w:r w:rsidRPr="008561DA">
        <w:rPr>
          <w:lang w:eastAsia="en-GB"/>
        </w:rPr>
        <w:t>, conflicts</w:t>
      </w:r>
      <w:r w:rsidR="0071416D">
        <w:rPr>
          <w:lang w:eastAsia="en-GB"/>
        </w:rPr>
        <w:t>, civil, community</w:t>
      </w:r>
      <w:r w:rsidRPr="008561DA">
        <w:rPr>
          <w:lang w:eastAsia="en-GB"/>
        </w:rPr>
        <w:t xml:space="preserve"> and political unrest</w:t>
      </w:r>
      <w:bookmarkEnd w:id="31"/>
    </w:p>
    <w:p w14:paraId="430D7BD7" w14:textId="0A89FE10" w:rsidR="004571B9" w:rsidRPr="008561DA" w:rsidRDefault="004571B9" w:rsidP="004571B9">
      <w:r w:rsidRPr="008561DA">
        <w:t>Wars, conflicts</w:t>
      </w:r>
      <w:r w:rsidR="0071416D">
        <w:t>, civil, community</w:t>
      </w:r>
      <w:r w:rsidRPr="008561DA">
        <w:t xml:space="preserve"> and political unrest </w:t>
      </w:r>
      <w:r w:rsidR="008561DA" w:rsidRPr="008561DA">
        <w:t xml:space="preserve">at home and abroad </w:t>
      </w:r>
      <w:r w:rsidRPr="008561DA">
        <w:t>(Ukraine</w:t>
      </w:r>
      <w:r w:rsidR="0071416D">
        <w:t>, Gaza</w:t>
      </w:r>
      <w:r w:rsidRPr="008561DA">
        <w:t xml:space="preserve"> and Israel) have the potential for further adverse effects such as:</w:t>
      </w:r>
    </w:p>
    <w:p w14:paraId="7754D16D" w14:textId="7623770B" w:rsidR="004571B9" w:rsidRPr="008561DA" w:rsidRDefault="004571B9" w:rsidP="000E5042">
      <w:pPr>
        <w:pStyle w:val="ListParagraph"/>
        <w:numPr>
          <w:ilvl w:val="0"/>
          <w:numId w:val="26"/>
        </w:numPr>
      </w:pPr>
      <w:r w:rsidRPr="008561DA">
        <w:t>Threat of public disorder both in other countries and the UK</w:t>
      </w:r>
      <w:r w:rsidR="0071416D">
        <w:t>.</w:t>
      </w:r>
    </w:p>
    <w:p w14:paraId="0BF33923" w14:textId="530F118D" w:rsidR="004571B9" w:rsidRDefault="004571B9" w:rsidP="000E5042">
      <w:pPr>
        <w:pStyle w:val="ListParagraph"/>
        <w:numPr>
          <w:ilvl w:val="0"/>
          <w:numId w:val="26"/>
        </w:numPr>
      </w:pPr>
      <w:r w:rsidRPr="008561DA">
        <w:t xml:space="preserve">Terrorist activity </w:t>
      </w:r>
      <w:r w:rsidR="0081064E">
        <w:t xml:space="preserve">in </w:t>
      </w:r>
      <w:r w:rsidRPr="008561DA">
        <w:t>countries outside of the region involved which could include the UK</w:t>
      </w:r>
      <w:r w:rsidR="0071416D">
        <w:t>.</w:t>
      </w:r>
    </w:p>
    <w:p w14:paraId="0855509E" w14:textId="2241E379" w:rsidR="0081064E" w:rsidRPr="008561DA" w:rsidRDefault="0081064E" w:rsidP="000E5042">
      <w:pPr>
        <w:pStyle w:val="ListParagraph"/>
        <w:numPr>
          <w:ilvl w:val="0"/>
          <w:numId w:val="26"/>
        </w:numPr>
      </w:pPr>
      <w:r>
        <w:t>Terrorist activity in the UK</w:t>
      </w:r>
    </w:p>
    <w:p w14:paraId="16A2BCAE" w14:textId="5DA5080C" w:rsidR="004571B9" w:rsidRPr="008561DA" w:rsidRDefault="004571B9" w:rsidP="000E5042">
      <w:pPr>
        <w:pStyle w:val="ListParagraph"/>
        <w:numPr>
          <w:ilvl w:val="0"/>
          <w:numId w:val="26"/>
        </w:numPr>
      </w:pPr>
      <w:r w:rsidRPr="008561DA">
        <w:t>Disruption to energy supplies</w:t>
      </w:r>
      <w:r w:rsidR="0071416D">
        <w:t>.</w:t>
      </w:r>
    </w:p>
    <w:p w14:paraId="7C2D1B3A" w14:textId="544E5F26" w:rsidR="004571B9" w:rsidRPr="008561DA" w:rsidRDefault="004571B9" w:rsidP="000E5042">
      <w:pPr>
        <w:pStyle w:val="ListParagraph"/>
        <w:numPr>
          <w:ilvl w:val="0"/>
          <w:numId w:val="26"/>
        </w:numPr>
      </w:pPr>
      <w:r w:rsidRPr="008561DA">
        <w:t>Volatility in gas and oil market prices</w:t>
      </w:r>
      <w:r w:rsidR="0071416D">
        <w:t>.</w:t>
      </w:r>
    </w:p>
    <w:p w14:paraId="16275AD3" w14:textId="05A98B37" w:rsidR="00242DFE" w:rsidRPr="008561DA" w:rsidRDefault="004571B9" w:rsidP="00242DFE">
      <w:pPr>
        <w:pStyle w:val="ListParagraph"/>
        <w:numPr>
          <w:ilvl w:val="0"/>
          <w:numId w:val="26"/>
        </w:numPr>
      </w:pPr>
      <w:r w:rsidRPr="008561DA">
        <w:t>Disruption to global trade</w:t>
      </w:r>
      <w:r w:rsidR="00242DFE" w:rsidRPr="008561DA">
        <w:t xml:space="preserve"> and supplies of commodities such as fertilisers, wheat etc. leading to shortages and price inflation</w:t>
      </w:r>
      <w:r w:rsidR="0071416D">
        <w:t>.</w:t>
      </w:r>
    </w:p>
    <w:p w14:paraId="7A83E71A" w14:textId="3C96F108" w:rsidR="00242DFE" w:rsidRPr="008561DA" w:rsidRDefault="00242DFE" w:rsidP="00242DFE">
      <w:pPr>
        <w:pStyle w:val="ListParagraph"/>
        <w:numPr>
          <w:ilvl w:val="0"/>
          <w:numId w:val="26"/>
        </w:numPr>
      </w:pPr>
      <w:r w:rsidRPr="008561DA">
        <w:t>Higher demand for some commodities (such as Body Worn Armour) and price inflation</w:t>
      </w:r>
      <w:r w:rsidR="0071416D">
        <w:t>.</w:t>
      </w:r>
    </w:p>
    <w:p w14:paraId="321403E5" w14:textId="0B4617FD" w:rsidR="004571B9" w:rsidRDefault="004571B9" w:rsidP="000E5042">
      <w:pPr>
        <w:pStyle w:val="ListParagraph"/>
        <w:numPr>
          <w:ilvl w:val="0"/>
          <w:numId w:val="26"/>
        </w:numPr>
      </w:pPr>
      <w:r w:rsidRPr="008561DA">
        <w:t>Displacement of populations and potential for refugee flows.</w:t>
      </w:r>
    </w:p>
    <w:p w14:paraId="54CF9DEF" w14:textId="487F619B" w:rsidR="0071416D" w:rsidRPr="008561DA" w:rsidRDefault="0071416D" w:rsidP="000E5042">
      <w:pPr>
        <w:pStyle w:val="ListParagraph"/>
        <w:numPr>
          <w:ilvl w:val="0"/>
          <w:numId w:val="26"/>
        </w:numPr>
      </w:pPr>
      <w:r>
        <w:rPr>
          <w:rFonts w:eastAsia="Calibri" w:cs="Arial"/>
          <w:szCs w:val="24"/>
        </w:rPr>
        <w:t>Locally there is the potential for additional</w:t>
      </w:r>
      <w:r w:rsidRPr="0071416D">
        <w:rPr>
          <w:rFonts w:eastAsia="Calibri" w:cs="Arial"/>
          <w:szCs w:val="24"/>
        </w:rPr>
        <w:t xml:space="preserve"> attacks on firefighters.</w:t>
      </w:r>
    </w:p>
    <w:p w14:paraId="4DB6A91F" w14:textId="03077F96" w:rsidR="004571B9" w:rsidRPr="008561DA" w:rsidRDefault="004571B9" w:rsidP="000E5042">
      <w:pPr>
        <w:pStyle w:val="ListParagraph"/>
        <w:numPr>
          <w:ilvl w:val="0"/>
          <w:numId w:val="26"/>
        </w:numPr>
      </w:pPr>
      <w:r w:rsidRPr="008561DA">
        <w:t>Diversion of public resources / funding to enhance national security, potentially reducing those available for other public services.</w:t>
      </w:r>
    </w:p>
    <w:p w14:paraId="1A28D703" w14:textId="230C8340" w:rsidR="009308D7" w:rsidRPr="00AD3AC3" w:rsidRDefault="009308D7" w:rsidP="000C1082">
      <w:pPr>
        <w:pStyle w:val="Heading2"/>
      </w:pPr>
      <w:bookmarkStart w:id="32" w:name="_Toc208329919"/>
      <w:r w:rsidRPr="00AD3AC3">
        <w:lastRenderedPageBreak/>
        <w:t>Economic</w:t>
      </w:r>
      <w:bookmarkEnd w:id="32"/>
    </w:p>
    <w:p w14:paraId="29E241A3" w14:textId="77777777" w:rsidR="00467ED1" w:rsidRPr="00AD3AC3" w:rsidRDefault="00467ED1" w:rsidP="00467ED1">
      <w:pPr>
        <w:pStyle w:val="Heading3"/>
      </w:pPr>
      <w:bookmarkStart w:id="33" w:name="_Toc208329920"/>
      <w:r w:rsidRPr="00AD3AC3">
        <w:t>Deprivation</w:t>
      </w:r>
      <w:bookmarkEnd w:id="33"/>
    </w:p>
    <w:p w14:paraId="67FCD3B8" w14:textId="271FEE76" w:rsidR="00467ED1" w:rsidRPr="00AD3AC3" w:rsidRDefault="00467ED1" w:rsidP="00467ED1">
      <w:r w:rsidRPr="00AD3AC3">
        <w:t xml:space="preserve">Deprivation is measured across England through the combined index of multiple deprivation 2019 (IMD 2019) which is the official measure of relative deprivation for small areas known as lower-level super output areas in England. </w:t>
      </w:r>
    </w:p>
    <w:p w14:paraId="69531AF3" w14:textId="059DC08F" w:rsidR="00467ED1" w:rsidRPr="00AD3AC3" w:rsidRDefault="00467ED1" w:rsidP="00467ED1">
      <w:r w:rsidRPr="00AD3AC3">
        <w:t xml:space="preserve">Since 2015, all of the Lancashire-14 authorities have become relatively more deprived on the </w:t>
      </w:r>
      <w:r w:rsidR="00A54CED" w:rsidRPr="00AD3AC3">
        <w:t xml:space="preserve">index of multiple deprivation </w:t>
      </w:r>
      <w:r w:rsidRPr="00AD3AC3">
        <w:t xml:space="preserve">rank of average rank measure, apart from Chorley, West Lancashire and Ribble Valley.  Preston has the greatest percentile change, -6%.  Burnley and Hyndburn are both in the most deprived 10% of the lower-tier local authorities within England on the </w:t>
      </w:r>
      <w:r w:rsidR="00A54CED" w:rsidRPr="00AD3AC3">
        <w:t>index of multiple deprivation</w:t>
      </w:r>
      <w:r w:rsidRPr="00AD3AC3">
        <w:t xml:space="preserve"> rank of average rank measure, Pendle and Preston are both in the most deprived 20%.  In contrast, Ribble Valley is in the least deprived 20% in England.  Blackpool unitary authority is ranked as the most deprived lower-tier local authority in England on the </w:t>
      </w:r>
      <w:r w:rsidR="00A54CED" w:rsidRPr="00AD3AC3">
        <w:t>index of multiple deprivation</w:t>
      </w:r>
      <w:r w:rsidRPr="00AD3AC3">
        <w:t xml:space="preserve"> rank of average rank measure, plus seven other measures, including income, health, local concentration and the percentage of people employment deprived.  Blackburn with Darwen is also in the most deprived 10% in England. </w:t>
      </w:r>
    </w:p>
    <w:p w14:paraId="1440E677" w14:textId="343DC5B4" w:rsidR="00467ED1" w:rsidRPr="00AD3AC3" w:rsidRDefault="00467ED1" w:rsidP="00467ED1">
      <w:r w:rsidRPr="00AD3AC3">
        <w:t>Lancaster joins Burnley, Hyndburn, Pendle and Preston in the 20% most deprived areas in England for the health deprivation and disability rank of average rank measure and the living environment rank of average rank measure.</w:t>
      </w:r>
    </w:p>
    <w:p w14:paraId="1F4FECC6" w14:textId="1952B044" w:rsidR="00D20288" w:rsidRPr="00AD3AC3" w:rsidRDefault="00D20288">
      <w:pPr>
        <w:pStyle w:val="Heading3"/>
      </w:pPr>
      <w:bookmarkStart w:id="34" w:name="_Toc208329921"/>
      <w:r w:rsidRPr="00AD3AC3">
        <w:t>Inflation / cost of living</w:t>
      </w:r>
      <w:bookmarkEnd w:id="34"/>
    </w:p>
    <w:p w14:paraId="7BE81407" w14:textId="502E8C9D" w:rsidR="00467ED1" w:rsidRPr="00AD3AC3" w:rsidRDefault="00467ED1" w:rsidP="00467ED1">
      <w:r w:rsidRPr="00AD3AC3">
        <w:t>Increases to mortgage and rental costs, due to rising interest rates, can lead to higher rates of homelessness and people living in less safe types of accommodation such as ‘houses in multiple occupation’ (HMOs), with potential for higher risk to life in the event of fire.</w:t>
      </w:r>
    </w:p>
    <w:p w14:paraId="0E418101" w14:textId="2B7C32F3" w:rsidR="00467ED1" w:rsidRPr="00AD3AC3" w:rsidRDefault="00467ED1" w:rsidP="00467ED1">
      <w:r w:rsidRPr="00AD3AC3">
        <w:t>There</w:t>
      </w:r>
      <w:r w:rsidR="00771D51" w:rsidRPr="00AD3AC3">
        <w:t xml:space="preserve"> </w:t>
      </w:r>
      <w:r w:rsidRPr="00AD3AC3">
        <w:t>is also a potential for higher rates of business failure due to supply chain issues, unsustainable rises in supply costs, and / or reduced demand due to ‘cost of living’ pressures on consumers leading to increases in numbers of empty and derelict premises, with associated fire risks.</w:t>
      </w:r>
    </w:p>
    <w:p w14:paraId="20AA9A91" w14:textId="255645B2" w:rsidR="00D20288" w:rsidRPr="00AD3AC3" w:rsidRDefault="00BB2639" w:rsidP="000E5042">
      <w:r w:rsidRPr="00AD3AC3">
        <w:rPr>
          <w:lang w:eastAsia="en-GB"/>
        </w:rPr>
        <w:t xml:space="preserve">Lancashire </w:t>
      </w:r>
      <w:r w:rsidR="00F02673" w:rsidRPr="00AD3AC3">
        <w:rPr>
          <w:lang w:eastAsia="en-GB"/>
        </w:rPr>
        <w:t>F</w:t>
      </w:r>
      <w:r w:rsidRPr="00AD3AC3">
        <w:rPr>
          <w:lang w:eastAsia="en-GB"/>
        </w:rPr>
        <w:t xml:space="preserve">ire and </w:t>
      </w:r>
      <w:r w:rsidR="00F02673" w:rsidRPr="00AD3AC3">
        <w:rPr>
          <w:lang w:eastAsia="en-GB"/>
        </w:rPr>
        <w:t>R</w:t>
      </w:r>
      <w:r w:rsidRPr="00AD3AC3">
        <w:rPr>
          <w:lang w:eastAsia="en-GB"/>
        </w:rPr>
        <w:t xml:space="preserve">escue </w:t>
      </w:r>
      <w:r w:rsidR="00F02673" w:rsidRPr="00AD3AC3">
        <w:rPr>
          <w:lang w:eastAsia="en-GB"/>
        </w:rPr>
        <w:t>S</w:t>
      </w:r>
      <w:r w:rsidRPr="00AD3AC3">
        <w:rPr>
          <w:lang w:eastAsia="en-GB"/>
        </w:rPr>
        <w:t>ervice</w:t>
      </w:r>
      <w:r w:rsidR="00467ED1" w:rsidRPr="00AD3AC3">
        <w:t xml:space="preserve"> could also face longer lead times and higher prices for fire and rescue service vehicles, equipment and consumables leading to shortages of parts and budgetary pressures.</w:t>
      </w:r>
    </w:p>
    <w:p w14:paraId="6A74FD8B" w14:textId="001BA737" w:rsidR="00DB6F7E" w:rsidRPr="00B4757B" w:rsidRDefault="00DB6F7E" w:rsidP="000E5042">
      <w:pPr>
        <w:pStyle w:val="Heading3"/>
      </w:pPr>
      <w:bookmarkStart w:id="35" w:name="_Toc208329922"/>
      <w:r w:rsidRPr="00B4757B">
        <w:t>Fuel Poverty</w:t>
      </w:r>
      <w:bookmarkEnd w:id="35"/>
    </w:p>
    <w:p w14:paraId="317A7069" w14:textId="79BC7841" w:rsidR="00DB6F7E" w:rsidRPr="00B4757B" w:rsidRDefault="00DB6F7E" w:rsidP="00DB6F7E">
      <w:r w:rsidRPr="00B4757B">
        <w:t>A new fuel poverty metric Low Income Low Energy Efficiency indicator considers a household to be fuel poor if:</w:t>
      </w:r>
    </w:p>
    <w:p w14:paraId="62312B27" w14:textId="4E5E5777" w:rsidR="00575561" w:rsidRPr="00B4757B" w:rsidRDefault="00DB6F7E" w:rsidP="00575561">
      <w:pPr>
        <w:pStyle w:val="ListParagraph"/>
        <w:numPr>
          <w:ilvl w:val="0"/>
          <w:numId w:val="34"/>
        </w:numPr>
      </w:pPr>
      <w:r w:rsidRPr="00B4757B">
        <w:lastRenderedPageBreak/>
        <w:t>it is living in a property with an energy efficiency rating of band D, E, F or G as determined by the most up-to-date Fuel Poverty Energy Efficiency Rating Methodology; and</w:t>
      </w:r>
    </w:p>
    <w:p w14:paraId="00456911" w14:textId="19403470" w:rsidR="00DB6F7E" w:rsidRPr="00B4757B" w:rsidRDefault="00DB6F7E" w:rsidP="00575561">
      <w:pPr>
        <w:pStyle w:val="ListParagraph"/>
        <w:numPr>
          <w:ilvl w:val="0"/>
          <w:numId w:val="34"/>
        </w:numPr>
      </w:pPr>
      <w:r w:rsidRPr="00B4757B">
        <w:t>its disposable income (income after housing costs and energy needs) would be below the poverty line.</w:t>
      </w:r>
    </w:p>
    <w:p w14:paraId="01DC7225" w14:textId="368A0765" w:rsidR="00DB6F7E" w:rsidRPr="00B4757B" w:rsidRDefault="00DB6F7E" w:rsidP="00DB6F7E">
      <w:r w:rsidRPr="00B4757B">
        <w:t>The 202</w:t>
      </w:r>
      <w:r w:rsidR="00B4757B" w:rsidRPr="0085725E">
        <w:t>3</w:t>
      </w:r>
      <w:r w:rsidRPr="00B4757B">
        <w:t xml:space="preserve"> fuel poverty statistics indicate that </w:t>
      </w:r>
      <w:r w:rsidR="00B4757B" w:rsidRPr="0085725E">
        <w:t>13.0</w:t>
      </w:r>
      <w:r w:rsidRPr="00B4757B">
        <w:t xml:space="preserve">% of households were fuel poor in the Lancashire-14 area </w:t>
      </w:r>
    </w:p>
    <w:p w14:paraId="690E0146" w14:textId="7FA0FE9B" w:rsidR="00DB6F7E" w:rsidRPr="00B4757B" w:rsidRDefault="00DB6F7E" w:rsidP="00DB6F7E">
      <w:r w:rsidRPr="00B4757B">
        <w:t>Pendle (</w:t>
      </w:r>
      <w:r w:rsidR="00B4757B" w:rsidRPr="0085725E">
        <w:t>16.0</w:t>
      </w:r>
      <w:r w:rsidRPr="00B4757B">
        <w:t>%), Burnley (</w:t>
      </w:r>
      <w:r w:rsidR="00B4757B" w:rsidRPr="0085725E">
        <w:t>16.2</w:t>
      </w:r>
      <w:r w:rsidRPr="00B4757B">
        <w:t>%), Hyndburn (</w:t>
      </w:r>
      <w:r w:rsidR="00B4757B" w:rsidRPr="0085725E">
        <w:t>15.2</w:t>
      </w:r>
      <w:r w:rsidRPr="00B4757B">
        <w:t>%), and Blackpool (</w:t>
      </w:r>
      <w:r w:rsidR="00B4757B" w:rsidRPr="0085725E">
        <w:t>17.1</w:t>
      </w:r>
      <w:r w:rsidRPr="00B4757B">
        <w:t>%) had the highest proportion of fuel poverty in the Lancashire-14 area.  South Ribble (</w:t>
      </w:r>
      <w:r w:rsidR="00B4757B" w:rsidRPr="0085725E">
        <w:t>8.7</w:t>
      </w:r>
      <w:r w:rsidRPr="00B4757B">
        <w:t>%) and Chorley (</w:t>
      </w:r>
      <w:r w:rsidR="00B4757B" w:rsidRPr="0085725E">
        <w:t>9.7</w:t>
      </w:r>
      <w:r w:rsidRPr="00B4757B">
        <w:t>%) had the lowest proportion of fuel poor households.</w:t>
      </w:r>
    </w:p>
    <w:p w14:paraId="27259A17" w14:textId="5F1AF936" w:rsidR="009308D7" w:rsidRPr="00B4757B" w:rsidRDefault="009308D7" w:rsidP="00771D51">
      <w:pPr>
        <w:pStyle w:val="Heading2"/>
      </w:pPr>
      <w:bookmarkStart w:id="36" w:name="_Toc208329923"/>
      <w:r w:rsidRPr="00B4757B">
        <w:t>Socio-Cultural</w:t>
      </w:r>
      <w:bookmarkEnd w:id="36"/>
    </w:p>
    <w:p w14:paraId="073F62BE" w14:textId="2812C5C8" w:rsidR="0043418C" w:rsidRPr="00B4757B" w:rsidRDefault="0043418C" w:rsidP="00771D51">
      <w:pPr>
        <w:pStyle w:val="Heading3"/>
        <w:rPr>
          <w:shd w:val="clear" w:color="auto" w:fill="FFFFFF"/>
        </w:rPr>
      </w:pPr>
      <w:bookmarkStart w:id="37" w:name="_Toc208329924"/>
      <w:r w:rsidRPr="00B4757B">
        <w:rPr>
          <w:shd w:val="clear" w:color="auto" w:fill="FFFFFF"/>
        </w:rPr>
        <w:t>Population Changes</w:t>
      </w:r>
      <w:bookmarkEnd w:id="37"/>
    </w:p>
    <w:p w14:paraId="093BFD4F" w14:textId="32D0D610" w:rsidR="0043418C" w:rsidRPr="00B4757B" w:rsidRDefault="0043418C" w:rsidP="0043418C">
      <w:pPr>
        <w:rPr>
          <w:shd w:val="clear" w:color="auto" w:fill="FFFFFF"/>
        </w:rPr>
      </w:pPr>
      <w:r w:rsidRPr="00B4757B">
        <w:rPr>
          <w:shd w:val="clear" w:color="auto" w:fill="FFFFFF"/>
        </w:rPr>
        <w:t xml:space="preserve">The latest population projections, covering the period from </w:t>
      </w:r>
      <w:r w:rsidR="00B4757B" w:rsidRPr="0085725E">
        <w:rPr>
          <w:shd w:val="clear" w:color="auto" w:fill="FFFFFF"/>
        </w:rPr>
        <w:t>2022 to 2047</w:t>
      </w:r>
      <w:r w:rsidRPr="00B4757B">
        <w:rPr>
          <w:shd w:val="clear" w:color="auto" w:fill="FFFFFF"/>
        </w:rPr>
        <w:t>, for the Lancashire 14 authority areas show that growth rates across the county are expected to have distinct differences.</w:t>
      </w:r>
    </w:p>
    <w:p w14:paraId="5D717678" w14:textId="2E3E506E" w:rsidR="0043418C" w:rsidRPr="00B4757B" w:rsidRDefault="0043418C" w:rsidP="0043418C">
      <w:pPr>
        <w:rPr>
          <w:shd w:val="clear" w:color="auto" w:fill="FFFFFF"/>
        </w:rPr>
      </w:pPr>
      <w:r w:rsidRPr="00B4757B">
        <w:rPr>
          <w:shd w:val="clear" w:color="auto" w:fill="FFFFFF"/>
        </w:rPr>
        <w:t xml:space="preserve">For the Lancashire-14 area, a </w:t>
      </w:r>
      <w:r w:rsidR="00B4757B" w:rsidRPr="0085725E">
        <w:rPr>
          <w:shd w:val="clear" w:color="auto" w:fill="FFFFFF"/>
        </w:rPr>
        <w:t>12.0</w:t>
      </w:r>
      <w:r w:rsidRPr="00B4757B">
        <w:rPr>
          <w:shd w:val="clear" w:color="auto" w:fill="FFFFFF"/>
        </w:rPr>
        <w:t xml:space="preserve">% increase is projected over the 25-year period, resulting in an expected population total of </w:t>
      </w:r>
      <w:r w:rsidR="00B4757B" w:rsidRPr="0085725E">
        <w:rPr>
          <w:shd w:val="clear" w:color="auto" w:fill="FFFFFF"/>
        </w:rPr>
        <w:t>1.74</w:t>
      </w:r>
      <w:r w:rsidRPr="00B4757B">
        <w:rPr>
          <w:shd w:val="clear" w:color="auto" w:fill="FFFFFF"/>
        </w:rPr>
        <w:t xml:space="preserve"> million by 204</w:t>
      </w:r>
      <w:r w:rsidR="00B4757B" w:rsidRPr="0085725E">
        <w:rPr>
          <w:shd w:val="clear" w:color="auto" w:fill="FFFFFF"/>
        </w:rPr>
        <w:t>7</w:t>
      </w:r>
      <w:r w:rsidRPr="00B4757B">
        <w:rPr>
          <w:shd w:val="clear" w:color="auto" w:fill="FFFFFF"/>
        </w:rPr>
        <w:t xml:space="preserve">.  </w:t>
      </w:r>
      <w:r w:rsidR="00B4757B" w:rsidRPr="00B4757B">
        <w:rPr>
          <w:shd w:val="clear" w:color="auto" w:fill="FFFFFF"/>
        </w:rPr>
        <w:t>This increase is below the projection for both the North West and England.</w:t>
      </w:r>
      <w:r w:rsidRPr="00B4757B">
        <w:rPr>
          <w:shd w:val="clear" w:color="auto" w:fill="FFFFFF"/>
        </w:rPr>
        <w:t xml:space="preserve">.  </w:t>
      </w:r>
      <w:r w:rsidR="00B4757B" w:rsidRPr="0085725E">
        <w:rPr>
          <w:shd w:val="clear" w:color="auto" w:fill="FFFFFF"/>
        </w:rPr>
        <w:t xml:space="preserve">Preston (23.7%), </w:t>
      </w:r>
      <w:r w:rsidRPr="00B4757B">
        <w:rPr>
          <w:shd w:val="clear" w:color="auto" w:fill="FFFFFF"/>
        </w:rPr>
        <w:t>Chorley (</w:t>
      </w:r>
      <w:r w:rsidR="00B4757B" w:rsidRPr="0085725E">
        <w:rPr>
          <w:shd w:val="clear" w:color="auto" w:fill="FFFFFF"/>
        </w:rPr>
        <w:t>15.6</w:t>
      </w:r>
      <w:r w:rsidRPr="00B4757B">
        <w:rPr>
          <w:shd w:val="clear" w:color="auto" w:fill="FFFFFF"/>
        </w:rPr>
        <w:t>%), Fylde (</w:t>
      </w:r>
      <w:r w:rsidR="00B4757B" w:rsidRPr="0085725E">
        <w:rPr>
          <w:shd w:val="clear" w:color="auto" w:fill="FFFFFF"/>
        </w:rPr>
        <w:t>21.7</w:t>
      </w:r>
      <w:r w:rsidRPr="00B4757B">
        <w:rPr>
          <w:shd w:val="clear" w:color="auto" w:fill="FFFFFF"/>
        </w:rPr>
        <w:t>%), Ribble Valley (</w:t>
      </w:r>
      <w:r w:rsidR="00B4757B" w:rsidRPr="0085725E">
        <w:rPr>
          <w:shd w:val="clear" w:color="auto" w:fill="FFFFFF"/>
        </w:rPr>
        <w:t>25.6</w:t>
      </w:r>
      <w:r w:rsidRPr="00B4757B">
        <w:rPr>
          <w:shd w:val="clear" w:color="auto" w:fill="FFFFFF"/>
        </w:rPr>
        <w:t xml:space="preserve">%) and </w:t>
      </w:r>
      <w:r w:rsidR="00B4757B" w:rsidRPr="00D0265C">
        <w:rPr>
          <w:shd w:val="clear" w:color="auto" w:fill="FFFFFF"/>
        </w:rPr>
        <w:t>Wyre</w:t>
      </w:r>
      <w:r w:rsidR="00B4757B" w:rsidRPr="00B4757B">
        <w:rPr>
          <w:shd w:val="clear" w:color="auto" w:fill="FFFFFF"/>
        </w:rPr>
        <w:t xml:space="preserve"> </w:t>
      </w:r>
      <w:r w:rsidRPr="00B4757B">
        <w:rPr>
          <w:shd w:val="clear" w:color="auto" w:fill="FFFFFF"/>
        </w:rPr>
        <w:t>(</w:t>
      </w:r>
      <w:r w:rsidR="00B4757B" w:rsidRPr="0085725E">
        <w:rPr>
          <w:shd w:val="clear" w:color="auto" w:fill="FFFFFF"/>
        </w:rPr>
        <w:t>21.2</w:t>
      </w:r>
      <w:r w:rsidRPr="00B4757B">
        <w:rPr>
          <w:shd w:val="clear" w:color="auto" w:fill="FFFFFF"/>
        </w:rPr>
        <w:t>%) are predicted increases above the England average.  Blackburn with Darwen (</w:t>
      </w:r>
      <w:r w:rsidR="00B4757B" w:rsidRPr="0085725E">
        <w:rPr>
          <w:shd w:val="clear" w:color="auto" w:fill="FFFFFF"/>
        </w:rPr>
        <w:t>3.2</w:t>
      </w:r>
      <w:r w:rsidRPr="00B4757B">
        <w:rPr>
          <w:shd w:val="clear" w:color="auto" w:fill="FFFFFF"/>
        </w:rPr>
        <w:t>%)</w:t>
      </w:r>
      <w:r w:rsidR="00B4757B" w:rsidRPr="0085725E">
        <w:rPr>
          <w:shd w:val="clear" w:color="auto" w:fill="FFFFFF"/>
        </w:rPr>
        <w:t xml:space="preserve"> and </w:t>
      </w:r>
      <w:r w:rsidRPr="00B4757B">
        <w:rPr>
          <w:shd w:val="clear" w:color="auto" w:fill="FFFFFF"/>
        </w:rPr>
        <w:t>Blackpool (</w:t>
      </w:r>
      <w:r w:rsidR="00B4757B" w:rsidRPr="0085725E">
        <w:rPr>
          <w:shd w:val="clear" w:color="auto" w:fill="FFFFFF"/>
        </w:rPr>
        <w:t>3.7</w:t>
      </w:r>
      <w:r w:rsidRPr="00B4757B">
        <w:rPr>
          <w:shd w:val="clear" w:color="auto" w:fill="FFFFFF"/>
        </w:rPr>
        <w:t>%) are predicted the lowest increases.</w:t>
      </w:r>
    </w:p>
    <w:p w14:paraId="64DAD154" w14:textId="6351FFA2" w:rsidR="0043418C" w:rsidRPr="00D0265C" w:rsidRDefault="0043418C" w:rsidP="0043418C">
      <w:pPr>
        <w:rPr>
          <w:highlight w:val="yellow"/>
          <w:shd w:val="clear" w:color="auto" w:fill="FFFFFF"/>
        </w:rPr>
      </w:pPr>
      <w:r w:rsidRPr="00AE77E8">
        <w:rPr>
          <w:shd w:val="clear" w:color="auto" w:fill="FFFFFF"/>
        </w:rPr>
        <w:t>When carrying out further comparisons with predicted population levels by age group analysis shows that the number of children</w:t>
      </w:r>
      <w:r w:rsidR="00AE77E8" w:rsidRPr="00AE77E8">
        <w:rPr>
          <w:shd w:val="clear" w:color="auto" w:fill="FFFFFF"/>
        </w:rPr>
        <w:t xml:space="preserve"> aged 0 to 17 is expected to fall by 19,469 during the projection period</w:t>
      </w:r>
      <w:r w:rsidRPr="00AE77E8">
        <w:rPr>
          <w:shd w:val="clear" w:color="auto" w:fill="FFFFFF"/>
        </w:rPr>
        <w:t xml:space="preserve">.  The working age population </w:t>
      </w:r>
      <w:r w:rsidR="00AE77E8" w:rsidRPr="00AE77E8">
        <w:rPr>
          <w:shd w:val="clear" w:color="auto" w:fill="FFFFFF"/>
        </w:rPr>
        <w:t>is projected to grow gradually each year, rising from 736,926 in 2022 to 830,084 by 2047 in Lancashire-12.</w:t>
      </w:r>
      <w:r w:rsidRPr="00AE77E8">
        <w:rPr>
          <w:shd w:val="clear" w:color="auto" w:fill="FFFFFF"/>
        </w:rPr>
        <w:t xml:space="preserve">and the older population </w:t>
      </w:r>
      <w:r w:rsidR="00AE77E8" w:rsidRPr="00AE77E8">
        <w:rPr>
          <w:shd w:val="clear" w:color="auto" w:fill="FFFFFF"/>
        </w:rPr>
        <w:t>is expected to grow each year, with the number of those aged 80 and over projected to almost double between 2022 (68,980) and 2047 (132,018) in Lancashire-12.</w:t>
      </w:r>
      <w:r w:rsidRPr="00AE77E8">
        <w:rPr>
          <w:shd w:val="clear" w:color="auto" w:fill="FFFFFF"/>
        </w:rPr>
        <w:t xml:space="preserve">.  Statistics show that there are significant increases in predicted population groups over the age of 65 that become greater still as the age range increases, with more in the 85 and over bracket each year as life expectancy increases over the period.  The old age dependency ratio (number of people on state pension per 1,000 people of working age), </w:t>
      </w:r>
      <w:r w:rsidR="00AE77E8" w:rsidRPr="00AE77E8">
        <w:rPr>
          <w:shd w:val="clear" w:color="auto" w:fill="FFFFFF"/>
        </w:rPr>
        <w:t>is predicted to increase in every locality apart from Rossendale over the period of the projection.  The largest OADR across the projection period are in Fylde and Wyre, which are both expected to increase from just over 450 in 2022 (England = 275) to over 500 in 2047 (England = 300).</w:t>
      </w:r>
      <w:r w:rsidRPr="00AE77E8">
        <w:rPr>
          <w:shd w:val="clear" w:color="auto" w:fill="FFFFFF"/>
        </w:rPr>
        <w:t>.</w:t>
      </w:r>
    </w:p>
    <w:p w14:paraId="399D6765" w14:textId="104F03DC" w:rsidR="0043418C" w:rsidRPr="00AE77E8" w:rsidRDefault="0043418C" w:rsidP="0043418C">
      <w:pPr>
        <w:rPr>
          <w:shd w:val="clear" w:color="auto" w:fill="FFFFFF"/>
        </w:rPr>
      </w:pPr>
      <w:r w:rsidRPr="00AE77E8">
        <w:rPr>
          <w:shd w:val="clear" w:color="auto" w:fill="FFFFFF"/>
        </w:rPr>
        <w:lastRenderedPageBreak/>
        <w:t>The growing number of people aged over 65 and above presents significant challenges not only for</w:t>
      </w:r>
      <w:r w:rsidR="00BB2639" w:rsidRPr="00AE77E8">
        <w:rPr>
          <w:shd w:val="clear" w:color="auto" w:fill="FFFFFF"/>
        </w:rPr>
        <w:t xml:space="preserve"> </w:t>
      </w:r>
      <w:r w:rsidR="00BB2639" w:rsidRPr="00AE77E8">
        <w:rPr>
          <w:lang w:eastAsia="en-GB"/>
        </w:rPr>
        <w:t xml:space="preserve">Lancashire </w:t>
      </w:r>
      <w:r w:rsidR="00F02673" w:rsidRPr="00AE77E8">
        <w:rPr>
          <w:lang w:eastAsia="en-GB"/>
        </w:rPr>
        <w:t>F</w:t>
      </w:r>
      <w:r w:rsidR="00BB2639" w:rsidRPr="00AE77E8">
        <w:rPr>
          <w:lang w:eastAsia="en-GB"/>
        </w:rPr>
        <w:t xml:space="preserve">ire and </w:t>
      </w:r>
      <w:r w:rsidR="00F02673" w:rsidRPr="00AE77E8">
        <w:rPr>
          <w:lang w:eastAsia="en-GB"/>
        </w:rPr>
        <w:t>R</w:t>
      </w:r>
      <w:r w:rsidR="00BB2639" w:rsidRPr="00AE77E8">
        <w:rPr>
          <w:lang w:eastAsia="en-GB"/>
        </w:rPr>
        <w:t xml:space="preserve">escue </w:t>
      </w:r>
      <w:r w:rsidR="00F02673" w:rsidRPr="00AE77E8">
        <w:rPr>
          <w:lang w:eastAsia="en-GB"/>
        </w:rPr>
        <w:t>S</w:t>
      </w:r>
      <w:r w:rsidR="00BB2639" w:rsidRPr="00AE77E8">
        <w:rPr>
          <w:lang w:eastAsia="en-GB"/>
        </w:rPr>
        <w:t>ervice</w:t>
      </w:r>
      <w:r w:rsidRPr="00AE77E8">
        <w:rPr>
          <w:shd w:val="clear" w:color="auto" w:fill="FFFFFF"/>
        </w:rPr>
        <w:t xml:space="preserve"> but also for our partners as demand increases for services.  To address this </w:t>
      </w:r>
      <w:r w:rsidR="00BB2639" w:rsidRPr="00AE77E8">
        <w:rPr>
          <w:lang w:eastAsia="en-GB"/>
        </w:rPr>
        <w:t xml:space="preserve">Lancashire </w:t>
      </w:r>
      <w:r w:rsidR="00F02673" w:rsidRPr="00AE77E8">
        <w:rPr>
          <w:lang w:eastAsia="en-GB"/>
        </w:rPr>
        <w:t>F</w:t>
      </w:r>
      <w:r w:rsidR="00BB2639" w:rsidRPr="00AE77E8">
        <w:rPr>
          <w:lang w:eastAsia="en-GB"/>
        </w:rPr>
        <w:t xml:space="preserve">ire and </w:t>
      </w:r>
      <w:r w:rsidR="00BD403A" w:rsidRPr="00AE77E8">
        <w:rPr>
          <w:lang w:eastAsia="en-GB"/>
        </w:rPr>
        <w:t>R</w:t>
      </w:r>
      <w:r w:rsidR="00BB2639" w:rsidRPr="00AE77E8">
        <w:rPr>
          <w:lang w:eastAsia="en-GB"/>
        </w:rPr>
        <w:t xml:space="preserve">escue </w:t>
      </w:r>
      <w:r w:rsidR="00BD403A" w:rsidRPr="00AE77E8">
        <w:rPr>
          <w:lang w:eastAsia="en-GB"/>
        </w:rPr>
        <w:t>S</w:t>
      </w:r>
      <w:r w:rsidR="00BB2639" w:rsidRPr="00AE77E8">
        <w:rPr>
          <w:lang w:eastAsia="en-GB"/>
        </w:rPr>
        <w:t>ervice</w:t>
      </w:r>
      <w:r w:rsidR="00BB2639" w:rsidRPr="00AE77E8">
        <w:rPr>
          <w:shd w:val="clear" w:color="auto" w:fill="FFFFFF"/>
        </w:rPr>
        <w:t xml:space="preserve"> </w:t>
      </w:r>
      <w:r w:rsidRPr="00AE77E8">
        <w:rPr>
          <w:shd w:val="clear" w:color="auto" w:fill="FFFFFF"/>
        </w:rPr>
        <w:t>works collaboratively with partners to identify and support the most vulnerable individuals within our communities.</w:t>
      </w:r>
    </w:p>
    <w:p w14:paraId="4DB0D745" w14:textId="5C32C948" w:rsidR="00DB6F7E" w:rsidRPr="00AD3AC3" w:rsidRDefault="00DB6F7E" w:rsidP="00D43F89">
      <w:pPr>
        <w:pStyle w:val="Heading3"/>
        <w:rPr>
          <w:shd w:val="clear" w:color="auto" w:fill="FFFFFF"/>
        </w:rPr>
      </w:pPr>
      <w:bookmarkStart w:id="38" w:name="_Toc208329925"/>
      <w:r w:rsidRPr="00AD3AC3">
        <w:rPr>
          <w:shd w:val="clear" w:color="auto" w:fill="FFFFFF"/>
        </w:rPr>
        <w:t>Dwellings and households</w:t>
      </w:r>
      <w:bookmarkEnd w:id="38"/>
    </w:p>
    <w:p w14:paraId="66946C66" w14:textId="500AE99C" w:rsidR="0043418C" w:rsidRPr="00AD3AC3" w:rsidRDefault="0043418C" w:rsidP="0043418C">
      <w:pPr>
        <w:rPr>
          <w:shd w:val="clear" w:color="auto" w:fill="FFFFFF"/>
        </w:rPr>
      </w:pPr>
      <w:r w:rsidRPr="00AD3AC3">
        <w:rPr>
          <w:shd w:val="clear" w:color="auto" w:fill="FFFFFF"/>
        </w:rPr>
        <w:t xml:space="preserve">The 2021 census recorded: </w:t>
      </w:r>
    </w:p>
    <w:p w14:paraId="670F75AB" w14:textId="6AED2F5B" w:rsidR="0043418C" w:rsidRPr="00AD3AC3" w:rsidRDefault="0043418C" w:rsidP="00080040">
      <w:pPr>
        <w:pStyle w:val="ListParagraph"/>
        <w:numPr>
          <w:ilvl w:val="0"/>
          <w:numId w:val="35"/>
        </w:numPr>
      </w:pPr>
      <w:r w:rsidRPr="00AD3AC3">
        <w:t>That across the 14 Lancashire Districts there were 90,590 (17.2%) of households with an adult living alone aged 65 or over.</w:t>
      </w:r>
    </w:p>
    <w:p w14:paraId="5722218C" w14:textId="179658CF" w:rsidR="0043418C" w:rsidRPr="00AD3AC3" w:rsidRDefault="0043418C" w:rsidP="00080040">
      <w:pPr>
        <w:pStyle w:val="ListParagraph"/>
        <w:numPr>
          <w:ilvl w:val="0"/>
          <w:numId w:val="35"/>
        </w:numPr>
      </w:pPr>
      <w:r w:rsidRPr="00AD3AC3">
        <w:t>17.42% of all households in Fylde and 17.40% of all households in Wyre had one person in this age-group, which are amongst the highest rates in England and Wales.</w:t>
      </w:r>
    </w:p>
    <w:p w14:paraId="536DDE6F" w14:textId="20587791" w:rsidR="0043418C" w:rsidRPr="00AD3AC3" w:rsidRDefault="0043418C" w:rsidP="00080040">
      <w:pPr>
        <w:pStyle w:val="ListParagraph"/>
        <w:numPr>
          <w:ilvl w:val="0"/>
          <w:numId w:val="35"/>
        </w:numPr>
        <w:rPr>
          <w:shd w:val="clear" w:color="auto" w:fill="FFFFFF"/>
        </w:rPr>
      </w:pPr>
      <w:r w:rsidRPr="00AD3AC3">
        <w:t xml:space="preserve">An average life expectancy for males is 78.5 and for females </w:t>
      </w:r>
      <w:r w:rsidRPr="00AD3AC3">
        <w:rPr>
          <w:shd w:val="clear" w:color="auto" w:fill="FFFFFF"/>
        </w:rPr>
        <w:t>82.2 years old.</w:t>
      </w:r>
    </w:p>
    <w:p w14:paraId="38FB3BB7" w14:textId="77777777" w:rsidR="0043418C" w:rsidRPr="00AD3AC3" w:rsidRDefault="0043418C" w:rsidP="0043418C">
      <w:pPr>
        <w:rPr>
          <w:shd w:val="clear" w:color="auto" w:fill="FFFFFF"/>
        </w:rPr>
      </w:pPr>
      <w:r w:rsidRPr="00AD3AC3">
        <w:rPr>
          <w:shd w:val="clear" w:color="auto" w:fill="FFFFFF"/>
        </w:rPr>
        <w:t>Living alone may not necessarily affect an individual’s fire risk; however, living alone combined with specific demographic characteristics can do so.  Age, mental health, physical wellbeing and living environments can all play a part in contributing to an individual’s circumstances for them to be considered at a higher risk of death or injury caused by fire.</w:t>
      </w:r>
    </w:p>
    <w:p w14:paraId="192EAAD5" w14:textId="77777777" w:rsidR="0043418C" w:rsidRPr="00AD3AC3" w:rsidRDefault="0043418C" w:rsidP="0043418C">
      <w:pPr>
        <w:rPr>
          <w:shd w:val="clear" w:color="auto" w:fill="FFFFFF"/>
        </w:rPr>
      </w:pPr>
      <w:r w:rsidRPr="00AD3AC3">
        <w:rPr>
          <w:shd w:val="clear" w:color="auto" w:fill="FFFFFF"/>
        </w:rPr>
        <w:t>One person households in the Lancashire-12 area are projected to rise by 17.9% to 205,038 households, or 34.9% of all households, by 2043, slightly higher than the England projected average of 33%.  Fylde (39.9%), Preston (38.7%), Hyndburn (37.2%), Burnley (37.7%) and Pendle (36.7%) are projected to have some of the largest percentages of one person households in England in 2043.  Blackpool (41.2%), in the Lancashire-14 area, is projected to have the seventh highest percentage of one person households in England (out of 326 local authority areas).</w:t>
      </w:r>
    </w:p>
    <w:p w14:paraId="28AC07A6" w14:textId="27D7C54B" w:rsidR="00DB6F7E" w:rsidRPr="00AD3AC3" w:rsidRDefault="00DB6F7E" w:rsidP="0043418C">
      <w:pPr>
        <w:rPr>
          <w:shd w:val="clear" w:color="auto" w:fill="FFFFFF"/>
        </w:rPr>
      </w:pPr>
      <w:r w:rsidRPr="00AD3AC3">
        <w:rPr>
          <w:shd w:val="clear" w:color="auto" w:fill="FFFFFF"/>
        </w:rPr>
        <w:t>In 2016 it was predicted that between 2016 – 2041 Lancashire’s dwellings would increase by 7.3% to 674,107.  In 2021, the whole Lancashire-14 area had a total dwelling stock of 692,404 of which 87.3% was owner occupied or privately rented.  Lancashire’s rise in dwellings has already surpassed the 2041 prediction just 6 years after it was made.  This poses a risk to Lancashire, not only by increasing the number of dwellings we attend but this also impacts planning as the county continues to grow faster than estimated.</w:t>
      </w:r>
    </w:p>
    <w:p w14:paraId="67A8008B" w14:textId="46AD3C53" w:rsidR="00DB6F7E" w:rsidRPr="00AD3AC3" w:rsidRDefault="00DB6F7E" w:rsidP="00D43F89">
      <w:pPr>
        <w:pStyle w:val="Heading3"/>
        <w:rPr>
          <w:shd w:val="clear" w:color="auto" w:fill="FFFFFF"/>
        </w:rPr>
      </w:pPr>
      <w:bookmarkStart w:id="39" w:name="_Toc208329926"/>
      <w:bookmarkStart w:id="40" w:name="_Hlk181626960"/>
      <w:r w:rsidRPr="00AD3AC3">
        <w:rPr>
          <w:shd w:val="clear" w:color="auto" w:fill="FFFFFF"/>
        </w:rPr>
        <w:t>Cultural Diversity</w:t>
      </w:r>
      <w:bookmarkEnd w:id="39"/>
    </w:p>
    <w:p w14:paraId="5AEB3F68" w14:textId="2FEE2FA3" w:rsidR="00BC10F1" w:rsidRPr="00AD3AC3" w:rsidRDefault="0043418C" w:rsidP="00247716">
      <w:pPr>
        <w:tabs>
          <w:tab w:val="num" w:pos="720"/>
        </w:tabs>
        <w:rPr>
          <w:shd w:val="clear" w:color="auto" w:fill="FFFFFF"/>
        </w:rPr>
      </w:pPr>
      <w:bookmarkStart w:id="41" w:name="_Hlk181629067"/>
      <w:r w:rsidRPr="00AD3AC3">
        <w:rPr>
          <w:shd w:val="clear" w:color="auto" w:fill="FFFFFF"/>
        </w:rPr>
        <w:t>From the 2021 Census, the largest ethnic group was white (</w:t>
      </w:r>
      <w:r w:rsidR="00BC10F1" w:rsidRPr="00AD3AC3">
        <w:rPr>
          <w:shd w:val="clear" w:color="auto" w:fill="FFFFFF"/>
        </w:rPr>
        <w:t>86.6</w:t>
      </w:r>
      <w:r w:rsidRPr="00AD3AC3">
        <w:rPr>
          <w:shd w:val="clear" w:color="auto" w:fill="FFFFFF"/>
        </w:rPr>
        <w:t>%</w:t>
      </w:r>
      <w:r w:rsidR="004A49BB" w:rsidRPr="00AD3AC3">
        <w:rPr>
          <w:shd w:val="clear" w:color="auto" w:fill="FFFFFF"/>
        </w:rPr>
        <w:t xml:space="preserve">, a decrease from </w:t>
      </w:r>
      <w:r w:rsidR="00BC10F1" w:rsidRPr="00AD3AC3">
        <w:rPr>
          <w:shd w:val="clear" w:color="auto" w:fill="FFFFFF"/>
        </w:rPr>
        <w:t>90.4</w:t>
      </w:r>
      <w:r w:rsidR="004A49BB" w:rsidRPr="00AD3AC3">
        <w:rPr>
          <w:shd w:val="clear" w:color="auto" w:fill="FFFFFF"/>
        </w:rPr>
        <w:t>% (1.</w:t>
      </w:r>
      <w:r w:rsidR="00BC10F1" w:rsidRPr="00AD3AC3">
        <w:rPr>
          <w:shd w:val="clear" w:color="auto" w:fill="FFFFFF"/>
        </w:rPr>
        <w:t>32</w:t>
      </w:r>
      <w:r w:rsidR="004A49BB" w:rsidRPr="00AD3AC3">
        <w:rPr>
          <w:shd w:val="clear" w:color="auto" w:fill="FFFFFF"/>
        </w:rPr>
        <w:t xml:space="preserve"> million) in the 2011 Census</w:t>
      </w:r>
      <w:r w:rsidRPr="00AD3AC3">
        <w:rPr>
          <w:shd w:val="clear" w:color="auto" w:fill="FFFFFF"/>
        </w:rPr>
        <w:t xml:space="preserve">). </w:t>
      </w:r>
      <w:r w:rsidR="0048677E" w:rsidRPr="00AD3AC3">
        <w:rPr>
          <w:shd w:val="clear" w:color="auto" w:fill="FFFFFF"/>
        </w:rPr>
        <w:t xml:space="preserve"> </w:t>
      </w:r>
      <w:r w:rsidRPr="00AD3AC3">
        <w:rPr>
          <w:shd w:val="clear" w:color="auto" w:fill="FFFFFF"/>
        </w:rPr>
        <w:t xml:space="preserve">The black and minority ethnic group formed </w:t>
      </w:r>
      <w:r w:rsidR="00BC10F1" w:rsidRPr="00AD3AC3">
        <w:rPr>
          <w:shd w:val="clear" w:color="auto" w:fill="FFFFFF"/>
        </w:rPr>
        <w:t>13.5</w:t>
      </w:r>
      <w:r w:rsidRPr="00AD3AC3">
        <w:rPr>
          <w:shd w:val="clear" w:color="auto" w:fill="FFFFFF"/>
        </w:rPr>
        <w:t>% of the population</w:t>
      </w:r>
      <w:r w:rsidR="004A49BB" w:rsidRPr="00AD3AC3">
        <w:rPr>
          <w:shd w:val="clear" w:color="auto" w:fill="FFFFFF"/>
        </w:rPr>
        <w:t xml:space="preserve"> (‘Asian, Asian British or Asian Welsh’ accounting for </w:t>
      </w:r>
      <w:r w:rsidR="00BC10F1" w:rsidRPr="00AD3AC3">
        <w:rPr>
          <w:shd w:val="clear" w:color="auto" w:fill="FFFFFF"/>
        </w:rPr>
        <w:t>10.4</w:t>
      </w:r>
      <w:r w:rsidR="004A49BB" w:rsidRPr="00AD3AC3">
        <w:rPr>
          <w:shd w:val="clear" w:color="auto" w:fill="FFFFFF"/>
        </w:rPr>
        <w:t>%)</w:t>
      </w:r>
      <w:r w:rsidRPr="00AD3AC3">
        <w:rPr>
          <w:shd w:val="clear" w:color="auto" w:fill="FFFFFF"/>
        </w:rPr>
        <w:t>.  Numerically, there were almost 136,756 black and minority ethnic people living in Lancashire.</w:t>
      </w:r>
    </w:p>
    <w:p w14:paraId="28EA5444" w14:textId="77777777" w:rsidR="008D527E" w:rsidRPr="00AD3AC3" w:rsidRDefault="00BC10F1" w:rsidP="004A49BB">
      <w:pPr>
        <w:rPr>
          <w:shd w:val="clear" w:color="auto" w:fill="FFFFFF"/>
        </w:rPr>
      </w:pPr>
      <w:r w:rsidRPr="00AD3AC3">
        <w:rPr>
          <w:shd w:val="clear" w:color="auto" w:fill="FFFFFF"/>
        </w:rPr>
        <w:lastRenderedPageBreak/>
        <w:t xml:space="preserve">In the Lancashire-14 area in 2021, the ‘White’ ethnic group had increased by 5,503 people (0.4%) since the 2011 Census, and the ‘Other than white’ ethnicities had risen by 64,754 persons (46.0%).  </w:t>
      </w:r>
    </w:p>
    <w:p w14:paraId="5DCF3F2D" w14:textId="362FC475" w:rsidR="004B4672" w:rsidRPr="00AD3AC3" w:rsidRDefault="008D527E" w:rsidP="008D527E">
      <w:pPr>
        <w:rPr>
          <w:shd w:val="clear" w:color="auto" w:fill="FFFFFF"/>
        </w:rPr>
      </w:pPr>
      <w:r w:rsidRPr="00AD3AC3">
        <w:rPr>
          <w:shd w:val="clear" w:color="auto" w:fill="FFFFFF"/>
        </w:rPr>
        <w:t>The number of usual residents within the ‘Other than white’ ethnicities rose in all of the Lancashire-14 local authority areas since the 2011 Census.</w:t>
      </w:r>
      <w:r w:rsidR="00BC10F1" w:rsidRPr="00AD3AC3">
        <w:rPr>
          <w:shd w:val="clear" w:color="auto" w:fill="FFFFFF"/>
        </w:rPr>
        <w:t xml:space="preserve"> </w:t>
      </w:r>
      <w:r w:rsidRPr="00AD3AC3">
        <w:rPr>
          <w:shd w:val="clear" w:color="auto" w:fill="FFFFFF"/>
        </w:rPr>
        <w:t xml:space="preserve"> Blackburn with Darwen rose by 15,873 people (34.9%).and was </w:t>
      </w:r>
      <w:r w:rsidR="004B4672" w:rsidRPr="00AD3AC3">
        <w:rPr>
          <w:shd w:val="clear" w:color="auto" w:fill="FFFFFF"/>
        </w:rPr>
        <w:t xml:space="preserve">the </w:t>
      </w:r>
      <w:r w:rsidRPr="00AD3AC3">
        <w:rPr>
          <w:shd w:val="clear" w:color="auto" w:fill="FFFFFF"/>
        </w:rPr>
        <w:t>greatest increase in the Lancashire-14 area since the 2011 Census, Preston (up 12,710 people, 45.7%) saw the next greatest increase, followed by Pendle (up 10,199 people, 56.6%), Burnley (up 5,545 people 50.4%), Hyndburn (up 4,299 people, 43.2%)</w:t>
      </w:r>
      <w:r w:rsidR="004B4672" w:rsidRPr="00AD3AC3">
        <w:rPr>
          <w:shd w:val="clear" w:color="auto" w:fill="FFFFFF"/>
        </w:rPr>
        <w:t xml:space="preserve">, </w:t>
      </w:r>
      <w:r w:rsidRPr="00AD3AC3">
        <w:rPr>
          <w:shd w:val="clear" w:color="auto" w:fill="FFFFFF"/>
        </w:rPr>
        <w:t>Lancaster (up 3,833 people, 61.5%)</w:t>
      </w:r>
      <w:r w:rsidR="004B4672" w:rsidRPr="00AD3AC3">
        <w:rPr>
          <w:shd w:val="clear" w:color="auto" w:fill="FFFFFF"/>
        </w:rPr>
        <w:t xml:space="preserve"> and Blackpool rose by 2,776 people (58.7%).</w:t>
      </w:r>
      <w:r w:rsidRPr="00AD3AC3">
        <w:rPr>
          <w:shd w:val="clear" w:color="auto" w:fill="FFFFFF"/>
        </w:rPr>
        <w:t>.  Wyre saw the smallest numerical increase (932 people, 49.1%).</w:t>
      </w:r>
    </w:p>
    <w:p w14:paraId="64A011F0" w14:textId="116B5602" w:rsidR="008D527E" w:rsidRPr="00AD3AC3" w:rsidRDefault="008D527E" w:rsidP="008D527E">
      <w:pPr>
        <w:rPr>
          <w:shd w:val="clear" w:color="auto" w:fill="FFFFFF"/>
        </w:rPr>
      </w:pPr>
      <w:r w:rsidRPr="00AD3AC3">
        <w:rPr>
          <w:shd w:val="clear" w:color="auto" w:fill="FFFFFF"/>
        </w:rPr>
        <w:t>Ribble Valley (up 88.8%, 1,091 people) and West Lancashire (up 75.6%, 1,574 people) saw the largest percentage increases in the area.  Rossendale (up 27.5%, 1,158 people) recorded the lowest percentage increase in the area.</w:t>
      </w:r>
    </w:p>
    <w:p w14:paraId="040CFD0A" w14:textId="531DC298" w:rsidR="00247716" w:rsidRPr="00AD3AC3" w:rsidRDefault="008D527E" w:rsidP="004A49BB">
      <w:pPr>
        <w:rPr>
          <w:b/>
          <w:lang w:eastAsia="en-GB"/>
        </w:rPr>
      </w:pPr>
      <w:r w:rsidRPr="00AD3AC3">
        <w:rPr>
          <w:lang w:eastAsia="en-GB"/>
        </w:rPr>
        <w:t>In the Lancashire-14 area, the 2021 Census results show that Blackburn with Darwen, Pendle, and Preston have the highest proportions of ethnicities ‘Other than white’ (39.7%, 29.6%, 27.6% respectively), and are above the proportions for England and Wales (18.5%) and England (19.0%).  The remaining eleven Lancashire-14 local authority areas, including Blackpool unitary authority, have lower proportions than England and Wales, with the bottom 3 being Wyre (2.6%), West Lancashire (3.2%) and Ribble Valley (3.8%).</w:t>
      </w:r>
    </w:p>
    <w:p w14:paraId="6840BFF0" w14:textId="45F0EFFE" w:rsidR="009308D7" w:rsidRPr="00AD3AC3" w:rsidRDefault="009308D7" w:rsidP="00D43F89">
      <w:pPr>
        <w:pStyle w:val="Heading3"/>
      </w:pPr>
      <w:bookmarkStart w:id="42" w:name="_Toc208329927"/>
      <w:bookmarkEnd w:id="40"/>
      <w:bookmarkEnd w:id="41"/>
      <w:r w:rsidRPr="00AD3AC3">
        <w:t>Health</w:t>
      </w:r>
      <w:r w:rsidR="00DB6F7E" w:rsidRPr="00AD3AC3">
        <w:t xml:space="preserve"> and </w:t>
      </w:r>
      <w:r w:rsidR="00D43F89" w:rsidRPr="00AD3AC3">
        <w:t>W</w:t>
      </w:r>
      <w:r w:rsidR="00DB6F7E" w:rsidRPr="00AD3AC3">
        <w:t>ellbeing</w:t>
      </w:r>
      <w:bookmarkEnd w:id="42"/>
    </w:p>
    <w:p w14:paraId="17103886" w14:textId="77777777" w:rsidR="009308D7" w:rsidRPr="00AD3AC3" w:rsidRDefault="009308D7" w:rsidP="009308D7">
      <w:r w:rsidRPr="00AD3AC3">
        <w:t>The health and wellbeing of the people of Lancashire can be linked to lifestyle and behavioural factors but can also be linked to a wide variety of social, economic, and environmental factors such as poverty, deprivation, housing, environment, or ethnicity.  All these factors can heighten the risk of individuals being more susceptible to requiring assistance from the emergency services.</w:t>
      </w:r>
    </w:p>
    <w:p w14:paraId="64553A74" w14:textId="3DFD344E" w:rsidR="009308D7" w:rsidRPr="00AD3AC3" w:rsidRDefault="009308D7" w:rsidP="009308D7">
      <w:pPr>
        <w:rPr>
          <w:color w:val="212529"/>
        </w:rPr>
      </w:pPr>
      <w:r w:rsidRPr="00AD3AC3">
        <w:rPr>
          <w:color w:val="212529"/>
        </w:rPr>
        <w:t>The health of people in Lancashire varies when compared to England.  Within the county there are wide differences between the most and least deprived areas.  Blackpool (53.5 years) has the lowest male Healthy Life Expectancy (HLE)</w:t>
      </w:r>
      <w:r w:rsidRPr="00AD3AC3">
        <w:rPr>
          <w:rStyle w:val="FootnoteReference"/>
          <w:color w:val="212529"/>
        </w:rPr>
        <w:footnoteReference w:id="2"/>
      </w:r>
      <w:r w:rsidRPr="00AD3AC3">
        <w:rPr>
          <w:color w:val="212529"/>
        </w:rPr>
        <w:t xml:space="preserve"> in England; Blackburn with Darwen (58.8 years) is also one of the lowest.  Both are significantly worse than England (63.1 years).  Blackpool (54.3 years) and Blackburn with Darwen (59.3 years) also have amongst the lowest H</w:t>
      </w:r>
      <w:r w:rsidR="00235950" w:rsidRPr="00AD3AC3">
        <w:rPr>
          <w:color w:val="212529"/>
        </w:rPr>
        <w:t xml:space="preserve">ealthy </w:t>
      </w:r>
      <w:r w:rsidRPr="00AD3AC3">
        <w:rPr>
          <w:color w:val="212529"/>
        </w:rPr>
        <w:t>L</w:t>
      </w:r>
      <w:r w:rsidR="00235950" w:rsidRPr="00AD3AC3">
        <w:rPr>
          <w:color w:val="212529"/>
        </w:rPr>
        <w:t xml:space="preserve">ife </w:t>
      </w:r>
      <w:r w:rsidRPr="00AD3AC3">
        <w:rPr>
          <w:color w:val="212529"/>
        </w:rPr>
        <w:t xml:space="preserve">Expectancy for females, with Blackpool having the lowest in England. </w:t>
      </w:r>
    </w:p>
    <w:p w14:paraId="34B062D0" w14:textId="77777777" w:rsidR="009308D7" w:rsidRPr="00D0265C" w:rsidRDefault="009308D7" w:rsidP="009308D7">
      <w:pPr>
        <w:rPr>
          <w:rFonts w:eastAsia="Times New Roman" w:cs="Arial"/>
          <w:color w:val="212529"/>
          <w:szCs w:val="24"/>
          <w:highlight w:val="yellow"/>
          <w:lang w:eastAsia="en-GB"/>
        </w:rPr>
      </w:pPr>
      <w:r w:rsidRPr="00AD3AC3">
        <w:rPr>
          <w:rFonts w:cs="Arial"/>
          <w:color w:val="212529"/>
        </w:rPr>
        <w:t>When looking at life expectancy at birth for men, a</w:t>
      </w:r>
      <w:r w:rsidRPr="00AD3AC3">
        <w:rPr>
          <w:rFonts w:cs="Arial"/>
          <w:color w:val="212529"/>
          <w:shd w:val="clear" w:color="auto" w:fill="FFFFFF"/>
        </w:rPr>
        <w:t xml:space="preserve">t a district level, only Ribble Valley (81.0 years) has a significantly better male Life Expectancy when compared to England (79.4).  </w:t>
      </w:r>
      <w:r w:rsidRPr="00AD3AC3">
        <w:rPr>
          <w:rFonts w:cs="Arial"/>
          <w:color w:val="212529"/>
          <w:shd w:val="clear" w:color="auto" w:fill="FFFFFF"/>
        </w:rPr>
        <w:lastRenderedPageBreak/>
        <w:t xml:space="preserve">Burnley (75.7), Hyndburn (76.6), Preston (76.7), Wyre (77.8), Rossendale (77.9), Pendle (78.0) and Lancaster (78.5) are all significantly worse.  </w:t>
      </w:r>
      <w:r w:rsidRPr="00AD3AC3">
        <w:rPr>
          <w:rFonts w:eastAsia="Times New Roman" w:cs="Arial"/>
          <w:color w:val="212529"/>
          <w:szCs w:val="24"/>
          <w:lang w:eastAsia="en-GB"/>
        </w:rPr>
        <w:t>At district level, the Life Expectancy for females are significantly worse than England (83.1) for Burnley (80.3), Preston (80.5), Hyndburn (80.8), Rossendale (81.2), Pendle (81.5), Chorley (81.9), Lancaster (82.2) and Wyre (82.3).</w:t>
      </w:r>
    </w:p>
    <w:p w14:paraId="27D105C6" w14:textId="4D39D8DE" w:rsidR="00AD3AC3" w:rsidRPr="00091845" w:rsidRDefault="00AD3AC3" w:rsidP="00D0265C">
      <w:r w:rsidRPr="00091845">
        <w:t>The Active Lives Survey 2023/24 estimates that over two-thirds (66.9%) of the adult population (19+ years) in Lancashire-12 are physically active (meeting the national guidelines of a minimum of 150 minutes of moderate activity per week), statistically similar to the England proportion (67.4%). However, in Blackburn with Darwen (57.8%) and Blackpool (48.9%) the rates are significantly lower, with Blackpool having the lowest proportion of physically active adults in England (of all county and unitary authorities).</w:t>
      </w:r>
    </w:p>
    <w:p w14:paraId="4B9B96D2" w14:textId="77777777" w:rsidR="00AD3AC3" w:rsidRPr="00091845" w:rsidRDefault="00AD3AC3" w:rsidP="00AD3AC3">
      <w:r w:rsidRPr="00091845">
        <w:t>Pendle (60.7%), Hyndburn (60.3%), and Burnley (59.5%) are estimated to have a significantly lower proportion of physically active adults  compared to England, whilst all other districts have similar proportions to England.</w:t>
      </w:r>
    </w:p>
    <w:p w14:paraId="1754AC08" w14:textId="77777777" w:rsidR="00091845" w:rsidRPr="00091845" w:rsidRDefault="00091845" w:rsidP="00D0265C">
      <w:r w:rsidRPr="00091845">
        <w:t>Over a fifth (22.3%) of the adult population in Lancashire-12 is physically inactive (adults doing less than 30 minutes of moderate activity per week), similar to England (22.0%). Again Blackburn with Darwen (31.6%) and Blackpool (36.6%) had much higher rates of inactivity, Blackpool being the worst in England.</w:t>
      </w:r>
    </w:p>
    <w:p w14:paraId="3390138E" w14:textId="5FBDAB32" w:rsidR="009308D7" w:rsidRPr="00091845" w:rsidRDefault="009308D7" w:rsidP="009308D7">
      <w:pPr>
        <w:rPr>
          <w:rFonts w:cs="Arial"/>
          <w:color w:val="212529"/>
        </w:rPr>
      </w:pPr>
      <w:r w:rsidRPr="00091845">
        <w:rPr>
          <w:rFonts w:cs="Arial"/>
          <w:color w:val="212529"/>
        </w:rPr>
        <w:t xml:space="preserve">There are issues across the county around falls, unintentional injuries and hospital admissions.  The highest risk of falls is in those aged 65 and above, and it is estimated that about 30% of people aged 65 and above living at home and about 50% of people aged 80 and above living at home or in residential care will experience an episode of fall at least once a year. Falls that result in injury can be very serious - approximately 1 in 20 older people living in the community experience a fracture or need hospitalisation after a fall.  In the Lancashire-12 area the percentage of the 65+ population predicted to have a fall is projected to increase by </w:t>
      </w:r>
      <w:r w:rsidR="00091845" w:rsidRPr="00D0265C">
        <w:rPr>
          <w:rFonts w:cs="Arial"/>
          <w:color w:val="212529"/>
        </w:rPr>
        <w:t>28.4</w:t>
      </w:r>
      <w:r w:rsidRPr="00091845">
        <w:rPr>
          <w:rFonts w:cs="Arial"/>
          <w:color w:val="212529"/>
        </w:rPr>
        <w:t xml:space="preserve">% by </w:t>
      </w:r>
      <w:r w:rsidR="00091845" w:rsidRPr="00091845">
        <w:rPr>
          <w:rFonts w:cs="Arial"/>
          <w:color w:val="212529"/>
        </w:rPr>
        <w:t>20</w:t>
      </w:r>
      <w:r w:rsidR="00091845" w:rsidRPr="00D0265C">
        <w:rPr>
          <w:rFonts w:cs="Arial"/>
          <w:color w:val="212529"/>
        </w:rPr>
        <w:t>40</w:t>
      </w:r>
      <w:r w:rsidR="00091845" w:rsidRPr="00091845">
        <w:rPr>
          <w:rFonts w:cs="Arial"/>
          <w:color w:val="212529"/>
        </w:rPr>
        <w:t xml:space="preserve"> </w:t>
      </w:r>
      <w:r w:rsidRPr="00091845">
        <w:rPr>
          <w:rFonts w:cs="Arial"/>
          <w:color w:val="212529"/>
        </w:rPr>
        <w:t xml:space="preserve">and the percentage of these predicted to be admitted to hospital as a result is projected to increase by </w:t>
      </w:r>
      <w:r w:rsidR="00091845" w:rsidRPr="00D0265C">
        <w:rPr>
          <w:rFonts w:cs="Arial"/>
          <w:color w:val="212529"/>
        </w:rPr>
        <w:t>34.8</w:t>
      </w:r>
      <w:r w:rsidRPr="00091845">
        <w:rPr>
          <w:rFonts w:cs="Arial"/>
          <w:color w:val="212529"/>
        </w:rPr>
        <w:t xml:space="preserve">% by </w:t>
      </w:r>
      <w:r w:rsidR="00091845" w:rsidRPr="00091845">
        <w:rPr>
          <w:rFonts w:cs="Arial"/>
          <w:color w:val="212529"/>
        </w:rPr>
        <w:t>20</w:t>
      </w:r>
      <w:r w:rsidR="00091845" w:rsidRPr="00D0265C">
        <w:rPr>
          <w:rFonts w:cs="Arial"/>
          <w:color w:val="212529"/>
        </w:rPr>
        <w:t>40</w:t>
      </w:r>
      <w:r w:rsidR="00091845" w:rsidRPr="00091845">
        <w:rPr>
          <w:rFonts w:cs="Arial"/>
          <w:color w:val="212529"/>
        </w:rPr>
        <w:t xml:space="preserve"> </w:t>
      </w:r>
      <w:r w:rsidRPr="00091845">
        <w:rPr>
          <w:rFonts w:cs="Arial"/>
          <w:color w:val="212529"/>
        </w:rPr>
        <w:t>(from 202</w:t>
      </w:r>
      <w:r w:rsidR="00091845" w:rsidRPr="00D0265C">
        <w:rPr>
          <w:rFonts w:cs="Arial"/>
          <w:color w:val="212529"/>
        </w:rPr>
        <w:t>5</w:t>
      </w:r>
      <w:r w:rsidRPr="00091845">
        <w:rPr>
          <w:rFonts w:cs="Arial"/>
          <w:color w:val="212529"/>
        </w:rPr>
        <w:t>).</w:t>
      </w:r>
    </w:p>
    <w:p w14:paraId="394AF1F2" w14:textId="77777777" w:rsidR="009308D7" w:rsidRPr="00091845" w:rsidRDefault="009308D7" w:rsidP="009308D7">
      <w:pPr>
        <w:rPr>
          <w:color w:val="212529"/>
        </w:rPr>
      </w:pPr>
      <w:r w:rsidRPr="00091845">
        <w:rPr>
          <w:rFonts w:cs="Arial"/>
          <w:color w:val="212529"/>
        </w:rPr>
        <w:t>The health of adults in the county is mixed; prevalence and incidence rates for many long-term conditions varies (although this may be indicative of effective screening in some districts) and residents in the more deprived areas of</w:t>
      </w:r>
      <w:r w:rsidRPr="00091845">
        <w:rPr>
          <w:color w:val="212529"/>
        </w:rPr>
        <w:t xml:space="preserve"> Lancashire tend to have higher levels of premature and overall mortality from these conditions.</w:t>
      </w:r>
    </w:p>
    <w:p w14:paraId="0B30B612" w14:textId="77777777" w:rsidR="009308D7" w:rsidRPr="00091845" w:rsidRDefault="009308D7" w:rsidP="009308D7">
      <w:r w:rsidRPr="00091845">
        <w:t>The national average for people with limiting long-term illness from the 2011 Census is 8.5%, however Lancashire is above the national average with 10.3%.</w:t>
      </w:r>
    </w:p>
    <w:p w14:paraId="66C58C41" w14:textId="77777777" w:rsidR="009308D7" w:rsidRPr="00091845" w:rsidRDefault="009308D7" w:rsidP="009308D7">
      <w:pPr>
        <w:rPr>
          <w:color w:val="212529"/>
        </w:rPr>
      </w:pPr>
      <w:r w:rsidRPr="00091845">
        <w:rPr>
          <w:color w:val="212529"/>
        </w:rPr>
        <w:t>There are issues around mental health and wellbeing, with residents in the most deprived areas of Lancashire nearly twice as likely to have mental health problems compared to those in the least deprived areas.  This includes common mental health issues such as depression and anxiety, and more severe disorders such as schizophrenia.</w:t>
      </w:r>
    </w:p>
    <w:p w14:paraId="43A290E6" w14:textId="29637D09" w:rsidR="009308D7" w:rsidRPr="00091845" w:rsidRDefault="009308D7" w:rsidP="009308D7">
      <w:r w:rsidRPr="00091845">
        <w:lastRenderedPageBreak/>
        <w:t>Figures from the Primary Care Dementia Data show that on 31 March 202</w:t>
      </w:r>
      <w:r w:rsidR="00091845" w:rsidRPr="00D0265C">
        <w:t>5</w:t>
      </w:r>
      <w:r w:rsidRPr="00091845">
        <w:t xml:space="preserve"> there were 11,</w:t>
      </w:r>
      <w:r w:rsidR="00091845" w:rsidRPr="00D0265C">
        <w:t>749</w:t>
      </w:r>
      <w:r w:rsidR="00091845" w:rsidRPr="00091845">
        <w:t xml:space="preserve"> </w:t>
      </w:r>
      <w:r w:rsidRPr="00091845">
        <w:t>known cases of dementia in the 65+ registered population across the Lancashire-12 area.  For Blackburn with Darwen this was 1,</w:t>
      </w:r>
      <w:r w:rsidR="00091845" w:rsidRPr="00091845">
        <w:t>0</w:t>
      </w:r>
      <w:r w:rsidR="00091845" w:rsidRPr="00D0265C">
        <w:t>20</w:t>
      </w:r>
      <w:r w:rsidRPr="00091845">
        <w:t>, and Blackpool was 1,</w:t>
      </w:r>
      <w:r w:rsidR="00091845" w:rsidRPr="0085725E">
        <w:t>549</w:t>
      </w:r>
      <w:r w:rsidRPr="00091845">
        <w:t>.</w:t>
      </w:r>
    </w:p>
    <w:p w14:paraId="4E9DA7FD" w14:textId="77777777" w:rsidR="009308D7" w:rsidRPr="00091845" w:rsidRDefault="009308D7" w:rsidP="009308D7">
      <w:r w:rsidRPr="00091845">
        <w:t>Adult social care is an important function of the county council, particularly with the expected rise in the older population.  There are many factors which can influence whether an individual accesses social care including living arrangements and health status.  In Lancashire, more people aged over-65 live alone compared to England and are more likely to have a limiting long-term illness or disability, requiring adult care services, a figure which is likely to increase.</w:t>
      </w:r>
    </w:p>
    <w:p w14:paraId="114265FC" w14:textId="77777777" w:rsidR="009308D7" w:rsidRPr="00091845" w:rsidRDefault="009308D7" w:rsidP="009308D7">
      <w:r w:rsidRPr="00091845">
        <w:t>The percentage of people aged 16 years and over and classed as long-term sick or disabled in the 2021 Census was 4.64% in Lancashire compared to 4.07% as an average in England.</w:t>
      </w:r>
    </w:p>
    <w:p w14:paraId="3B4F3C8E" w14:textId="77777777" w:rsidR="009308D7" w:rsidRPr="00091845" w:rsidRDefault="009308D7" w:rsidP="009308D7">
      <w:r w:rsidRPr="00091845">
        <w:t>The most up to date estimates (2016/17) indicate that there are 9.1 opiate and/or crack cocaine users (per 1,000 of the population aged 15-64) in the Lancashire-12 area, in line with the England estimate (8.9). Blackburn with Darwen (18.8) and Blackpool (23.5) both have significantly higher estimated rates of opiate and/or crack cocaine users.</w:t>
      </w:r>
    </w:p>
    <w:p w14:paraId="321DAF3F" w14:textId="33BA40E5" w:rsidR="005B2DE5" w:rsidRDefault="005B2DE5" w:rsidP="005B2DE5">
      <w:r>
        <w:t>The Smoking Prevalence Annual Population Survey (APS), 2021-23 estimates that in the Lancashire-12 area, 13.4% of adults (18+) smoke, which is statistically similar to the England estimate of 12.4%.  At a district level, Fylde (7.9%) and Ribble Valley (6.0%) both have statistically significantly lower prevalence of smoking whilst all other districts are statistically similar to England.</w:t>
      </w:r>
    </w:p>
    <w:p w14:paraId="595EBDA0" w14:textId="52DB6043" w:rsidR="009308D7" w:rsidRPr="00D0265C" w:rsidRDefault="005B2DE5" w:rsidP="009308D7">
      <w:pPr>
        <w:rPr>
          <w:highlight w:val="yellow"/>
        </w:rPr>
      </w:pPr>
      <w:r>
        <w:t>Blackburn with Darwen (17.2%) and Blackpool (20%) both have a significantly higher estimated proportion of adult smokers compared to England.</w:t>
      </w:r>
    </w:p>
    <w:tbl>
      <w:tblPr>
        <w:tblStyle w:val="TableGrid"/>
        <w:tblW w:w="0" w:type="auto"/>
        <w:jc w:val="center"/>
        <w:tblLayout w:type="fixed"/>
        <w:tblLook w:val="06A0" w:firstRow="1" w:lastRow="0" w:firstColumn="1" w:lastColumn="0" w:noHBand="1" w:noVBand="1"/>
        <w:tblCaption w:val="Common factors and Safe and Well Visit"/>
        <w:tblDescription w:val="Table listing the common factors present during Accidental Dwelling Fires and the 7 determinants covered during Safe and Well visits"/>
      </w:tblPr>
      <w:tblGrid>
        <w:gridCol w:w="4508"/>
        <w:gridCol w:w="4508"/>
      </w:tblGrid>
      <w:tr w:rsidR="009308D7" w:rsidRPr="005B2DE5" w14:paraId="1E9006ED" w14:textId="77777777" w:rsidTr="00D8148D">
        <w:trPr>
          <w:tblHeader/>
          <w:jc w:val="center"/>
        </w:trPr>
        <w:tc>
          <w:tcPr>
            <w:tcW w:w="4508" w:type="dxa"/>
            <w:shd w:val="clear" w:color="auto" w:fill="D9D9D9" w:themeFill="background1" w:themeFillShade="D9"/>
          </w:tcPr>
          <w:p w14:paraId="229D8B47" w14:textId="77777777" w:rsidR="009308D7" w:rsidRPr="005B2DE5" w:rsidRDefault="009308D7" w:rsidP="00D8148D">
            <w:pPr>
              <w:pStyle w:val="Tabletext"/>
              <w:rPr>
                <w:b/>
                <w:sz w:val="24"/>
              </w:rPr>
            </w:pPr>
            <w:r w:rsidRPr="005B2DE5">
              <w:rPr>
                <w:b/>
                <w:sz w:val="24"/>
              </w:rPr>
              <w:t>Common factors present during Accidental Dwelling Fires.</w:t>
            </w:r>
          </w:p>
        </w:tc>
        <w:tc>
          <w:tcPr>
            <w:tcW w:w="4508" w:type="dxa"/>
            <w:shd w:val="clear" w:color="auto" w:fill="D9D9D9" w:themeFill="background1" w:themeFillShade="D9"/>
          </w:tcPr>
          <w:p w14:paraId="10F4E8B4" w14:textId="77777777" w:rsidR="009308D7" w:rsidRPr="005B2DE5" w:rsidRDefault="009308D7" w:rsidP="00D8148D">
            <w:pPr>
              <w:pStyle w:val="Tabletext"/>
              <w:rPr>
                <w:b/>
                <w:sz w:val="24"/>
              </w:rPr>
            </w:pPr>
            <w:r w:rsidRPr="005B2DE5">
              <w:rPr>
                <w:b/>
                <w:sz w:val="24"/>
              </w:rPr>
              <w:t>The 7 determinants covered during Safe and Well visits.</w:t>
            </w:r>
          </w:p>
        </w:tc>
      </w:tr>
      <w:tr w:rsidR="009308D7" w:rsidRPr="005B2DE5" w14:paraId="3C1BF4CE" w14:textId="77777777" w:rsidTr="00D8148D">
        <w:trPr>
          <w:jc w:val="center"/>
        </w:trPr>
        <w:tc>
          <w:tcPr>
            <w:tcW w:w="4508" w:type="dxa"/>
          </w:tcPr>
          <w:p w14:paraId="16667B28" w14:textId="77777777" w:rsidR="009308D7" w:rsidRPr="005B2DE5" w:rsidRDefault="009308D7" w:rsidP="00D8148D">
            <w:pPr>
              <w:pStyle w:val="Tabletext"/>
              <w:rPr>
                <w:sz w:val="24"/>
              </w:rPr>
            </w:pPr>
            <w:r w:rsidRPr="005B2DE5">
              <w:rPr>
                <w:sz w:val="24"/>
              </w:rPr>
              <w:t>Physical and mental health</w:t>
            </w:r>
          </w:p>
        </w:tc>
        <w:tc>
          <w:tcPr>
            <w:tcW w:w="4508" w:type="dxa"/>
          </w:tcPr>
          <w:p w14:paraId="748F64D3" w14:textId="77777777" w:rsidR="009308D7" w:rsidRPr="005B2DE5" w:rsidRDefault="009308D7" w:rsidP="00D8148D">
            <w:pPr>
              <w:pStyle w:val="Tabletext"/>
              <w:rPr>
                <w:sz w:val="24"/>
              </w:rPr>
            </w:pPr>
            <w:r w:rsidRPr="005B2DE5">
              <w:rPr>
                <w:sz w:val="24"/>
              </w:rPr>
              <w:t>Falls prevention</w:t>
            </w:r>
          </w:p>
        </w:tc>
      </w:tr>
      <w:tr w:rsidR="009308D7" w:rsidRPr="005B2DE5" w14:paraId="0AFBA10B" w14:textId="77777777" w:rsidTr="00D8148D">
        <w:trPr>
          <w:jc w:val="center"/>
        </w:trPr>
        <w:tc>
          <w:tcPr>
            <w:tcW w:w="4508" w:type="dxa"/>
          </w:tcPr>
          <w:p w14:paraId="178B49F2" w14:textId="77777777" w:rsidR="009308D7" w:rsidRPr="005B2DE5" w:rsidRDefault="009308D7" w:rsidP="00D8148D">
            <w:pPr>
              <w:pStyle w:val="Tabletext"/>
              <w:rPr>
                <w:sz w:val="24"/>
              </w:rPr>
            </w:pPr>
            <w:r w:rsidRPr="005B2DE5">
              <w:rPr>
                <w:sz w:val="24"/>
              </w:rPr>
              <w:t>Hoarding and significant clutter</w:t>
            </w:r>
          </w:p>
        </w:tc>
        <w:tc>
          <w:tcPr>
            <w:tcW w:w="4508" w:type="dxa"/>
          </w:tcPr>
          <w:p w14:paraId="55A08ADA" w14:textId="77777777" w:rsidR="009308D7" w:rsidRPr="005B2DE5" w:rsidRDefault="009308D7" w:rsidP="00D8148D">
            <w:pPr>
              <w:pStyle w:val="Tabletext"/>
              <w:rPr>
                <w:sz w:val="24"/>
              </w:rPr>
            </w:pPr>
            <w:r w:rsidRPr="005B2DE5">
              <w:rPr>
                <w:sz w:val="24"/>
              </w:rPr>
              <w:t>Social isolation</w:t>
            </w:r>
          </w:p>
        </w:tc>
      </w:tr>
      <w:tr w:rsidR="009308D7" w:rsidRPr="005B2DE5" w14:paraId="382876A1" w14:textId="77777777" w:rsidTr="00D8148D">
        <w:trPr>
          <w:jc w:val="center"/>
        </w:trPr>
        <w:tc>
          <w:tcPr>
            <w:tcW w:w="4508" w:type="dxa"/>
          </w:tcPr>
          <w:p w14:paraId="725DE049" w14:textId="77777777" w:rsidR="009308D7" w:rsidRPr="005B2DE5" w:rsidRDefault="009308D7" w:rsidP="00D8148D">
            <w:pPr>
              <w:pStyle w:val="Tabletext"/>
              <w:rPr>
                <w:sz w:val="24"/>
              </w:rPr>
            </w:pPr>
            <w:r w:rsidRPr="005B2DE5">
              <w:rPr>
                <w:sz w:val="24"/>
              </w:rPr>
              <w:t>Substance misuse and/or alcohol</w:t>
            </w:r>
          </w:p>
        </w:tc>
        <w:tc>
          <w:tcPr>
            <w:tcW w:w="4508" w:type="dxa"/>
          </w:tcPr>
          <w:p w14:paraId="167240B1" w14:textId="77777777" w:rsidR="009308D7" w:rsidRPr="005B2DE5" w:rsidRDefault="009308D7" w:rsidP="00D8148D">
            <w:pPr>
              <w:pStyle w:val="Tabletext"/>
              <w:rPr>
                <w:sz w:val="24"/>
              </w:rPr>
            </w:pPr>
            <w:r w:rsidRPr="005B2DE5">
              <w:rPr>
                <w:sz w:val="24"/>
              </w:rPr>
              <w:t>Living with dementia</w:t>
            </w:r>
          </w:p>
        </w:tc>
      </w:tr>
      <w:tr w:rsidR="009308D7" w:rsidRPr="005B2DE5" w14:paraId="369AEBF9" w14:textId="77777777" w:rsidTr="00D8148D">
        <w:trPr>
          <w:jc w:val="center"/>
        </w:trPr>
        <w:tc>
          <w:tcPr>
            <w:tcW w:w="4508" w:type="dxa"/>
          </w:tcPr>
          <w:p w14:paraId="035BDE67" w14:textId="77777777" w:rsidR="009308D7" w:rsidRPr="005B2DE5" w:rsidRDefault="009308D7" w:rsidP="00D8148D">
            <w:pPr>
              <w:pStyle w:val="Tabletext"/>
              <w:rPr>
                <w:sz w:val="24"/>
              </w:rPr>
            </w:pPr>
            <w:r w:rsidRPr="005B2DE5">
              <w:rPr>
                <w:sz w:val="24"/>
              </w:rPr>
              <w:t>Smoking</w:t>
            </w:r>
          </w:p>
        </w:tc>
        <w:tc>
          <w:tcPr>
            <w:tcW w:w="4508" w:type="dxa"/>
          </w:tcPr>
          <w:p w14:paraId="766FB5B6" w14:textId="77777777" w:rsidR="009308D7" w:rsidRPr="005B2DE5" w:rsidRDefault="009308D7" w:rsidP="00D8148D">
            <w:pPr>
              <w:pStyle w:val="Tabletext"/>
              <w:rPr>
                <w:sz w:val="24"/>
              </w:rPr>
            </w:pPr>
            <w:r w:rsidRPr="005B2DE5">
              <w:rPr>
                <w:sz w:val="24"/>
              </w:rPr>
              <w:t>Diabetes</w:t>
            </w:r>
          </w:p>
        </w:tc>
      </w:tr>
      <w:tr w:rsidR="009308D7" w:rsidRPr="005B2DE5" w14:paraId="0E40EA20" w14:textId="77777777" w:rsidTr="00D8148D">
        <w:trPr>
          <w:jc w:val="center"/>
        </w:trPr>
        <w:tc>
          <w:tcPr>
            <w:tcW w:w="4508" w:type="dxa"/>
          </w:tcPr>
          <w:p w14:paraId="705B75D0" w14:textId="77777777" w:rsidR="009308D7" w:rsidRPr="005B2DE5" w:rsidRDefault="009308D7" w:rsidP="00D8148D">
            <w:pPr>
              <w:pStyle w:val="Tabletext"/>
              <w:rPr>
                <w:sz w:val="24"/>
              </w:rPr>
            </w:pPr>
            <w:r w:rsidRPr="005B2DE5">
              <w:rPr>
                <w:sz w:val="24"/>
              </w:rPr>
              <w:t>Elderly</w:t>
            </w:r>
          </w:p>
        </w:tc>
        <w:tc>
          <w:tcPr>
            <w:tcW w:w="4508" w:type="dxa"/>
          </w:tcPr>
          <w:p w14:paraId="7FC39BE7" w14:textId="77777777" w:rsidR="009308D7" w:rsidRPr="005B2DE5" w:rsidRDefault="009308D7" w:rsidP="00D8148D">
            <w:pPr>
              <w:pStyle w:val="Tabletext"/>
              <w:rPr>
                <w:sz w:val="24"/>
              </w:rPr>
            </w:pPr>
            <w:r w:rsidRPr="005B2DE5">
              <w:rPr>
                <w:sz w:val="24"/>
              </w:rPr>
              <w:t>Healthy homes/ winter pressures</w:t>
            </w:r>
          </w:p>
        </w:tc>
      </w:tr>
      <w:tr w:rsidR="009308D7" w:rsidRPr="005B2DE5" w14:paraId="2598F723" w14:textId="77777777" w:rsidTr="00D8148D">
        <w:trPr>
          <w:jc w:val="center"/>
        </w:trPr>
        <w:tc>
          <w:tcPr>
            <w:tcW w:w="4508" w:type="dxa"/>
          </w:tcPr>
          <w:p w14:paraId="6B62952E" w14:textId="77777777" w:rsidR="009308D7" w:rsidRPr="005B2DE5" w:rsidRDefault="009308D7" w:rsidP="00D8148D">
            <w:pPr>
              <w:pStyle w:val="Tabletext"/>
              <w:rPr>
                <w:sz w:val="24"/>
              </w:rPr>
            </w:pPr>
            <w:r w:rsidRPr="005B2DE5">
              <w:rPr>
                <w:sz w:val="24"/>
              </w:rPr>
              <w:t>Lone person</w:t>
            </w:r>
          </w:p>
        </w:tc>
        <w:tc>
          <w:tcPr>
            <w:tcW w:w="4508" w:type="dxa"/>
          </w:tcPr>
          <w:p w14:paraId="4001F175" w14:textId="77777777" w:rsidR="009308D7" w:rsidRPr="005B2DE5" w:rsidRDefault="009308D7" w:rsidP="00D8148D">
            <w:pPr>
              <w:pStyle w:val="Tabletext"/>
              <w:rPr>
                <w:sz w:val="24"/>
              </w:rPr>
            </w:pPr>
            <w:r w:rsidRPr="005B2DE5">
              <w:rPr>
                <w:sz w:val="24"/>
              </w:rPr>
              <w:t>Home security/ arson vulnerability</w:t>
            </w:r>
          </w:p>
        </w:tc>
      </w:tr>
      <w:tr w:rsidR="009308D7" w:rsidRPr="002B7E1B" w14:paraId="49AF3D7B" w14:textId="77777777" w:rsidTr="00D8148D">
        <w:trPr>
          <w:jc w:val="center"/>
        </w:trPr>
        <w:tc>
          <w:tcPr>
            <w:tcW w:w="4508" w:type="dxa"/>
          </w:tcPr>
          <w:p w14:paraId="784DC730" w14:textId="77777777" w:rsidR="009308D7" w:rsidRPr="005B2DE5" w:rsidRDefault="009308D7" w:rsidP="00D8148D">
            <w:pPr>
              <w:pStyle w:val="Tabletext"/>
              <w:rPr>
                <w:sz w:val="24"/>
              </w:rPr>
            </w:pPr>
            <w:r w:rsidRPr="005B2DE5">
              <w:rPr>
                <w:sz w:val="24"/>
              </w:rPr>
              <w:t>-</w:t>
            </w:r>
          </w:p>
        </w:tc>
        <w:tc>
          <w:tcPr>
            <w:tcW w:w="4508" w:type="dxa"/>
          </w:tcPr>
          <w:p w14:paraId="5ADF7598" w14:textId="77777777" w:rsidR="009308D7" w:rsidRPr="005B2DE5" w:rsidRDefault="009308D7" w:rsidP="00D8148D">
            <w:pPr>
              <w:pStyle w:val="Tabletext"/>
              <w:rPr>
                <w:sz w:val="24"/>
              </w:rPr>
            </w:pPr>
            <w:r w:rsidRPr="005B2DE5">
              <w:rPr>
                <w:sz w:val="24"/>
              </w:rPr>
              <w:t>Mental health</w:t>
            </w:r>
          </w:p>
        </w:tc>
      </w:tr>
    </w:tbl>
    <w:p w14:paraId="2E76BC20" w14:textId="0122B137" w:rsidR="009308D7" w:rsidRPr="0077776B" w:rsidRDefault="009308D7" w:rsidP="00005AB5">
      <w:pPr>
        <w:pStyle w:val="Heading2"/>
      </w:pPr>
      <w:bookmarkStart w:id="43" w:name="_Toc208329928"/>
      <w:r w:rsidRPr="0077776B">
        <w:lastRenderedPageBreak/>
        <w:t>Techn</w:t>
      </w:r>
      <w:r w:rsidR="005C2895" w:rsidRPr="0077776B">
        <w:t>ological (and Infrastructure)</w:t>
      </w:r>
      <w:bookmarkEnd w:id="43"/>
    </w:p>
    <w:p w14:paraId="068B506F" w14:textId="3E010968" w:rsidR="009308D7" w:rsidRPr="0077776B" w:rsidRDefault="009308D7" w:rsidP="00DB6F7E">
      <w:pPr>
        <w:pStyle w:val="Heading3"/>
        <w:rPr>
          <w:rFonts w:eastAsia="Yu Gothic Light"/>
          <w:b w:val="0"/>
          <w:color w:val="1F3763"/>
        </w:rPr>
      </w:pPr>
      <w:bookmarkStart w:id="44" w:name="_Toc208329929"/>
      <w:r w:rsidRPr="0077776B">
        <w:t>Emerging Technology</w:t>
      </w:r>
      <w:r w:rsidR="00005AB5" w:rsidRPr="0077776B">
        <w:t xml:space="preserve"> - </w:t>
      </w:r>
      <w:r w:rsidRPr="0077776B">
        <w:t>Electric vehicles (EVs) and energy storage systems</w:t>
      </w:r>
      <w:bookmarkEnd w:id="44"/>
    </w:p>
    <w:p w14:paraId="29996F18" w14:textId="5157BDCB" w:rsidR="009308D7" w:rsidRPr="0077776B" w:rsidRDefault="009308D7" w:rsidP="009308D7">
      <w:r w:rsidRPr="0077776B">
        <w:t>Modelling shows that there will be a need for around 6,600 charge points throughout Lancashire by 2030, with an estimate that there will be over 240,000 E</w:t>
      </w:r>
      <w:r w:rsidR="00E769C6" w:rsidRPr="0077776B">
        <w:t xml:space="preserve">lectric </w:t>
      </w:r>
      <w:r w:rsidR="00AB1C0E" w:rsidRPr="0077776B">
        <w:t>vehicles in</w:t>
      </w:r>
      <w:r w:rsidRPr="0077776B">
        <w:t xml:space="preserve"> Lancashire by then, representing 36% of all cars and vans.</w:t>
      </w:r>
    </w:p>
    <w:p w14:paraId="7E47AB1B" w14:textId="02D7B531" w:rsidR="009308D7" w:rsidRPr="0077776B" w:rsidRDefault="009308D7" w:rsidP="009308D7">
      <w:r w:rsidRPr="0077776B">
        <w:t xml:space="preserve">Following the growth in the use of lithium-Ion batteries in vehicles, commercial settings and in domestic environments, </w:t>
      </w:r>
      <w:r w:rsidR="00E72A72" w:rsidRPr="0077776B">
        <w:t xml:space="preserve">fire and rescue services </w:t>
      </w:r>
      <w:r w:rsidRPr="0077776B">
        <w:t>across the UK have subsequently seen an increase in attendance at incidents involving this ever-growing list of applications.  Lithium-Ion batteries are, in most cases, a safe and stable means of providing energy, with charging and discharge controlled by a battery management system (BMS), which prevents over charging and associated overheating of the battery.</w:t>
      </w:r>
    </w:p>
    <w:p w14:paraId="1E7C1E47" w14:textId="6DDA93FE" w:rsidR="009308D7" w:rsidRPr="0077776B" w:rsidRDefault="009308D7" w:rsidP="009308D7">
      <w:r w:rsidRPr="0077776B">
        <w:t xml:space="preserve">If the battery overheats because of failure of the </w:t>
      </w:r>
      <w:r w:rsidR="00235950" w:rsidRPr="0077776B">
        <w:t>battery management system</w:t>
      </w:r>
      <w:r w:rsidRPr="0077776B">
        <w:t>, there is a risk that the temperature will reach a level where the structure of the battery breaks down and this leads to thermal runaway, the production of a range of toxic gases, which is potentially flammable and explosive in nature.  Lithium-ion batteries power many products such as mobile phones and laptops, but over recent years larger more powerful batteries have evolved and are now the power source in electric cars.</w:t>
      </w:r>
    </w:p>
    <w:p w14:paraId="1AA239D3" w14:textId="25DBA0AD" w:rsidR="009308D7" w:rsidRPr="0077776B" w:rsidRDefault="009308D7" w:rsidP="009308D7">
      <w:r w:rsidRPr="0077776B">
        <w:t xml:space="preserve">In the renewable energy environment, energy generated by solar, wind, biogas and other sources is increasingly being stored in lithium-ion battery solutions.  In the commercial environment this can be in the form of a </w:t>
      </w:r>
      <w:r w:rsidR="00123EB4" w:rsidRPr="0077776B">
        <w:t>B</w:t>
      </w:r>
      <w:r w:rsidRPr="0077776B">
        <w:t xml:space="preserve">attery </w:t>
      </w:r>
      <w:r w:rsidR="00123EB4" w:rsidRPr="0077776B">
        <w:t>E</w:t>
      </w:r>
      <w:r w:rsidRPr="0077776B">
        <w:t xml:space="preserve">nergy </w:t>
      </w:r>
      <w:r w:rsidR="00123EB4" w:rsidRPr="0077776B">
        <w:t>S</w:t>
      </w:r>
      <w:r w:rsidRPr="0077776B">
        <w:t xml:space="preserve">torage </w:t>
      </w:r>
      <w:r w:rsidR="00123EB4" w:rsidRPr="0077776B">
        <w:t>S</w:t>
      </w:r>
      <w:r w:rsidRPr="0077776B">
        <w:t>ystem and are a fundamental part of the UK’s move toward a sustainable energy system.</w:t>
      </w:r>
    </w:p>
    <w:p w14:paraId="1A86308F" w14:textId="2901AECC" w:rsidR="00B64AD2" w:rsidRPr="0077776B" w:rsidRDefault="00B64AD2" w:rsidP="009308D7">
      <w:r w:rsidRPr="0077776B">
        <w:t>The installation of battery energy storage system systems both in the UK and around the globe is increasing at an exponential rate.  The county has seen a significant increase in planning applications submitted to build these sites in both rural and populated areas, which in turn is requiring significantly more resource within Lancashire Fire and Rescue Service to deal with this emerging risk.  These sites consist of a large number of several shipping container size battery units which contain a significant number of lithium batteries within them, the number of these units on a site in the county range from ten units, to six hundred and forty-eight at a site in Heysham.  A fire at one of these sites in Merseyside proved to be very challenging with no staff on site, and extinguishing the fire took several days.  A number of these sites have had their planning application refused by the local authority planning department and are currently appealing this decision via a planning appeal to the Secretary of State.</w:t>
      </w:r>
    </w:p>
    <w:p w14:paraId="45469214" w14:textId="1BE77BD4" w:rsidR="009308D7" w:rsidRPr="0077776B" w:rsidRDefault="009308D7" w:rsidP="009308D7">
      <w:r w:rsidRPr="0077776B">
        <w:t xml:space="preserve">Due to the speed and scale of the introduction of this technology formalised UK guidance has been scarce on what fire precautions need to be installed to reduce the fire risk, and what firefighting facilities are required to enable </w:t>
      </w:r>
      <w:r w:rsidR="00E72A72" w:rsidRPr="0077776B">
        <w:t>fire and rescue services</w:t>
      </w:r>
      <w:r w:rsidRPr="0077776B">
        <w:t xml:space="preserve"> to both extinguish fires and mitigate environmental impacts.  In 2023 the National Fire Chiefs Council </w:t>
      </w:r>
      <w:r w:rsidRPr="0077776B">
        <w:lastRenderedPageBreak/>
        <w:t xml:space="preserve">produced a guidance document to aid </w:t>
      </w:r>
      <w:r w:rsidR="00E72A72" w:rsidRPr="0077776B">
        <w:t xml:space="preserve">fire and rescue services </w:t>
      </w:r>
      <w:r w:rsidRPr="0077776B">
        <w:t>in dealing with these sites and the government has changed planning guidance to advise developers that they should consult with the</w:t>
      </w:r>
      <w:r w:rsidR="00E72A72" w:rsidRPr="0077776B">
        <w:t xml:space="preserve"> fire and rescue service</w:t>
      </w:r>
      <w:r w:rsidRPr="0077776B">
        <w:t xml:space="preserve">s prior to applying for planning permission.  However, this is still a developing </w:t>
      </w:r>
      <w:r w:rsidR="00AB1C0E" w:rsidRPr="0077776B">
        <w:t>technology,</w:t>
      </w:r>
      <w:r w:rsidRPr="0077776B">
        <w:t xml:space="preserve"> and guidance will need to keep a pace with the new technology.  Further information on Battery Energy Storage Systems can be found our </w:t>
      </w:r>
      <w:hyperlink r:id="rId17" w:history="1">
        <w:r w:rsidRPr="0077776B">
          <w:rPr>
            <w:rStyle w:val="Hyperlink"/>
          </w:rPr>
          <w:t>website</w:t>
        </w:r>
      </w:hyperlink>
      <w:r w:rsidRPr="0077776B">
        <w:t>.</w:t>
      </w:r>
    </w:p>
    <w:p w14:paraId="3F5EEC9F" w14:textId="33F78F8E" w:rsidR="009308D7" w:rsidRPr="0077776B" w:rsidRDefault="009308D7" w:rsidP="009308D7">
      <w:r w:rsidRPr="0077776B">
        <w:t xml:space="preserve">An increasing number of bus fleets within the county will be changing a large volume of their fleet to being battery powered vehicles in the coming years, in line with the government’s green energy agenda.  </w:t>
      </w:r>
      <w:r w:rsidR="00BB2639" w:rsidRPr="0077776B">
        <w:rPr>
          <w:lang w:eastAsia="en-GB"/>
        </w:rPr>
        <w:t xml:space="preserve">Lancashire </w:t>
      </w:r>
      <w:r w:rsidR="00BD403A" w:rsidRPr="0077776B">
        <w:rPr>
          <w:lang w:eastAsia="en-GB"/>
        </w:rPr>
        <w:t>F</w:t>
      </w:r>
      <w:r w:rsidR="00BB2639" w:rsidRPr="0077776B">
        <w:rPr>
          <w:lang w:eastAsia="en-GB"/>
        </w:rPr>
        <w:t xml:space="preserve">ire and </w:t>
      </w:r>
      <w:r w:rsidR="00BD403A" w:rsidRPr="0077776B">
        <w:rPr>
          <w:lang w:eastAsia="en-GB"/>
        </w:rPr>
        <w:t>R</w:t>
      </w:r>
      <w:r w:rsidR="00BB2639" w:rsidRPr="0077776B">
        <w:rPr>
          <w:lang w:eastAsia="en-GB"/>
        </w:rPr>
        <w:t xml:space="preserve">escue </w:t>
      </w:r>
      <w:r w:rsidR="00BD403A" w:rsidRPr="0077776B">
        <w:rPr>
          <w:lang w:eastAsia="en-GB"/>
        </w:rPr>
        <w:t>S</w:t>
      </w:r>
      <w:r w:rsidR="00BB2639" w:rsidRPr="0077776B">
        <w:rPr>
          <w:lang w:eastAsia="en-GB"/>
        </w:rPr>
        <w:t>ervice</w:t>
      </w:r>
      <w:r w:rsidR="00BB2639" w:rsidRPr="0077776B">
        <w:t xml:space="preserve"> engag</w:t>
      </w:r>
      <w:r w:rsidRPr="0077776B">
        <w:t xml:space="preserve">ed with Blackpool Council in 2023 to provide advice on the risks that this type of vehicle presents to them as an operator and </w:t>
      </w:r>
      <w:r w:rsidR="00BB2639" w:rsidRPr="0077776B">
        <w:rPr>
          <w:lang w:eastAsia="en-GB"/>
        </w:rPr>
        <w:t xml:space="preserve">Lancashire </w:t>
      </w:r>
      <w:r w:rsidR="00BD403A" w:rsidRPr="0077776B">
        <w:rPr>
          <w:lang w:eastAsia="en-GB"/>
        </w:rPr>
        <w:t>F</w:t>
      </w:r>
      <w:r w:rsidR="00BB2639" w:rsidRPr="0077776B">
        <w:rPr>
          <w:lang w:eastAsia="en-GB"/>
        </w:rPr>
        <w:t xml:space="preserve">ire and </w:t>
      </w:r>
      <w:r w:rsidR="00BD403A" w:rsidRPr="0077776B">
        <w:rPr>
          <w:lang w:eastAsia="en-GB"/>
        </w:rPr>
        <w:t>R</w:t>
      </w:r>
      <w:r w:rsidR="00BB2639" w:rsidRPr="0077776B">
        <w:rPr>
          <w:lang w:eastAsia="en-GB"/>
        </w:rPr>
        <w:t xml:space="preserve">escue </w:t>
      </w:r>
      <w:r w:rsidR="00BD403A" w:rsidRPr="0077776B">
        <w:rPr>
          <w:lang w:eastAsia="en-GB"/>
        </w:rPr>
        <w:t>S</w:t>
      </w:r>
      <w:r w:rsidR="00BB2639" w:rsidRPr="0077776B">
        <w:rPr>
          <w:lang w:eastAsia="en-GB"/>
        </w:rPr>
        <w:t>ervice’s</w:t>
      </w:r>
      <w:r w:rsidRPr="0077776B">
        <w:t>’ response to incidents involving them.</w:t>
      </w:r>
    </w:p>
    <w:p w14:paraId="37A8640F" w14:textId="75AFD7C6" w:rsidR="009308D7" w:rsidRPr="0077776B" w:rsidRDefault="009308D7" w:rsidP="009308D7">
      <w:r w:rsidRPr="0077776B">
        <w:t>In the domestic world, modern solar panels are increasingly linked to a domestic battery, Domestic Energy Storage System</w:t>
      </w:r>
      <w:r w:rsidR="00BD403A" w:rsidRPr="0077776B">
        <w:t>. Domestic Energy Storage System’s</w:t>
      </w:r>
      <w:r w:rsidRPr="0077776B">
        <w:t xml:space="preserve"> store energy from domestic Photo voltaic Solar) panels for use in the home rather than feeding back into the National grid.  They are becoming increasingly popular with both new builds and refurbishments.  Due to the cost-of-living crisis, there are increasing cases of “homemade” </w:t>
      </w:r>
      <w:r w:rsidR="00BD403A" w:rsidRPr="0077776B">
        <w:t xml:space="preserve">domestic energy storage </w:t>
      </w:r>
      <w:r w:rsidRPr="0077776B">
        <w:t xml:space="preserve">systems using second hand Electric Vehicle Lithium-ion battery packs.  These will also be problematic in the same way as </w:t>
      </w:r>
      <w:r w:rsidR="00BD403A" w:rsidRPr="0077776B">
        <w:t xml:space="preserve">battery energy storage system </w:t>
      </w:r>
      <w:r w:rsidRPr="0077776B">
        <w:t xml:space="preserve">sites and </w:t>
      </w:r>
      <w:r w:rsidR="00E72A72" w:rsidRPr="0077776B">
        <w:t xml:space="preserve">fire and rescue services </w:t>
      </w:r>
      <w:r w:rsidRPr="0077776B">
        <w:t>will not have any prior information on the presence of these in houses.</w:t>
      </w:r>
    </w:p>
    <w:p w14:paraId="52135430" w14:textId="77777777" w:rsidR="009308D7" w:rsidRPr="0077776B" w:rsidRDefault="009308D7" w:rsidP="009308D7">
      <w:r w:rsidRPr="0077776B">
        <w:t>As the proliferation of alternative energy sources and energy storage increase, we are likely to attend more incidents involving Lithium-Ion batteries.</w:t>
      </w:r>
    </w:p>
    <w:p w14:paraId="4A918CE1" w14:textId="2DB8BF25" w:rsidR="009308D7" w:rsidRPr="0077776B" w:rsidRDefault="00005AB5" w:rsidP="00005AB5">
      <w:pPr>
        <w:pStyle w:val="Heading3"/>
      </w:pPr>
      <w:bookmarkStart w:id="45" w:name="_Toc208329930"/>
      <w:r w:rsidRPr="0077776B">
        <w:t xml:space="preserve">Emerging Technology - </w:t>
      </w:r>
      <w:r w:rsidR="009308D7" w:rsidRPr="0077776B">
        <w:t>Hydrogen</w:t>
      </w:r>
      <w:bookmarkEnd w:id="45"/>
    </w:p>
    <w:p w14:paraId="4CD66C9A" w14:textId="4E69C6B4" w:rsidR="009308D7" w:rsidRPr="0077776B" w:rsidRDefault="009308D7" w:rsidP="009308D7">
      <w:r w:rsidRPr="0077776B">
        <w:t xml:space="preserve">The county has recently started to see the emergence of Hydrogen as an alternative fuel source.  In Samlesbury there are plans for a Hydrogen storage facility to provide fuel for HGVS and a paper mill in the southern area of the county is trialling the use of Hydrogen as opposed to Natural gas in its papermaking process.  </w:t>
      </w:r>
      <w:r w:rsidR="003D2C08" w:rsidRPr="0077776B">
        <w:t xml:space="preserve">Lancashire </w:t>
      </w:r>
      <w:r w:rsidR="00C77080" w:rsidRPr="0077776B">
        <w:t>F</w:t>
      </w:r>
      <w:r w:rsidR="003D2C08" w:rsidRPr="0077776B">
        <w:t xml:space="preserve">ire and </w:t>
      </w:r>
      <w:r w:rsidR="00C77080" w:rsidRPr="0077776B">
        <w:t>R</w:t>
      </w:r>
      <w:r w:rsidR="003D2C08" w:rsidRPr="0077776B">
        <w:t xml:space="preserve">escue </w:t>
      </w:r>
      <w:r w:rsidR="00C77080" w:rsidRPr="0077776B">
        <w:t>S</w:t>
      </w:r>
      <w:r w:rsidR="003D2C08" w:rsidRPr="0077776B">
        <w:t>ervice</w:t>
      </w:r>
      <w:r w:rsidR="00BB2639" w:rsidRPr="0077776B">
        <w:t xml:space="preserve"> </w:t>
      </w:r>
      <w:r w:rsidRPr="0077776B">
        <w:t>are updating the planning guidance letter and will adapt our guidance and response according to the likely increase of Hydrogen as a fuel source.</w:t>
      </w:r>
    </w:p>
    <w:p w14:paraId="725C83F3" w14:textId="482E49D9" w:rsidR="00467ED1" w:rsidRPr="0077776B" w:rsidRDefault="00467ED1" w:rsidP="000E5042">
      <w:pPr>
        <w:pStyle w:val="Heading3"/>
      </w:pPr>
      <w:bookmarkStart w:id="46" w:name="_Toc208329931"/>
      <w:r w:rsidRPr="0077776B">
        <w:t>Artificial Intelligence / Robotics / Autonomous Vehicles</w:t>
      </w:r>
      <w:bookmarkEnd w:id="46"/>
    </w:p>
    <w:p w14:paraId="4CE64068" w14:textId="6EE95F4B" w:rsidR="0080341E" w:rsidRPr="0077776B" w:rsidRDefault="0080341E" w:rsidP="000E5042">
      <w:r w:rsidRPr="0077776B">
        <w:t>Artificial intelligence AI) is becoming increasingly capable of gathering, analysing and making decisions from real world data, without the need for direct human involvement in the process.  It has a wide range of applications in many different sectors of the economy and society including various forms of transportation used on land, water and the air).  There is a potential use in firefighting operations - human controlled robotic firefighting devices</w:t>
      </w:r>
      <w:r w:rsidR="0077776B">
        <w:t>.</w:t>
      </w:r>
      <w:r w:rsidRPr="0077776B">
        <w:t xml:space="preserve"> </w:t>
      </w:r>
    </w:p>
    <w:p w14:paraId="23D87989" w14:textId="77777777" w:rsidR="005C2895" w:rsidRPr="005B2DE5" w:rsidRDefault="005C2895" w:rsidP="000E5042">
      <w:pPr>
        <w:pStyle w:val="Heading3"/>
      </w:pPr>
      <w:bookmarkStart w:id="47" w:name="_Toc208329932"/>
      <w:r w:rsidRPr="005B2DE5">
        <w:lastRenderedPageBreak/>
        <w:t>Infrastructure</w:t>
      </w:r>
      <w:bookmarkEnd w:id="47"/>
    </w:p>
    <w:p w14:paraId="42BB53D6" w14:textId="77777777" w:rsidR="005C2895" w:rsidRPr="005B2DE5" w:rsidRDefault="005C2895" w:rsidP="005C2895">
      <w:r w:rsidRPr="005B2DE5">
        <w:t>There is a wide range of infrastructure risk within Lancashire in addition to the expansive range of transport networks including reservoirs, dams, and wind turbines.</w:t>
      </w:r>
    </w:p>
    <w:p w14:paraId="278C1521" w14:textId="6196C4A2" w:rsidR="005C2895" w:rsidRPr="005B2DE5" w:rsidRDefault="005C2895" w:rsidP="005C2895">
      <w:r w:rsidRPr="005B2DE5">
        <w:t>The Lancashire economy relies strongly on the motorway network.  The M6 runs from north to south, past Lancaster and Preston.  The M55 connects Preston to Blackpool and is 11.5 miles 18.3 km) long.  The M65 motorway from Colne, connects Burnley, Accrington, Blackburn and Preston.  The M61 from Preston via Chorley and the M66 starting 500 metres 0.3 mi) inside the county boundary near Edenfield, provide links between Lancashire and Manchester, and the trans-Pennine M62.  The M58 crosses the southernmost part of the county from the M6 near Wigan to Liverpool via Skelmersdale.</w:t>
      </w:r>
    </w:p>
    <w:p w14:paraId="44136B67" w14:textId="77777777" w:rsidR="005C2895" w:rsidRPr="005B2DE5" w:rsidRDefault="005C2895" w:rsidP="005C2895">
      <w:r w:rsidRPr="005B2DE5">
        <w:t>Other major roads include the east–west A59 between Liverpool in Merseyside and Skipton in North Yorkshire via Ormskirk, Preston and Clitheroe, and the connecting A565 to Southport; the A56 from Ramsbottom to Padiham via Haslingden and from Colne to Skipton; the A585 from Kirkham to Fleetwood; the A666 from the A59 north of Blackburn to Bolton via Darwen; and the A683 from Heysham to Kirkby Lonsdale via Lancaster.</w:t>
      </w:r>
    </w:p>
    <w:p w14:paraId="380C3525" w14:textId="700253CA" w:rsidR="005C2895" w:rsidRPr="005B2DE5" w:rsidRDefault="005C2895" w:rsidP="005C2895">
      <w:r w:rsidRPr="005B2DE5">
        <w:t>Lancashire is home to 62 railway stations operating over 200 miles of track.  These range from busy commuter stations such as Preston and Lancaster situated on the West Coast Mainline, to smaller stations some unmanned) located in rural areas.  Lancashire is also part host to a heritage rail line, the East Lancashire Railway, which runs from Rawtenstall on a 12-mile stretch to Heywood in Greater Manchester.</w:t>
      </w:r>
    </w:p>
    <w:p w14:paraId="475FA767" w14:textId="77777777" w:rsidR="005C2895" w:rsidRPr="005B2DE5" w:rsidRDefault="005C2895" w:rsidP="005C2895">
      <w:r w:rsidRPr="005B2DE5">
        <w:t>In addition to the rail network, Lancashire has an 11-mile tram system that operates from Starr Gate in Blackpool to Fleetwood in the Wyre district.  Part of this network is a ‘shared space zone’; this is an urban design approach reducing demarcation between trams, vehicles, and pedestrians, with some kerbs and traffic signs removed to produce a more open space.</w:t>
      </w:r>
    </w:p>
    <w:p w14:paraId="3BA607E4" w14:textId="24555D87" w:rsidR="005C2895" w:rsidRPr="005B2DE5" w:rsidRDefault="005C2895" w:rsidP="005C2895">
      <w:r w:rsidRPr="005B2DE5">
        <w:t>Lancashire also has three ports, situated in Heysham, Fleetwood and Glasson Dock.  There are also several other maritime related sites which service leisure craft such as Preston Docks.  The largest port is Heysham which is a deep berth port capable of handling some of the world’s largest vessels.  It is served by a railway station and the M6 Bay Gateway link road.  The port is a key gateway for Irish Sea trade and is attracting significant investment including a £10m improvement programme.  Its proximity to gas fields and the world’s largest offshore wind farm Walney Extension) has also influenced the type of goods being handled &amp; services offered.</w:t>
      </w:r>
    </w:p>
    <w:p w14:paraId="6B8977C3" w14:textId="1CBFDCFF" w:rsidR="005C2895" w:rsidRPr="005B2DE5" w:rsidRDefault="005C2895" w:rsidP="005C2895">
      <w:r w:rsidRPr="005B2DE5">
        <w:t xml:space="preserve">Lancashire mainly lies within the North West river basin district England is covered by 10 'River Basin Districts') with a very small part near Earby in Pendle district is in the </w:t>
      </w:r>
      <w:r w:rsidR="00AB1C0E" w:rsidRPr="005B2DE5">
        <w:t>Humber River</w:t>
      </w:r>
      <w:r w:rsidRPr="005B2DE5">
        <w:t xml:space="preserve"> basin district.  Most water bodies in Lancashire eventually flow out into the Irish Sea through the estuaries of the Ribble, Wyre and Lune rivers.  Some in the south of the county flow southwards and join up with tributaries of the Mersey.  Only the water bodies in the </w:t>
      </w:r>
      <w:r w:rsidR="00AB1C0E" w:rsidRPr="005B2DE5">
        <w:lastRenderedPageBreak/>
        <w:t>Humber River</w:t>
      </w:r>
      <w:r w:rsidRPr="005B2DE5">
        <w:t xml:space="preserve"> basin district flow eastwards into Yorkshire and finally merge with the North Sea.  The term 'water body' may refer to a river, lake, reservoir, canal, aquifer, or inter-tidal part of an estuary.  As part of its industrial past, Lancashire gave rise to an extensive network of canals, which extend into neighbouring counties.  These include the Leeds and Liverpool Canal, Lancaster Canal, Sankey Canal, Bridgewater Canal, Rochdale Canal, Ashton Canal and Manchester Ship Canal.</w:t>
      </w:r>
    </w:p>
    <w:p w14:paraId="13C46E0D" w14:textId="77777777" w:rsidR="005C2895" w:rsidRPr="005B2DE5" w:rsidRDefault="005C2895" w:rsidP="005C2895">
      <w:r w:rsidRPr="005B2DE5">
        <w:t>The County is served by a handful of airports some of which are within the county boundary.  Blackpool Airport are no longer operating domestic or international flights, but it is still the home of flying schools, private operators and North West Air Ambulance.  There is an operational airfield at Warton near Preston where there is a major assembly and test facility for BAE Systems.  Manchester Airport is the main airport in the North West region, with Liverpool John Lennon Airport and Leeds Bradford both nearby.</w:t>
      </w:r>
    </w:p>
    <w:p w14:paraId="71BEA616" w14:textId="19F6B426" w:rsidR="005C2895" w:rsidRPr="005B2DE5" w:rsidRDefault="005C2895" w:rsidP="005C2895">
      <w:r w:rsidRPr="005B2DE5">
        <w:t>There are over 100 registered dams and reservoirs in Lancashire owned by United Utilities and private owners.  The Civil Contingencies Act 2004 requires category 1 responders such as</w:t>
      </w:r>
      <w:r w:rsidR="00721973" w:rsidRPr="005B2DE5">
        <w:rPr>
          <w:lang w:eastAsia="en-GB"/>
        </w:rPr>
        <w:t xml:space="preserve"> Lancashire Fire and Rescue Service</w:t>
      </w:r>
      <w:r w:rsidR="00721973" w:rsidRPr="005B2DE5">
        <w:t xml:space="preserve"> </w:t>
      </w:r>
      <w:r w:rsidRPr="005B2DE5">
        <w:t>to have plans in place to respond to all emergencies including flooding.  Due to the vast amount of water reservoirs can hold, they have been identified as high risk and so a multi-agency reservoir plan has been developed.</w:t>
      </w:r>
    </w:p>
    <w:p w14:paraId="46AB41DC" w14:textId="39F69121" w:rsidR="00BF6826" w:rsidRPr="005B2DE5" w:rsidRDefault="005C2895" w:rsidP="005C2895">
      <w:r w:rsidRPr="005B2DE5">
        <w:t>Additionally, Lancashire currently has 16 onshore windfarms in operation hosting a total of 80 wind turbines.  Wind turbines present an assortment of risks; the remote locations of many of the turbines can mean that travel time to the areas can increase the likelihood of fire spread.  The height, location and construction of the turbines can make them prone to lighting strikes, and as the turbine-supporting tower structure may be over 100m high, if people are trapped rescue operations may prove to be very difficult.</w:t>
      </w:r>
    </w:p>
    <w:p w14:paraId="5CB79CB0" w14:textId="0077D8AD" w:rsidR="009308D7" w:rsidRPr="00E23014" w:rsidRDefault="009308D7">
      <w:pPr>
        <w:pStyle w:val="Heading2"/>
      </w:pPr>
      <w:bookmarkStart w:id="48" w:name="_Toc208329933"/>
      <w:bookmarkStart w:id="49" w:name="_Hlk207194795"/>
      <w:r w:rsidRPr="00E23014">
        <w:t>Environment</w:t>
      </w:r>
      <w:bookmarkEnd w:id="48"/>
    </w:p>
    <w:p w14:paraId="20346AAB" w14:textId="1E19F3BA" w:rsidR="00005AB5" w:rsidRPr="00E23014" w:rsidRDefault="00005AB5" w:rsidP="00005AB5">
      <w:pPr>
        <w:pStyle w:val="Heading3"/>
      </w:pPr>
      <w:bookmarkStart w:id="50" w:name="_Toc208329934"/>
      <w:r w:rsidRPr="00E23014">
        <w:t>Climate Change - Wildfires</w:t>
      </w:r>
      <w:bookmarkEnd w:id="50"/>
    </w:p>
    <w:p w14:paraId="15ECE9AE" w14:textId="1905D129" w:rsidR="00005AB5" w:rsidRPr="00E23014" w:rsidRDefault="00005AB5" w:rsidP="00005AB5">
      <w:r w:rsidRPr="00E23014">
        <w:t xml:space="preserve">The impact of climate change is having a detrimental impact on the frequency and severity of wildfires, this includes changes in the timing of when wildfires occur and subsequently the materials that burn.  </w:t>
      </w:r>
      <w:r w:rsidRPr="00E23014">
        <w:rPr>
          <w:rFonts w:cs="Arial"/>
        </w:rPr>
        <w:t>In addition to the late spring season wildfires,</w:t>
      </w:r>
      <w:r w:rsidRPr="00E23014">
        <w:t xml:space="preserve"> we are starting to see the wildfire season extend into the summer months, which is having a significant impact on the ability of </w:t>
      </w:r>
      <w:r w:rsidR="00520496" w:rsidRPr="00E23014">
        <w:rPr>
          <w:lang w:eastAsia="en-GB"/>
        </w:rPr>
        <w:t>Lancashire Fire and Rescue Service</w:t>
      </w:r>
      <w:r w:rsidRPr="00E23014">
        <w:t xml:space="preserve"> to extinguish wildfires using conventional methods.  Early season wildfires generally involve surface fuels (e.g., Molinia grasses and heathers) as these are dryer than the cold, damp materials below the surface, which are generally managed by conventional wildfire equipment.  As wildfires are becoming more frequent in the summer months these create more challenging conditions as it is not only the surface fuels that burn but the sub-surface fuels too.</w:t>
      </w:r>
    </w:p>
    <w:p w14:paraId="3CCD7D98" w14:textId="31A79E33" w:rsidR="00005AB5" w:rsidRPr="00E23014" w:rsidRDefault="00520496" w:rsidP="00005AB5">
      <w:r w:rsidRPr="00E23014">
        <w:rPr>
          <w:lang w:eastAsia="en-GB"/>
        </w:rPr>
        <w:t>Lancashire Fire and Rescue Service</w:t>
      </w:r>
      <w:r w:rsidRPr="00E23014">
        <w:t xml:space="preserve"> </w:t>
      </w:r>
      <w:r w:rsidR="00005AB5" w:rsidRPr="00E23014">
        <w:t xml:space="preserve">continues to invest in the technological development of our wildfire response capability, and we are working more closely with private and public </w:t>
      </w:r>
      <w:r w:rsidR="00005AB5" w:rsidRPr="00E23014">
        <w:lastRenderedPageBreak/>
        <w:t>sector organisations on wildfire prevention and response. Our Climate Change Operational Response Plan</w:t>
      </w:r>
      <w:r w:rsidR="00123EB4" w:rsidRPr="00E23014">
        <w:t xml:space="preserve"> </w:t>
      </w:r>
      <w:r w:rsidR="00005AB5" w:rsidRPr="00E23014">
        <w:t xml:space="preserve">aims to reduce the threat to the communities in Lancashire, improve firefighter safety and reduce the costs and impact upon </w:t>
      </w:r>
      <w:r w:rsidRPr="00E23014">
        <w:rPr>
          <w:lang w:eastAsia="en-GB"/>
        </w:rPr>
        <w:t>Lancashire Fire and Rescue Service</w:t>
      </w:r>
      <w:r w:rsidR="00005AB5" w:rsidRPr="00E23014">
        <w:t>, partners and our communities.</w:t>
      </w:r>
    </w:p>
    <w:p w14:paraId="325811B4" w14:textId="70AA46BD" w:rsidR="00005AB5" w:rsidRPr="00E23014" w:rsidRDefault="00005AB5" w:rsidP="00005AB5">
      <w:pPr>
        <w:pStyle w:val="Heading3"/>
      </w:pPr>
      <w:bookmarkStart w:id="51" w:name="_Toc208329935"/>
      <w:r w:rsidRPr="00E23014">
        <w:t>Climate Change - Flooding</w:t>
      </w:r>
      <w:bookmarkEnd w:id="51"/>
    </w:p>
    <w:p w14:paraId="77ABE5ED" w14:textId="77777777" w:rsidR="00005AB5" w:rsidRPr="00E23014" w:rsidRDefault="00005AB5" w:rsidP="00005AB5">
      <w:r w:rsidRPr="00E23014">
        <w:t>Over the last few years, flooding caused by extreme rainfall has become a bigger issue in Lancashire and across the country.  Heavy rain has had a devastating impact, this has led to people needing to leave their homes and seen valuables destroyed by flood water.</w:t>
      </w:r>
    </w:p>
    <w:p w14:paraId="18A0B680" w14:textId="77777777" w:rsidR="00005AB5" w:rsidRPr="00E23014" w:rsidRDefault="00005AB5" w:rsidP="00005AB5">
      <w:r w:rsidRPr="00E23014">
        <w:t>When it rains heavily and for a long period of time, the drains become overwhelmed by the amount of water – they overflow and the water on the surface has nowhere to go.  Large puddles can become more of a flood, stretching across whole streets, pavements and sometimes further beyond that – this is known as surface water flooding.</w:t>
      </w:r>
    </w:p>
    <w:p w14:paraId="448FA105" w14:textId="2C46A61D" w:rsidR="00005AB5" w:rsidRPr="00D0265C" w:rsidRDefault="00005AB5" w:rsidP="00005AB5">
      <w:pPr>
        <w:rPr>
          <w:highlight w:val="yellow"/>
        </w:rPr>
      </w:pPr>
      <w:r w:rsidRPr="00E23014">
        <w:t>Flash floods can occur anywhere and without warning during and after heavy rainfall, making them much more difficult to predict.  It's inconvenient and likely to cause disruption on the roads, but when it's more serious it can also cause damage to homes and businesses.</w:t>
      </w:r>
    </w:p>
    <w:p w14:paraId="40EFC4EA" w14:textId="2A9193AD" w:rsidR="0080341E" w:rsidRPr="005C18A2" w:rsidRDefault="0080341E" w:rsidP="0080341E">
      <w:pPr>
        <w:pStyle w:val="Heading3"/>
      </w:pPr>
      <w:bookmarkStart w:id="52" w:name="_Toc208329936"/>
      <w:bookmarkStart w:id="53" w:name="_Hlk207194899"/>
      <w:bookmarkEnd w:id="49"/>
      <w:r w:rsidRPr="005C18A2">
        <w:t xml:space="preserve">Built </w:t>
      </w:r>
      <w:r w:rsidR="003D0144" w:rsidRPr="005C18A2">
        <w:t>E</w:t>
      </w:r>
      <w:r w:rsidRPr="005C18A2">
        <w:t>nvironment</w:t>
      </w:r>
      <w:bookmarkEnd w:id="52"/>
    </w:p>
    <w:p w14:paraId="496220F2" w14:textId="593EF58B" w:rsidR="0080341E" w:rsidRPr="005C18A2" w:rsidRDefault="005C18A2" w:rsidP="0080341E">
      <w:r w:rsidRPr="0085725E">
        <w:t>Lancashire continues to see the</w:t>
      </w:r>
      <w:r w:rsidR="0080341E" w:rsidRPr="005C18A2">
        <w:t xml:space="preserve"> emergence of newer forms of </w:t>
      </w:r>
      <w:r w:rsidRPr="0085725E">
        <w:t xml:space="preserve">built environment </w:t>
      </w:r>
      <w:r w:rsidR="0080341E" w:rsidRPr="005C18A2">
        <w:t>construction</w:t>
      </w:r>
      <w:r w:rsidRPr="0085725E">
        <w:t xml:space="preserve"> and the use of </w:t>
      </w:r>
      <w:r w:rsidR="0080341E" w:rsidRPr="005C18A2">
        <w:t xml:space="preserve">more modern construction materials.  Timber framed buildings </w:t>
      </w:r>
      <w:r w:rsidRPr="00D0265C">
        <w:t>are</w:t>
      </w:r>
      <w:r w:rsidRPr="005C18A2">
        <w:t xml:space="preserve"> </w:t>
      </w:r>
      <w:r w:rsidR="0080341E" w:rsidRPr="005C18A2">
        <w:t xml:space="preserve">just one form of construction method that is </w:t>
      </w:r>
      <w:r w:rsidRPr="0085725E">
        <w:t xml:space="preserve">continuing to </w:t>
      </w:r>
      <w:r w:rsidR="0080341E" w:rsidRPr="005C18A2">
        <w:t xml:space="preserve">grow in popularity due to the ease and speed of construction along with the lower build costs, and although once completed they adhere to </w:t>
      </w:r>
      <w:r w:rsidRPr="00D0265C">
        <w:t>substantial</w:t>
      </w:r>
      <w:r w:rsidRPr="005C18A2">
        <w:t xml:space="preserve"> </w:t>
      </w:r>
      <w:r w:rsidR="0080341E" w:rsidRPr="005C18A2">
        <w:t>building and fire safety regulations, they pose several significant risks when in the construction phase</w:t>
      </w:r>
      <w:r w:rsidRPr="0085725E">
        <w:t>, and unless they are maintained adequately they can pose a significant fire spread risk when involved in fire.</w:t>
      </w:r>
      <w:r w:rsidR="0080341E" w:rsidRPr="005C18A2">
        <w:t>.</w:t>
      </w:r>
    </w:p>
    <w:p w14:paraId="5496B8E2" w14:textId="10E3317B" w:rsidR="0080341E" w:rsidRPr="005C18A2" w:rsidRDefault="0080341E" w:rsidP="0080341E">
      <w:r w:rsidRPr="005C18A2">
        <w:t xml:space="preserve">New building materials are being developed that present better value for money and reliability in terms of lower maintenance or replacement costs, however some of these pose significant risk.  One such risk that Lancashire has experienced is the emergence of composite fencing and decking materials (made from recycled materials including plastic).  Although some of these materials have suitable fire suppression characteristics, some do not, and it is these that have seen incidents escalate rapidly.  Developments in both building materials and process is against a backdrop of developing technologies and reducing demand on fossil fuels.  The development of both commercial battery energy storage systems and domestic energy storage systems are examples of this.  </w:t>
      </w:r>
      <w:r w:rsidR="005C18A2" w:rsidRPr="0085725E">
        <w:t>The use of solar thermal panels and photovoltaic panels on commercial and domestic premises continues to grow, and there are often challenges in making these systems fully safe when involved in fire with an industry skills challenge for sourcing competent persons to support Fire Services when dealing with them.</w:t>
      </w:r>
      <w:r w:rsidRPr="005C18A2">
        <w:t>.</w:t>
      </w:r>
    </w:p>
    <w:p w14:paraId="2DB064AF" w14:textId="6ED620B4" w:rsidR="009308D7" w:rsidRPr="005C18A2" w:rsidRDefault="0080341E" w:rsidP="0080341E">
      <w:r w:rsidRPr="005C18A2">
        <w:lastRenderedPageBreak/>
        <w:t>Work continues in relation to high-rise and high-risk residential premises in the wake of the Grenfell Tower fire in 2017</w:t>
      </w:r>
      <w:r w:rsidR="005C18A2" w:rsidRPr="0085725E">
        <w:t xml:space="preserve">.  There is growing attention on </w:t>
      </w:r>
      <w:r w:rsidRPr="005C18A2">
        <w:t xml:space="preserve"> mid-rise</w:t>
      </w:r>
      <w:r w:rsidR="005C18A2" w:rsidRPr="0085725E">
        <w:t xml:space="preserve"> residential</w:t>
      </w:r>
      <w:r w:rsidRPr="005C18A2">
        <w:t xml:space="preserve"> (11-18mtr) premises and other work to ensure the safety of all commercial properties within Lancashire.  More detailed information about the built environment risk can be found within our protection and business safety strategy.</w:t>
      </w:r>
    </w:p>
    <w:p w14:paraId="34EF959F" w14:textId="6C40D0E0" w:rsidR="009308D7" w:rsidRPr="00AE77E8" w:rsidRDefault="009308D7">
      <w:pPr>
        <w:pStyle w:val="Heading2"/>
      </w:pPr>
      <w:bookmarkStart w:id="54" w:name="_Toc208329937"/>
      <w:bookmarkEnd w:id="53"/>
      <w:r w:rsidRPr="00AE77E8">
        <w:t>Legal</w:t>
      </w:r>
      <w:bookmarkEnd w:id="54"/>
    </w:p>
    <w:p w14:paraId="13017425" w14:textId="77777777" w:rsidR="00BD665A" w:rsidRPr="00AE77E8" w:rsidRDefault="008978DF" w:rsidP="00FB201B">
      <w:pPr>
        <w:pStyle w:val="Heading3"/>
      </w:pPr>
      <w:bookmarkStart w:id="55" w:name="_Toc208329938"/>
      <w:r w:rsidRPr="00AE77E8">
        <w:t>The Building Safety Act 2022</w:t>
      </w:r>
      <w:bookmarkEnd w:id="55"/>
    </w:p>
    <w:p w14:paraId="3486E8A4" w14:textId="77777777" w:rsidR="00E25239" w:rsidRPr="00AE77E8" w:rsidRDefault="00E25239" w:rsidP="000E5042">
      <w:r w:rsidRPr="00AE77E8">
        <w:t>The Act applies to new and existing buildings above 18m with at least two residents (including care homes and hospitals above this height). It creates:</w:t>
      </w:r>
    </w:p>
    <w:p w14:paraId="36979B6B" w14:textId="47482C1F" w:rsidR="00E25239" w:rsidRPr="00AE77E8" w:rsidRDefault="00E25239" w:rsidP="00080040">
      <w:pPr>
        <w:pStyle w:val="ListParagraph"/>
        <w:numPr>
          <w:ilvl w:val="0"/>
          <w:numId w:val="36"/>
        </w:numPr>
      </w:pPr>
      <w:r w:rsidRPr="00AE77E8">
        <w:t xml:space="preserve">a universal change in responsibility and culture within the building </w:t>
      </w:r>
      <w:r w:rsidR="00AB1C0E" w:rsidRPr="00AE77E8">
        <w:t>industry.</w:t>
      </w:r>
    </w:p>
    <w:p w14:paraId="7132286B" w14:textId="78FC26F0" w:rsidR="00E25239" w:rsidRPr="00AE77E8" w:rsidRDefault="00E25239" w:rsidP="00080040">
      <w:pPr>
        <w:pStyle w:val="ListParagraph"/>
        <w:numPr>
          <w:ilvl w:val="0"/>
          <w:numId w:val="36"/>
        </w:numPr>
      </w:pPr>
      <w:r w:rsidRPr="00AE77E8">
        <w:t xml:space="preserve">puts residents at the heart of safety in </w:t>
      </w:r>
      <w:r w:rsidR="00AB1C0E" w:rsidRPr="00AE77E8">
        <w:t>buildings.</w:t>
      </w:r>
    </w:p>
    <w:p w14:paraId="2C4574D4" w14:textId="62BACC15" w:rsidR="00E25239" w:rsidRPr="00AE77E8" w:rsidRDefault="00E25239" w:rsidP="00080040">
      <w:pPr>
        <w:pStyle w:val="ListParagraph"/>
        <w:numPr>
          <w:ilvl w:val="0"/>
          <w:numId w:val="36"/>
        </w:numPr>
      </w:pPr>
      <w:r w:rsidRPr="00AE77E8">
        <w:t>Clarifies who is responsible for Fire and Building Safety throughout the life cycle of such buildings.</w:t>
      </w:r>
    </w:p>
    <w:p w14:paraId="5C37B3DC" w14:textId="7F9FA87A" w:rsidR="00BD665A" w:rsidRPr="00AE77E8" w:rsidRDefault="00E25239" w:rsidP="000E5042">
      <w:r w:rsidRPr="00AE77E8">
        <w:t>There will also be an additional approvals process for higher-risk buildings. Changes to liability in relation to construction of new buildings such that there will be a general and direct right of action brought into force.</w:t>
      </w:r>
    </w:p>
    <w:p w14:paraId="0D0F0CCE" w14:textId="77777777" w:rsidR="00BD665A" w:rsidRPr="00AE77E8" w:rsidRDefault="008978DF" w:rsidP="00FB201B">
      <w:pPr>
        <w:pStyle w:val="Heading3"/>
      </w:pPr>
      <w:bookmarkStart w:id="56" w:name="_Toc208329939"/>
      <w:r w:rsidRPr="00AE77E8">
        <w:t>The Fire Safety (England) Regulations 2022</w:t>
      </w:r>
      <w:bookmarkEnd w:id="56"/>
    </w:p>
    <w:p w14:paraId="2838BFA8" w14:textId="77777777" w:rsidR="00BD665A" w:rsidRPr="00AE77E8" w:rsidRDefault="00BD665A" w:rsidP="00BD665A">
      <w:r w:rsidRPr="00AE77E8">
        <w:t>The new regulations require that for all multi-occupied residential buildings, the following is provided: Fire Safety instructions, Fire Door Information.</w:t>
      </w:r>
    </w:p>
    <w:p w14:paraId="241D55B7" w14:textId="77777777" w:rsidR="00BD665A" w:rsidRPr="00AE77E8" w:rsidRDefault="00BD665A" w:rsidP="00BD665A">
      <w:r w:rsidRPr="00AE77E8">
        <w:t>For all residential buildings above 11 metres in height:  The above, plus Fire Doors</w:t>
      </w:r>
    </w:p>
    <w:p w14:paraId="7A4FB729" w14:textId="1690C937" w:rsidR="00BD665A" w:rsidRPr="00AE77E8" w:rsidRDefault="00BD665A" w:rsidP="000E5042">
      <w:r w:rsidRPr="00AE77E8">
        <w:t xml:space="preserve">For high-rise residential buildings above 18 metres or 7 storeys:  All of the above, plus Building </w:t>
      </w:r>
      <w:r w:rsidR="00123EB4" w:rsidRPr="00AE77E8">
        <w:t>Plans, External</w:t>
      </w:r>
      <w:r w:rsidRPr="00AE77E8">
        <w:t xml:space="preserve"> Wall Systems, Lifts and other key Fire-fighting Equipment, Secure Information Boxes, Wayfinding Signage</w:t>
      </w:r>
    </w:p>
    <w:p w14:paraId="17ADEF01" w14:textId="59DBCA89" w:rsidR="008978DF" w:rsidRPr="00AE77E8" w:rsidRDefault="00BD665A" w:rsidP="00FB201B">
      <w:pPr>
        <w:pStyle w:val="Heading3"/>
      </w:pPr>
      <w:bookmarkStart w:id="57" w:name="_Toc208329940"/>
      <w:r w:rsidRPr="00AE77E8">
        <w:t>T</w:t>
      </w:r>
      <w:r w:rsidR="008978DF" w:rsidRPr="00AE77E8">
        <w:t>he Fire Safety Act 2021</w:t>
      </w:r>
      <w:bookmarkEnd w:id="57"/>
      <w:r w:rsidR="008978DF" w:rsidRPr="00AE77E8">
        <w:t xml:space="preserve"> </w:t>
      </w:r>
    </w:p>
    <w:p w14:paraId="0862449A" w14:textId="77777777" w:rsidR="00BD665A" w:rsidRPr="00AE77E8" w:rsidRDefault="00BD665A" w:rsidP="00BD665A">
      <w:r w:rsidRPr="00AE77E8">
        <w:t>The Act specifies additional areas which the responsible person / duty-holder for multi-occupied residential buildings must consider when managing and reducing risk of fire within their premises. These are:</w:t>
      </w:r>
    </w:p>
    <w:p w14:paraId="3CEE8623" w14:textId="24E506F4" w:rsidR="00BD665A" w:rsidRPr="00AE77E8" w:rsidRDefault="00BD665A" w:rsidP="00080040">
      <w:pPr>
        <w:pStyle w:val="ListParagraph"/>
        <w:numPr>
          <w:ilvl w:val="0"/>
          <w:numId w:val="37"/>
        </w:numPr>
      </w:pPr>
      <w:r w:rsidRPr="00AE77E8">
        <w:t>The structure and external walls of the building including anything attached to it (e.g. cladding, balconies, windows etc)</w:t>
      </w:r>
    </w:p>
    <w:p w14:paraId="745DBA09" w14:textId="0148787D" w:rsidR="005C2895" w:rsidRPr="00AE77E8" w:rsidRDefault="00BD665A" w:rsidP="00080040">
      <w:pPr>
        <w:pStyle w:val="ListParagraph"/>
        <w:numPr>
          <w:ilvl w:val="0"/>
          <w:numId w:val="37"/>
        </w:numPr>
      </w:pPr>
      <w:r w:rsidRPr="00AE77E8">
        <w:t>Entrance doors from the common areas of the building into individual flats.</w:t>
      </w:r>
    </w:p>
    <w:p w14:paraId="6FABA82B" w14:textId="39963C4C" w:rsidR="00E25239" w:rsidRPr="00AE77E8" w:rsidRDefault="00E25239" w:rsidP="000E5042">
      <w:r w:rsidRPr="00AE77E8">
        <w:t xml:space="preserve">We take a risk-based approach to inspecting businesses to make sure they are complying with fire safety laws. Targeting the highest risk premises where occupants are at significant </w:t>
      </w:r>
      <w:r w:rsidRPr="00AE77E8">
        <w:lastRenderedPageBreak/>
        <w:t>risk of harm if a fire occurs, ensures an effective and efficient approach. The continuous development of our protection workforce towards the required levels of competence will strengthen delivery of our risk-based inspection programme in line with fire safety changes.</w:t>
      </w:r>
    </w:p>
    <w:p w14:paraId="4ACFC4B9" w14:textId="77777777" w:rsidR="0048677E" w:rsidRPr="00AE77E8" w:rsidRDefault="0048677E" w:rsidP="00A238D5">
      <w:pPr>
        <w:pStyle w:val="Heading3"/>
      </w:pPr>
      <w:bookmarkStart w:id="58" w:name="_Toc208329941"/>
      <w:bookmarkStart w:id="59" w:name="_Hlk181777458"/>
      <w:r w:rsidRPr="00AE77E8">
        <w:t>Strikes (Minimum Service Levels) Act 2023</w:t>
      </w:r>
      <w:bookmarkEnd w:id="58"/>
    </w:p>
    <w:p w14:paraId="1FBABFB5" w14:textId="2BBF34BE" w:rsidR="0048677E" w:rsidRPr="00AE77E8" w:rsidRDefault="0048677E" w:rsidP="0048677E">
      <w:r w:rsidRPr="00AE77E8">
        <w:t>Last year the Strikes (Minimum Service Levels) Act 2023 was introduced to ensure that the public can continue to access services that they rely on, during strike action, this included Fire and Rescue Services.  However, the Minimum Service Levels will be repealed through the Employment Rights Bill.</w:t>
      </w:r>
    </w:p>
    <w:p w14:paraId="40FE3E48" w14:textId="366ED9C9" w:rsidR="0048677E" w:rsidRPr="00AE77E8" w:rsidRDefault="003D2C08" w:rsidP="000E5042">
      <w:r w:rsidRPr="00AE77E8">
        <w:t xml:space="preserve">Lancashire </w:t>
      </w:r>
      <w:r w:rsidR="00C77080" w:rsidRPr="00AE77E8">
        <w:t>F</w:t>
      </w:r>
      <w:r w:rsidRPr="00AE77E8">
        <w:t xml:space="preserve">ire and </w:t>
      </w:r>
      <w:r w:rsidR="00C77080" w:rsidRPr="00AE77E8">
        <w:t>R</w:t>
      </w:r>
      <w:r w:rsidRPr="00AE77E8">
        <w:t xml:space="preserve">escue </w:t>
      </w:r>
      <w:r w:rsidR="00C77080" w:rsidRPr="00AE77E8">
        <w:t>S</w:t>
      </w:r>
      <w:r w:rsidRPr="00AE77E8">
        <w:t xml:space="preserve">ervice </w:t>
      </w:r>
      <w:r w:rsidR="0048677E" w:rsidRPr="00AE77E8">
        <w:t>will continue to monitor these developments alongside maintaining robust business continuity arrangements for staff absence.</w:t>
      </w:r>
    </w:p>
    <w:p w14:paraId="2CAA0CDA" w14:textId="274A7D0A" w:rsidR="009308D7" w:rsidRPr="00AE77E8" w:rsidRDefault="009308D7" w:rsidP="00FB201B">
      <w:pPr>
        <w:pStyle w:val="Heading2"/>
      </w:pPr>
      <w:bookmarkStart w:id="60" w:name="_Toc208329942"/>
      <w:bookmarkEnd w:id="59"/>
      <w:r w:rsidRPr="00AE77E8">
        <w:t>Organisational</w:t>
      </w:r>
      <w:bookmarkEnd w:id="60"/>
    </w:p>
    <w:p w14:paraId="3B9F39B1" w14:textId="235546ED" w:rsidR="0080341E" w:rsidRPr="00AE77E8" w:rsidRDefault="0080341E" w:rsidP="00FB201B">
      <w:pPr>
        <w:pStyle w:val="Heading3"/>
      </w:pPr>
      <w:bookmarkStart w:id="61" w:name="_Toc208329943"/>
      <w:r w:rsidRPr="00AE77E8">
        <w:t xml:space="preserve">Risk that </w:t>
      </w:r>
      <w:r w:rsidR="003D0144" w:rsidRPr="00AE77E8">
        <w:t>s</w:t>
      </w:r>
      <w:r w:rsidRPr="00AE77E8">
        <w:t>ervice funding over the medium term is insufficient to achieve 202</w:t>
      </w:r>
      <w:r w:rsidR="0060433F" w:rsidRPr="00AE77E8">
        <w:t>2</w:t>
      </w:r>
      <w:r w:rsidRPr="00AE77E8">
        <w:t>-</w:t>
      </w:r>
      <w:r w:rsidR="0060433F" w:rsidRPr="00AE77E8">
        <w:t>27</w:t>
      </w:r>
      <w:r w:rsidRPr="00AE77E8">
        <w:t xml:space="preserve"> </w:t>
      </w:r>
      <w:r w:rsidR="003D2C08" w:rsidRPr="00AE77E8">
        <w:t xml:space="preserve">community risk management plan </w:t>
      </w:r>
      <w:r w:rsidRPr="00AE77E8">
        <w:t>objectives</w:t>
      </w:r>
      <w:bookmarkEnd w:id="61"/>
      <w:r w:rsidRPr="00AE77E8">
        <w:t xml:space="preserve"> </w:t>
      </w:r>
    </w:p>
    <w:p w14:paraId="5C91C63D" w14:textId="3F282E60" w:rsidR="0080341E" w:rsidRPr="00AE77E8" w:rsidRDefault="0080341E" w:rsidP="00FB201B">
      <w:r w:rsidRPr="00AE77E8">
        <w:t>By law, fire and rescue services must set a balanced budget. The only aspect of its funding that the Service can directly control is the level of council tax that it sets, sometimes also referred to as the precept.</w:t>
      </w:r>
    </w:p>
    <w:p w14:paraId="5C4B3DA2" w14:textId="3AB8F8CB" w:rsidR="008978DF" w:rsidRPr="00AE77E8" w:rsidRDefault="00721973" w:rsidP="00FB201B">
      <w:pPr>
        <w:pStyle w:val="Heading3"/>
      </w:pPr>
      <w:bookmarkStart w:id="62" w:name="_Toc208329944"/>
      <w:r w:rsidRPr="00AE77E8">
        <w:rPr>
          <w:lang w:eastAsia="en-GB"/>
        </w:rPr>
        <w:t>Lancashire Fire and Rescue Service</w:t>
      </w:r>
      <w:r w:rsidRPr="00AE77E8">
        <w:t xml:space="preserve"> </w:t>
      </w:r>
      <w:r w:rsidR="008978DF" w:rsidRPr="00AE77E8">
        <w:t>issues e.g. staff availability, recruitment, retention, loss of key staff.</w:t>
      </w:r>
      <w:bookmarkEnd w:id="62"/>
      <w:r w:rsidR="008978DF" w:rsidRPr="00AE77E8">
        <w:t xml:space="preserve"> </w:t>
      </w:r>
    </w:p>
    <w:p w14:paraId="62CAFCA7" w14:textId="77777777" w:rsidR="008978DF" w:rsidRPr="00AE77E8" w:rsidRDefault="008978DF" w:rsidP="00FB201B">
      <w:r w:rsidRPr="00AE77E8">
        <w:t xml:space="preserve">There are a range of risks and issues that can affect the resilience, effectiveness and availability of the Service including: staff inability or reduced ability to work due to disruption caused by factors such as pandemics, fuel supply issues, industrial action etc.; impact of employment market conditions on attraction of new staff, retention of existing staff, and overall workforce stability (specifically the ratio of experienced / competent staff to inexperienced staff / staff in development.) </w:t>
      </w:r>
    </w:p>
    <w:p w14:paraId="383A4656" w14:textId="43D56272" w:rsidR="008978DF" w:rsidRPr="0000317B" w:rsidRDefault="008978DF" w:rsidP="00FB201B">
      <w:pPr>
        <w:pStyle w:val="Heading3"/>
      </w:pPr>
      <w:bookmarkStart w:id="63" w:name="_Toc208329945"/>
      <w:bookmarkStart w:id="64" w:name="_Hlk207195050"/>
      <w:r w:rsidRPr="0000317B">
        <w:t xml:space="preserve">Impact of public inquiries e.g. Grenfell, </w:t>
      </w:r>
      <w:r w:rsidR="00FB201B" w:rsidRPr="0000317B">
        <w:t xml:space="preserve">and </w:t>
      </w:r>
      <w:r w:rsidRPr="0000317B">
        <w:t>Manchester Arena</w:t>
      </w:r>
      <w:bookmarkEnd w:id="63"/>
      <w:r w:rsidRPr="0000317B">
        <w:t xml:space="preserve"> </w:t>
      </w:r>
    </w:p>
    <w:p w14:paraId="2AF48236" w14:textId="09802A44" w:rsidR="008978DF" w:rsidRPr="0000317B" w:rsidRDefault="008978DF" w:rsidP="00FB201B">
      <w:r w:rsidRPr="0000317B">
        <w:t xml:space="preserve">Building safety related legislation and regulations have been comprehensively updated in light of the findings from </w:t>
      </w:r>
      <w:r w:rsidR="0000317B" w:rsidRPr="0085725E">
        <w:t>inquiries such as Manchester Arena  and</w:t>
      </w:r>
      <w:r w:rsidRPr="0000317B">
        <w:t xml:space="preserve"> Grenfell.  In particular, the roles of persons responsible for tall and multi-occupancy buildings have been clarified and extended.  </w:t>
      </w:r>
      <w:r w:rsidR="0000317B" w:rsidRPr="0085725E">
        <w:t xml:space="preserve">Phase 2 of the Grenfell Inquiry made 58 recommendations, 11 of which are directed at fire and rescue services ranging from equipment advances to training and competence  </w:t>
      </w:r>
    </w:p>
    <w:p w14:paraId="4C7193D3" w14:textId="4FD1E6D5" w:rsidR="0000317B" w:rsidRPr="0000317B" w:rsidRDefault="008978DF" w:rsidP="00FB201B">
      <w:r w:rsidRPr="0000317B">
        <w:t>The Manchester Arena Inquiry led to 50 recommendations directly applicable to fire and rescue services and a further 24 to multiple agencies including fire and rescue.</w:t>
      </w:r>
    </w:p>
    <w:p w14:paraId="53543F57" w14:textId="77777777" w:rsidR="005067E2" w:rsidRPr="00005EA4" w:rsidRDefault="005067E2" w:rsidP="005067E2">
      <w:pPr>
        <w:pStyle w:val="Heading1"/>
      </w:pPr>
      <w:bookmarkStart w:id="65" w:name="_Toc208329946"/>
      <w:bookmarkStart w:id="66" w:name="_Toc74639651"/>
      <w:bookmarkStart w:id="67" w:name="_Toc155619850"/>
      <w:bookmarkStart w:id="68" w:name="_Toc155685695"/>
      <w:bookmarkEnd w:id="20"/>
      <w:bookmarkEnd w:id="21"/>
      <w:bookmarkEnd w:id="22"/>
      <w:bookmarkEnd w:id="64"/>
      <w:r w:rsidRPr="00005EA4">
        <w:rPr>
          <w:rStyle w:val="Heading2Char"/>
          <w:b/>
          <w:sz w:val="32"/>
          <w:szCs w:val="32"/>
        </w:rPr>
        <w:lastRenderedPageBreak/>
        <w:t>Historical</w:t>
      </w:r>
      <w:r w:rsidRPr="00005EA4">
        <w:rPr>
          <w:rStyle w:val="Heading2Char"/>
          <w:b/>
          <w:bCs/>
        </w:rPr>
        <w:t xml:space="preserve"> </w:t>
      </w:r>
      <w:r w:rsidRPr="00005EA4">
        <w:rPr>
          <w:rStyle w:val="Heading2Char"/>
          <w:b/>
          <w:sz w:val="32"/>
          <w:szCs w:val="32"/>
        </w:rPr>
        <w:t>Data</w:t>
      </w:r>
      <w:bookmarkEnd w:id="65"/>
    </w:p>
    <w:p w14:paraId="620ED7C0" w14:textId="0FA7987C" w:rsidR="005067E2" w:rsidRPr="00005EA4" w:rsidRDefault="005067E2" w:rsidP="005067E2">
      <w:r w:rsidRPr="00005EA4">
        <w:t xml:space="preserve">The </w:t>
      </w:r>
      <w:r w:rsidR="00123EB4" w:rsidRPr="00005EA4">
        <w:t>N</w:t>
      </w:r>
      <w:r w:rsidRPr="00005EA4">
        <w:t xml:space="preserve">ational </w:t>
      </w:r>
      <w:r w:rsidR="00123EB4" w:rsidRPr="00005EA4">
        <w:t>I</w:t>
      </w:r>
      <w:r w:rsidRPr="00005EA4">
        <w:t xml:space="preserve">ncident </w:t>
      </w:r>
      <w:r w:rsidR="00123EB4" w:rsidRPr="00005EA4">
        <w:t>R</w:t>
      </w:r>
      <w:r w:rsidRPr="00005EA4">
        <w:t xml:space="preserve">ecording </w:t>
      </w:r>
      <w:r w:rsidR="00123EB4" w:rsidRPr="00005EA4">
        <w:t>S</w:t>
      </w:r>
      <w:r w:rsidRPr="00005EA4">
        <w:t xml:space="preserve">ystem was introduced by the Department for Communities and Local Government in 2009, with the requirement that all </w:t>
      </w:r>
      <w:r w:rsidR="00360710" w:rsidRPr="00005EA4">
        <w:t xml:space="preserve">fire and rescue services </w:t>
      </w:r>
      <w:r w:rsidRPr="00005EA4">
        <w:t xml:space="preserve">record operational data using a standardised data collection mechanism.  This has allowed unprecedented insight and analysis to be carried out at a national level, as well as presenting </w:t>
      </w:r>
      <w:r w:rsidR="00360710" w:rsidRPr="00005EA4">
        <w:t xml:space="preserve">fire and rescue service fire and rescue services </w:t>
      </w:r>
      <w:r w:rsidRPr="00005EA4">
        <w:t>with the ability to greatly enhance data-led decision making.</w:t>
      </w:r>
    </w:p>
    <w:p w14:paraId="7140462C" w14:textId="0672D484" w:rsidR="004358E9" w:rsidRDefault="005067E2" w:rsidP="005067E2">
      <w:pPr>
        <w:rPr>
          <w:noProof/>
        </w:rPr>
      </w:pPr>
      <w:r w:rsidRPr="00005EA4">
        <w:t xml:space="preserve">During the </w:t>
      </w:r>
      <w:r w:rsidR="00A35EB8">
        <w:t>sixteen</w:t>
      </w:r>
      <w:r w:rsidR="00A35EB8" w:rsidRPr="00005EA4">
        <w:t xml:space="preserve"> </w:t>
      </w:r>
      <w:r w:rsidRPr="00005EA4">
        <w:t>years in whic</w:t>
      </w:r>
      <w:r w:rsidR="00F84C42" w:rsidRPr="00005EA4">
        <w:t xml:space="preserve">h </w:t>
      </w:r>
      <w:r w:rsidR="004012CA">
        <w:t xml:space="preserve">the </w:t>
      </w:r>
      <w:r w:rsidR="00F84C42" w:rsidRPr="00005EA4">
        <w:t xml:space="preserve">incident recording system </w:t>
      </w:r>
      <w:r w:rsidRPr="00005EA4">
        <w:t xml:space="preserve">has been in operation, incident levels within </w:t>
      </w:r>
      <w:r w:rsidR="00360710" w:rsidRPr="005C18A2">
        <w:t xml:space="preserve">Lancashire Fire and Rescue Service </w:t>
      </w:r>
      <w:r w:rsidRPr="005C18A2">
        <w:t xml:space="preserve">have reduced by </w:t>
      </w:r>
      <w:r w:rsidR="00A35EB8" w:rsidRPr="0085725E">
        <w:t>14</w:t>
      </w:r>
      <w:r w:rsidRPr="005C18A2">
        <w:t xml:space="preserve">%, which equates to approximately </w:t>
      </w:r>
      <w:r w:rsidR="00A35EB8" w:rsidRPr="0085725E">
        <w:t>2,889</w:t>
      </w:r>
      <w:r w:rsidRPr="005C18A2">
        <w:t xml:space="preserve"> incidents.  This reduction in activity is evident across most incident types, with false alarms reducing by </w:t>
      </w:r>
      <w:r w:rsidR="00A35EB8" w:rsidRPr="0085725E">
        <w:t>22</w:t>
      </w:r>
      <w:r w:rsidRPr="005C18A2">
        <w:t xml:space="preserve">%, secondary fires by </w:t>
      </w:r>
      <w:r w:rsidR="00A35EB8" w:rsidRPr="0085725E">
        <w:t>40</w:t>
      </w:r>
      <w:r w:rsidRPr="005C18A2">
        <w:t xml:space="preserve">% and primary fires, which are the most significant type of fire, have reduced by </w:t>
      </w:r>
      <w:r w:rsidR="00A35EB8" w:rsidRPr="0085725E">
        <w:t>43</w:t>
      </w:r>
      <w:r w:rsidRPr="005C18A2">
        <w:t>% within the same timeframe.  However, special service incidents have doubled, mainly due to the adoption of undertaking gaining entry incidents on behalf of the ambulance service.</w:t>
      </w:r>
      <w:r w:rsidR="00A35EB8" w:rsidRPr="00A35EB8">
        <w:rPr>
          <w:noProof/>
        </w:rPr>
        <w:t xml:space="preserve"> </w:t>
      </w:r>
    </w:p>
    <w:p w14:paraId="6E77D736" w14:textId="2FDAA031" w:rsidR="005067E2" w:rsidRPr="0085725E" w:rsidRDefault="00A35EB8" w:rsidP="005067E2">
      <w:pPr>
        <w:rPr>
          <w:highlight w:val="yellow"/>
        </w:rPr>
      </w:pPr>
      <w:r w:rsidRPr="00A35EB8">
        <w:rPr>
          <w:noProof/>
        </w:rPr>
        <w:drawing>
          <wp:inline distT="0" distB="0" distL="0" distR="0" wp14:anchorId="2EAE359E" wp14:editId="4C33C3C8">
            <wp:extent cx="6188710" cy="3565525"/>
            <wp:effectExtent l="0" t="0" r="2540" b="0"/>
            <wp:docPr id="1857976031" name="Picture 1" descr="A graph showing incident types attended in Lancashire since 2015/2016. Showing false alarm, fire - secondary, special service, fire - primary and fire - chim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76031" name="Picture 1" descr="A graph showing incident types attended in Lancashire since 2015/2016. Showing false alarm, fire - secondary, special service, fire - primary and fire - chimney."/>
                    <pic:cNvPicPr/>
                  </pic:nvPicPr>
                  <pic:blipFill>
                    <a:blip r:embed="rId18"/>
                    <a:stretch>
                      <a:fillRect/>
                    </a:stretch>
                  </pic:blipFill>
                  <pic:spPr>
                    <a:xfrm>
                      <a:off x="0" y="0"/>
                      <a:ext cx="6188710" cy="3565525"/>
                    </a:xfrm>
                    <a:prstGeom prst="rect">
                      <a:avLst/>
                    </a:prstGeom>
                  </pic:spPr>
                </pic:pic>
              </a:graphicData>
            </a:graphic>
          </wp:inline>
        </w:drawing>
      </w:r>
    </w:p>
    <w:p w14:paraId="2D528AAB" w14:textId="1EB4AB55" w:rsidR="005067E2" w:rsidRPr="005C18A2" w:rsidRDefault="005067E2" w:rsidP="005067E2">
      <w:pPr>
        <w:rPr>
          <w:rFonts w:cs="Arial"/>
          <w:szCs w:val="24"/>
        </w:rPr>
      </w:pPr>
      <w:r w:rsidRPr="005C18A2">
        <w:rPr>
          <w:rFonts w:cs="Arial"/>
          <w:szCs w:val="24"/>
        </w:rPr>
        <w:t xml:space="preserve">Figure 1: Chart showing incident types attended in Lancashire since </w:t>
      </w:r>
      <w:r w:rsidR="00A35EB8" w:rsidRPr="005C18A2">
        <w:rPr>
          <w:rFonts w:cs="Arial"/>
          <w:szCs w:val="24"/>
        </w:rPr>
        <w:t>201</w:t>
      </w:r>
      <w:r w:rsidR="00A35EB8" w:rsidRPr="0085725E">
        <w:rPr>
          <w:rFonts w:cs="Arial"/>
          <w:szCs w:val="24"/>
        </w:rPr>
        <w:t>5</w:t>
      </w:r>
      <w:r w:rsidRPr="005C18A2">
        <w:rPr>
          <w:rFonts w:cs="Arial"/>
          <w:szCs w:val="24"/>
        </w:rPr>
        <w:t>/</w:t>
      </w:r>
      <w:r w:rsidR="00A35EB8" w:rsidRPr="005C18A2">
        <w:rPr>
          <w:rFonts w:cs="Arial"/>
          <w:szCs w:val="24"/>
        </w:rPr>
        <w:t>1</w:t>
      </w:r>
      <w:r w:rsidR="00A35EB8" w:rsidRPr="0085725E">
        <w:rPr>
          <w:rFonts w:cs="Arial"/>
          <w:szCs w:val="24"/>
        </w:rPr>
        <w:t>6</w:t>
      </w:r>
    </w:p>
    <w:p w14:paraId="529E8601" w14:textId="77777777" w:rsidR="005067E2" w:rsidRPr="005C18A2" w:rsidRDefault="005067E2" w:rsidP="005067E2">
      <w:pPr>
        <w:pStyle w:val="Heading2"/>
      </w:pPr>
      <w:bookmarkStart w:id="69" w:name="_Toc208329947"/>
      <w:r w:rsidRPr="005C18A2">
        <w:rPr>
          <w:rStyle w:val="Heading2Char"/>
          <w:b/>
        </w:rPr>
        <w:t>Injuries and fatalities</w:t>
      </w:r>
      <w:bookmarkEnd w:id="69"/>
    </w:p>
    <w:p w14:paraId="2687C3EF" w14:textId="110A708F" w:rsidR="005067E2" w:rsidRPr="005C18A2" w:rsidRDefault="005067E2" w:rsidP="005067E2">
      <w:r w:rsidRPr="005C18A2">
        <w:t xml:space="preserve">The introduction of </w:t>
      </w:r>
      <w:r w:rsidR="004012CA">
        <w:t>the</w:t>
      </w:r>
      <w:r w:rsidR="004012CA" w:rsidRPr="005C18A2">
        <w:t xml:space="preserve"> </w:t>
      </w:r>
      <w:r w:rsidR="00F84C42" w:rsidRPr="005C18A2">
        <w:t xml:space="preserve">incident recording system </w:t>
      </w:r>
      <w:r w:rsidR="004012CA">
        <w:t xml:space="preserve">has </w:t>
      </w:r>
      <w:r w:rsidRPr="005C18A2">
        <w:t xml:space="preserve">allowed </w:t>
      </w:r>
      <w:r w:rsidR="00360710" w:rsidRPr="005C18A2">
        <w:t>fire and rescue service</w:t>
      </w:r>
      <w:r w:rsidRPr="005C18A2">
        <w:t xml:space="preserve">s to record additional granularity and data on victims at operational incidents. Within the last </w:t>
      </w:r>
      <w:r w:rsidR="00EA1CCC" w:rsidRPr="0085725E">
        <w:t>sixteen</w:t>
      </w:r>
      <w:r w:rsidR="00EA1CCC" w:rsidRPr="005C18A2">
        <w:t xml:space="preserve"> </w:t>
      </w:r>
      <w:r w:rsidRPr="005C18A2">
        <w:t xml:space="preserve">years, injuries at fires have reduced by </w:t>
      </w:r>
      <w:r w:rsidR="00EA1CCC" w:rsidRPr="0085725E">
        <w:t>22</w:t>
      </w:r>
      <w:r w:rsidRPr="005C18A2">
        <w:t xml:space="preserve">%, with the number of people receiving first aid and precautionary checks reducing by </w:t>
      </w:r>
      <w:r w:rsidR="00EA1CCC" w:rsidRPr="0085725E">
        <w:t>10</w:t>
      </w:r>
      <w:r w:rsidRPr="005C18A2">
        <w:t xml:space="preserve">%.  Last year, there were </w:t>
      </w:r>
      <w:r w:rsidR="00EA1CCC" w:rsidRPr="0085725E">
        <w:t>344</w:t>
      </w:r>
      <w:r w:rsidR="00EA1CCC" w:rsidRPr="005C18A2">
        <w:t xml:space="preserve"> </w:t>
      </w:r>
      <w:r w:rsidRPr="005C18A2">
        <w:t xml:space="preserve">injuries </w:t>
      </w:r>
      <w:r w:rsidRPr="005C18A2">
        <w:lastRenderedPageBreak/>
        <w:t xml:space="preserve">resulting from fire, with </w:t>
      </w:r>
      <w:r w:rsidR="00EA1CCC" w:rsidRPr="0085725E">
        <w:t>16</w:t>
      </w:r>
      <w:r w:rsidRPr="005C18A2">
        <w:t xml:space="preserve">% requiring a hospital visit.  Unfortunately, last year saw </w:t>
      </w:r>
      <w:r w:rsidR="00EA1CCC" w:rsidRPr="0085725E">
        <w:t>twelve</w:t>
      </w:r>
      <w:r w:rsidR="00EA1CCC" w:rsidRPr="005C18A2">
        <w:t xml:space="preserve"> </w:t>
      </w:r>
      <w:r w:rsidRPr="005C18A2">
        <w:t>fatalities in fires.</w:t>
      </w:r>
    </w:p>
    <w:p w14:paraId="41746D0F" w14:textId="1FD2BAD5" w:rsidR="005067E2" w:rsidRPr="005C18A2" w:rsidRDefault="005067E2" w:rsidP="005067E2">
      <w:r w:rsidRPr="005C18A2">
        <w:t xml:space="preserve">A large rise in the recording of victims from special service incidents has been witnessed over the previous </w:t>
      </w:r>
      <w:r w:rsidR="00EA1CCC" w:rsidRPr="0085725E">
        <w:t>sixteen</w:t>
      </w:r>
      <w:r w:rsidR="00EA1CCC" w:rsidRPr="005C18A2">
        <w:t xml:space="preserve"> </w:t>
      </w:r>
      <w:r w:rsidRPr="005C18A2">
        <w:t xml:space="preserve">years.  Recordings of injuries have risen by </w:t>
      </w:r>
      <w:r w:rsidR="00FC32D3">
        <w:t>90</w:t>
      </w:r>
      <w:r w:rsidRPr="005C18A2">
        <w:t xml:space="preserve">%, with fatalities rising by </w:t>
      </w:r>
      <w:r w:rsidR="00154811" w:rsidRPr="0085725E">
        <w:t>181</w:t>
      </w:r>
      <w:r w:rsidRPr="005C18A2">
        <w:t xml:space="preserve">%.  </w:t>
      </w:r>
      <w:r w:rsidR="00FB201B" w:rsidRPr="005C18A2">
        <w:t>I</w:t>
      </w:r>
      <w:r w:rsidRPr="005C18A2">
        <w:t>n the past many of these have occurred in RTCs,</w:t>
      </w:r>
      <w:r w:rsidR="00FB201B" w:rsidRPr="005C18A2">
        <w:t xml:space="preserve"> now</w:t>
      </w:r>
      <w:r w:rsidRPr="005C18A2">
        <w:t xml:space="preserve"> </w:t>
      </w:r>
      <w:r w:rsidR="00FB201B" w:rsidRPr="005C18A2">
        <w:t>increases</w:t>
      </w:r>
      <w:r w:rsidRPr="005C18A2">
        <w:t xml:space="preserve"> </w:t>
      </w:r>
      <w:r w:rsidR="00FB201B" w:rsidRPr="005C18A2">
        <w:t xml:space="preserve">are as </w:t>
      </w:r>
      <w:r w:rsidRPr="005C18A2">
        <w:t>a result of providing support or assistance to other agencies, mainly in affecting entry to domestic premises on behalf of North West Ambulance Service.</w:t>
      </w:r>
    </w:p>
    <w:p w14:paraId="2A88ABFF" w14:textId="3AB07020" w:rsidR="005067E2" w:rsidRPr="0085725E" w:rsidRDefault="005067E2" w:rsidP="005067E2">
      <w:pPr>
        <w:rPr>
          <w:rFonts w:cs="Arial"/>
          <w:szCs w:val="24"/>
          <w:highlight w:val="yellow"/>
        </w:rPr>
      </w:pPr>
      <w:r w:rsidRPr="005C18A2">
        <w:t xml:space="preserve">The additional granularity and data recorded on victims as a result of the introduction of </w:t>
      </w:r>
      <w:r w:rsidR="00F84C42" w:rsidRPr="005C18A2">
        <w:t xml:space="preserve">incident recording system </w:t>
      </w:r>
      <w:r w:rsidRPr="005C18A2">
        <w:t xml:space="preserve">has enabled greater analysis and insight to be obtained.  This has led to the introduction of more tailored and targeted campaigns and initiatives through data-led decision making.  Of all the accidental dwelling fires, </w:t>
      </w:r>
      <w:r w:rsidR="00527739" w:rsidRPr="0085725E">
        <w:t>55</w:t>
      </w:r>
      <w:r w:rsidRPr="005C18A2">
        <w:t>% started in the kitchen last year.  Of these incidents, the most common correlation was the negligent use of a cooking appliance.  Due to this, home fire safety checks and safe and well visits place an added emphasis on kitchen or cooking safety.</w:t>
      </w:r>
      <w:r w:rsidR="00C97ED1" w:rsidRPr="00C97ED1">
        <w:rPr>
          <w:noProof/>
        </w:rPr>
        <w:drawing>
          <wp:inline distT="0" distB="0" distL="0" distR="0" wp14:anchorId="7490A2E5" wp14:editId="58BD2D35">
            <wp:extent cx="6188710" cy="3378200"/>
            <wp:effectExtent l="0" t="0" r="2540" b="0"/>
            <wp:docPr id="918687968" name="Picture 1" descr="A graph showing fatalities and injuries at incidents attended by the fire service since 201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87968" name="Picture 1" descr="A graph showing fatalities and injuries at incidents attended by the fire service since 2015/216."/>
                    <pic:cNvPicPr/>
                  </pic:nvPicPr>
                  <pic:blipFill>
                    <a:blip r:embed="rId19"/>
                    <a:stretch>
                      <a:fillRect/>
                    </a:stretch>
                  </pic:blipFill>
                  <pic:spPr>
                    <a:xfrm>
                      <a:off x="0" y="0"/>
                      <a:ext cx="6188710" cy="3378200"/>
                    </a:xfrm>
                    <a:prstGeom prst="rect">
                      <a:avLst/>
                    </a:prstGeom>
                  </pic:spPr>
                </pic:pic>
              </a:graphicData>
            </a:graphic>
          </wp:inline>
        </w:drawing>
      </w:r>
    </w:p>
    <w:p w14:paraId="583B1D6B" w14:textId="77777777" w:rsidR="005067E2" w:rsidRPr="005C18A2" w:rsidRDefault="005067E2" w:rsidP="005067E2">
      <w:pPr>
        <w:rPr>
          <w:rFonts w:cs="Arial"/>
          <w:szCs w:val="24"/>
        </w:rPr>
      </w:pPr>
      <w:r w:rsidRPr="005C18A2">
        <w:rPr>
          <w:rFonts w:cs="Arial"/>
          <w:szCs w:val="24"/>
        </w:rPr>
        <w:t>Figure 2: Chart showing fatalities and injuries at incidents attended by the Fire Service over the last ten years.</w:t>
      </w:r>
    </w:p>
    <w:p w14:paraId="6EE46C28" w14:textId="77777777" w:rsidR="005067E2" w:rsidRPr="00227B6C" w:rsidRDefault="005067E2" w:rsidP="005067E2">
      <w:pPr>
        <w:pStyle w:val="Heading1"/>
        <w:rPr>
          <w:b w:val="0"/>
        </w:rPr>
      </w:pPr>
      <w:bookmarkStart w:id="70" w:name="_Toc208329948"/>
      <w:r w:rsidRPr="00227B6C">
        <w:t>Risk assessment methodology</w:t>
      </w:r>
      <w:bookmarkEnd w:id="70"/>
    </w:p>
    <w:p w14:paraId="4C163603" w14:textId="2F31CC6B" w:rsidR="005067E2" w:rsidRPr="00227B6C" w:rsidRDefault="005067E2" w:rsidP="005067E2">
      <w:r w:rsidRPr="00227B6C">
        <w:t xml:space="preserve">The below assessment of risk was applied to 32 different incident types which cover the main incident types that we respond to as a Fire and Rescue Service and covered by National Operational Guidance.  The purpose of the methodology is to develop and utilise a reliable model that can be applied equally across all incident types whilst considering the likelihood, consequence, and emerging and declining risk.  The model uses single source </w:t>
      </w:r>
      <w:r w:rsidRPr="00227B6C">
        <w:lastRenderedPageBreak/>
        <w:t xml:space="preserve">reliable data </w:t>
      </w:r>
      <w:r w:rsidR="009D5A7F" w:rsidRPr="00227B6C">
        <w:t>(</w:t>
      </w:r>
      <w:r w:rsidR="00123EB4" w:rsidRPr="00227B6C">
        <w:t>I</w:t>
      </w:r>
      <w:r w:rsidR="009D5A7F" w:rsidRPr="00227B6C">
        <w:t>ncident</w:t>
      </w:r>
      <w:r w:rsidR="00F84C42" w:rsidRPr="00227B6C">
        <w:t xml:space="preserve"> </w:t>
      </w:r>
      <w:r w:rsidR="00123EB4" w:rsidRPr="00227B6C">
        <w:t>R</w:t>
      </w:r>
      <w:r w:rsidR="00F84C42" w:rsidRPr="00227B6C">
        <w:t xml:space="preserve">ecording </w:t>
      </w:r>
      <w:r w:rsidR="00123EB4" w:rsidRPr="00227B6C">
        <w:t>S</w:t>
      </w:r>
      <w:r w:rsidR="00F84C42" w:rsidRPr="00227B6C">
        <w:t>ystem),</w:t>
      </w:r>
      <w:r w:rsidRPr="00227B6C">
        <w:t xml:space="preserve"> coupled with sector competent professional judgement.</w:t>
      </w:r>
    </w:p>
    <w:p w14:paraId="0B22F81F" w14:textId="77777777" w:rsidR="005067E2" w:rsidRPr="00227B6C" w:rsidRDefault="005067E2" w:rsidP="005067E2">
      <w:pPr>
        <w:spacing w:line="240" w:lineRule="auto"/>
        <w:rPr>
          <w:rFonts w:cs="Arial"/>
          <w:b/>
          <w:szCs w:val="24"/>
        </w:rPr>
      </w:pPr>
      <w:r w:rsidRPr="00227B6C">
        <w:rPr>
          <w:rFonts w:cs="Arial"/>
          <w:b/>
          <w:szCs w:val="24"/>
        </w:rPr>
        <w:t>Likelihood (risk)</w:t>
      </w:r>
    </w:p>
    <w:p w14:paraId="5795675F" w14:textId="304A5716" w:rsidR="00DE2F0D" w:rsidRPr="00227B6C" w:rsidRDefault="005067E2" w:rsidP="005067E2">
      <w:r w:rsidRPr="00227B6C">
        <w:t>Our likelihood calculation is based upon incidents historically attended over the previous three calendar years and the categorisation can be seen below:</w:t>
      </w:r>
    </w:p>
    <w:p w14:paraId="19AB8480" w14:textId="77777777" w:rsidR="005067E2" w:rsidRPr="00227B6C" w:rsidRDefault="005067E2" w:rsidP="009D68DC">
      <w:pPr>
        <w:keepNext/>
        <w:spacing w:before="0" w:after="160" w:line="259" w:lineRule="auto"/>
        <w:rPr>
          <w:rFonts w:cs="Arial"/>
          <w:b/>
          <w:szCs w:val="24"/>
        </w:rPr>
      </w:pPr>
      <w:r w:rsidRPr="00227B6C">
        <w:rPr>
          <w:rFonts w:cs="Arial"/>
          <w:b/>
          <w:szCs w:val="24"/>
        </w:rPr>
        <w:t xml:space="preserve">Table 1: </w:t>
      </w:r>
      <w:r w:rsidRPr="00227B6C">
        <w:rPr>
          <w:rFonts w:cs="Arial"/>
          <w:szCs w:val="24"/>
        </w:rPr>
        <w:t>Likelihood score calculation.</w:t>
      </w:r>
    </w:p>
    <w:tbl>
      <w:tblPr>
        <w:tblStyle w:val="TableGrid"/>
        <w:tblW w:w="0" w:type="auto"/>
        <w:tblLook w:val="04A0" w:firstRow="1" w:lastRow="0" w:firstColumn="1" w:lastColumn="0" w:noHBand="0" w:noVBand="1"/>
        <w:tblCaption w:val="Likelihood score calculation"/>
        <w:tblDescription w:val="Table detailing likelihood class, score, frequency amd frequency definitions"/>
      </w:tblPr>
      <w:tblGrid>
        <w:gridCol w:w="1913"/>
        <w:gridCol w:w="1962"/>
        <w:gridCol w:w="1490"/>
        <w:gridCol w:w="4371"/>
      </w:tblGrid>
      <w:tr w:rsidR="005067E2" w:rsidRPr="00227B6C" w14:paraId="3A198723" w14:textId="77777777" w:rsidTr="005604A2">
        <w:trPr>
          <w:tblHeader/>
        </w:trPr>
        <w:tc>
          <w:tcPr>
            <w:tcW w:w="0" w:type="auto"/>
            <w:tcBorders>
              <w:bottom w:val="single" w:sz="4" w:space="0" w:color="auto"/>
            </w:tcBorders>
            <w:shd w:val="clear" w:color="auto" w:fill="F2F2F2" w:themeFill="background1" w:themeFillShade="F2"/>
          </w:tcPr>
          <w:p w14:paraId="6406E5EF" w14:textId="77777777" w:rsidR="005067E2" w:rsidRPr="00227B6C" w:rsidRDefault="005067E2" w:rsidP="005604A2">
            <w:pPr>
              <w:pStyle w:val="Tabletext"/>
              <w:rPr>
                <w:b/>
                <w:bCs w:val="0"/>
                <w:sz w:val="24"/>
              </w:rPr>
            </w:pPr>
            <w:r w:rsidRPr="00227B6C">
              <w:rPr>
                <w:b/>
                <w:bCs w:val="0"/>
                <w:sz w:val="24"/>
              </w:rPr>
              <w:t>Likelihood class</w:t>
            </w:r>
          </w:p>
        </w:tc>
        <w:tc>
          <w:tcPr>
            <w:tcW w:w="0" w:type="auto"/>
            <w:tcBorders>
              <w:bottom w:val="single" w:sz="4" w:space="0" w:color="auto"/>
            </w:tcBorders>
            <w:shd w:val="clear" w:color="auto" w:fill="F2F2F2" w:themeFill="background1" w:themeFillShade="F2"/>
          </w:tcPr>
          <w:p w14:paraId="77AFEDF1" w14:textId="77777777" w:rsidR="005067E2" w:rsidRPr="00227B6C" w:rsidRDefault="005067E2" w:rsidP="005604A2">
            <w:pPr>
              <w:pStyle w:val="Tabletext"/>
              <w:rPr>
                <w:b/>
                <w:bCs w:val="0"/>
                <w:sz w:val="24"/>
              </w:rPr>
            </w:pPr>
            <w:r w:rsidRPr="00227B6C">
              <w:rPr>
                <w:b/>
                <w:bCs w:val="0"/>
                <w:sz w:val="24"/>
              </w:rPr>
              <w:t>Likelihood Score</w:t>
            </w:r>
          </w:p>
        </w:tc>
        <w:tc>
          <w:tcPr>
            <w:tcW w:w="0" w:type="auto"/>
            <w:tcBorders>
              <w:bottom w:val="single" w:sz="4" w:space="0" w:color="auto"/>
            </w:tcBorders>
            <w:shd w:val="clear" w:color="auto" w:fill="F2F2F2" w:themeFill="background1" w:themeFillShade="F2"/>
          </w:tcPr>
          <w:p w14:paraId="33483AE0" w14:textId="77777777" w:rsidR="005067E2" w:rsidRPr="00227B6C" w:rsidRDefault="005067E2" w:rsidP="005604A2">
            <w:pPr>
              <w:pStyle w:val="Tabletext"/>
              <w:rPr>
                <w:b/>
                <w:bCs w:val="0"/>
                <w:sz w:val="24"/>
              </w:rPr>
            </w:pPr>
            <w:r w:rsidRPr="00227B6C">
              <w:rPr>
                <w:b/>
                <w:bCs w:val="0"/>
                <w:sz w:val="24"/>
              </w:rPr>
              <w:t>Frequency</w:t>
            </w:r>
          </w:p>
        </w:tc>
        <w:tc>
          <w:tcPr>
            <w:tcW w:w="0" w:type="auto"/>
            <w:tcBorders>
              <w:bottom w:val="single" w:sz="4" w:space="0" w:color="auto"/>
            </w:tcBorders>
            <w:shd w:val="clear" w:color="auto" w:fill="F2F2F2" w:themeFill="background1" w:themeFillShade="F2"/>
          </w:tcPr>
          <w:p w14:paraId="750774D2" w14:textId="77777777" w:rsidR="005067E2" w:rsidRPr="00227B6C" w:rsidRDefault="005067E2" w:rsidP="005604A2">
            <w:pPr>
              <w:pStyle w:val="Tabletext"/>
              <w:rPr>
                <w:b/>
                <w:bCs w:val="0"/>
                <w:sz w:val="24"/>
              </w:rPr>
            </w:pPr>
            <w:r w:rsidRPr="00227B6C">
              <w:rPr>
                <w:b/>
                <w:bCs w:val="0"/>
                <w:sz w:val="24"/>
              </w:rPr>
              <w:t>Frequency definition</w:t>
            </w:r>
          </w:p>
        </w:tc>
      </w:tr>
      <w:tr w:rsidR="005067E2" w:rsidRPr="00227B6C" w14:paraId="4733773A" w14:textId="77777777" w:rsidTr="005604A2">
        <w:tc>
          <w:tcPr>
            <w:tcW w:w="0" w:type="auto"/>
            <w:tcBorders>
              <w:bottom w:val="single" w:sz="4" w:space="0" w:color="auto"/>
            </w:tcBorders>
          </w:tcPr>
          <w:p w14:paraId="00622475" w14:textId="77777777" w:rsidR="005067E2" w:rsidRPr="00227B6C" w:rsidRDefault="005067E2" w:rsidP="005604A2">
            <w:pPr>
              <w:pStyle w:val="Tabletext"/>
              <w:rPr>
                <w:sz w:val="24"/>
              </w:rPr>
            </w:pPr>
            <w:r w:rsidRPr="00227B6C">
              <w:rPr>
                <w:sz w:val="24"/>
              </w:rPr>
              <w:t>High</w:t>
            </w:r>
          </w:p>
        </w:tc>
        <w:tc>
          <w:tcPr>
            <w:tcW w:w="0" w:type="auto"/>
            <w:tcBorders>
              <w:bottom w:val="single" w:sz="4" w:space="0" w:color="auto"/>
            </w:tcBorders>
          </w:tcPr>
          <w:p w14:paraId="501D4EB5" w14:textId="77777777" w:rsidR="005067E2" w:rsidRPr="00227B6C" w:rsidRDefault="005067E2" w:rsidP="005604A2">
            <w:pPr>
              <w:pStyle w:val="Tabletext"/>
              <w:rPr>
                <w:sz w:val="24"/>
              </w:rPr>
            </w:pPr>
            <w:r w:rsidRPr="00227B6C">
              <w:rPr>
                <w:sz w:val="24"/>
              </w:rPr>
              <w:t>5</w:t>
            </w:r>
          </w:p>
        </w:tc>
        <w:tc>
          <w:tcPr>
            <w:tcW w:w="0" w:type="auto"/>
            <w:tcBorders>
              <w:bottom w:val="single" w:sz="4" w:space="0" w:color="auto"/>
            </w:tcBorders>
          </w:tcPr>
          <w:p w14:paraId="0F61440F" w14:textId="77777777" w:rsidR="005067E2" w:rsidRPr="00227B6C" w:rsidRDefault="005067E2" w:rsidP="005604A2">
            <w:pPr>
              <w:pStyle w:val="Tabletext"/>
              <w:rPr>
                <w:sz w:val="24"/>
              </w:rPr>
            </w:pPr>
            <w:r w:rsidRPr="00227B6C">
              <w:rPr>
                <w:sz w:val="24"/>
              </w:rPr>
              <w:t>365 or more</w:t>
            </w:r>
          </w:p>
        </w:tc>
        <w:tc>
          <w:tcPr>
            <w:tcW w:w="0" w:type="auto"/>
            <w:tcBorders>
              <w:bottom w:val="single" w:sz="4" w:space="0" w:color="auto"/>
            </w:tcBorders>
          </w:tcPr>
          <w:p w14:paraId="217CAE32" w14:textId="77777777" w:rsidR="005067E2" w:rsidRPr="00227B6C" w:rsidRDefault="005067E2" w:rsidP="005604A2">
            <w:pPr>
              <w:pStyle w:val="Tabletext"/>
              <w:rPr>
                <w:sz w:val="24"/>
              </w:rPr>
            </w:pPr>
            <w:r w:rsidRPr="00227B6C">
              <w:rPr>
                <w:sz w:val="24"/>
              </w:rPr>
              <w:t>At least once per day</w:t>
            </w:r>
          </w:p>
        </w:tc>
      </w:tr>
      <w:tr w:rsidR="005067E2" w:rsidRPr="00227B6C" w14:paraId="709DB45F" w14:textId="77777777" w:rsidTr="005604A2">
        <w:tc>
          <w:tcPr>
            <w:tcW w:w="0" w:type="auto"/>
            <w:tcBorders>
              <w:top w:val="single" w:sz="4" w:space="0" w:color="auto"/>
            </w:tcBorders>
          </w:tcPr>
          <w:p w14:paraId="1C71B55A" w14:textId="77777777" w:rsidR="005067E2" w:rsidRPr="00227B6C" w:rsidRDefault="005067E2" w:rsidP="005604A2">
            <w:pPr>
              <w:pStyle w:val="Tabletext"/>
              <w:rPr>
                <w:sz w:val="24"/>
              </w:rPr>
            </w:pPr>
            <w:r w:rsidRPr="00227B6C">
              <w:rPr>
                <w:sz w:val="24"/>
              </w:rPr>
              <w:t>Medium high</w:t>
            </w:r>
          </w:p>
        </w:tc>
        <w:tc>
          <w:tcPr>
            <w:tcW w:w="0" w:type="auto"/>
            <w:tcBorders>
              <w:top w:val="single" w:sz="4" w:space="0" w:color="auto"/>
            </w:tcBorders>
          </w:tcPr>
          <w:p w14:paraId="514709E6" w14:textId="77777777" w:rsidR="005067E2" w:rsidRPr="00227B6C" w:rsidRDefault="005067E2" w:rsidP="005604A2">
            <w:pPr>
              <w:pStyle w:val="Tabletext"/>
              <w:rPr>
                <w:sz w:val="24"/>
              </w:rPr>
            </w:pPr>
            <w:r w:rsidRPr="00227B6C">
              <w:rPr>
                <w:sz w:val="24"/>
              </w:rPr>
              <w:t>4</w:t>
            </w:r>
          </w:p>
        </w:tc>
        <w:tc>
          <w:tcPr>
            <w:tcW w:w="0" w:type="auto"/>
            <w:tcBorders>
              <w:top w:val="single" w:sz="4" w:space="0" w:color="auto"/>
            </w:tcBorders>
          </w:tcPr>
          <w:p w14:paraId="2D538BFB" w14:textId="77777777" w:rsidR="005067E2" w:rsidRPr="00227B6C" w:rsidRDefault="005067E2" w:rsidP="005604A2">
            <w:pPr>
              <w:pStyle w:val="Tabletext"/>
              <w:rPr>
                <w:sz w:val="24"/>
              </w:rPr>
            </w:pPr>
            <w:r w:rsidRPr="00227B6C">
              <w:rPr>
                <w:sz w:val="24"/>
              </w:rPr>
              <w:t>52-364</w:t>
            </w:r>
          </w:p>
        </w:tc>
        <w:tc>
          <w:tcPr>
            <w:tcW w:w="0" w:type="auto"/>
            <w:tcBorders>
              <w:top w:val="single" w:sz="4" w:space="0" w:color="auto"/>
            </w:tcBorders>
          </w:tcPr>
          <w:p w14:paraId="792DE456" w14:textId="77777777" w:rsidR="005067E2" w:rsidRPr="00227B6C" w:rsidRDefault="005067E2" w:rsidP="005604A2">
            <w:pPr>
              <w:pStyle w:val="Tabletext"/>
              <w:rPr>
                <w:sz w:val="24"/>
              </w:rPr>
            </w:pPr>
            <w:r w:rsidRPr="00227B6C">
              <w:rPr>
                <w:sz w:val="24"/>
              </w:rPr>
              <w:t>At least once a week but less than once a day</w:t>
            </w:r>
          </w:p>
        </w:tc>
      </w:tr>
      <w:tr w:rsidR="005067E2" w:rsidRPr="00227B6C" w14:paraId="7A063335" w14:textId="77777777" w:rsidTr="005604A2">
        <w:tc>
          <w:tcPr>
            <w:tcW w:w="0" w:type="auto"/>
          </w:tcPr>
          <w:p w14:paraId="6D1D8789" w14:textId="77777777" w:rsidR="005067E2" w:rsidRPr="00227B6C" w:rsidRDefault="005067E2" w:rsidP="005604A2">
            <w:pPr>
              <w:pStyle w:val="Tabletext"/>
              <w:rPr>
                <w:sz w:val="24"/>
              </w:rPr>
            </w:pPr>
            <w:r w:rsidRPr="00227B6C">
              <w:rPr>
                <w:sz w:val="24"/>
              </w:rPr>
              <w:t>Medium</w:t>
            </w:r>
          </w:p>
        </w:tc>
        <w:tc>
          <w:tcPr>
            <w:tcW w:w="0" w:type="auto"/>
          </w:tcPr>
          <w:p w14:paraId="20E589AF" w14:textId="77777777" w:rsidR="005067E2" w:rsidRPr="00227B6C" w:rsidRDefault="005067E2" w:rsidP="005604A2">
            <w:pPr>
              <w:pStyle w:val="Tabletext"/>
              <w:rPr>
                <w:sz w:val="24"/>
              </w:rPr>
            </w:pPr>
            <w:r w:rsidRPr="00227B6C">
              <w:rPr>
                <w:sz w:val="24"/>
              </w:rPr>
              <w:t>3</w:t>
            </w:r>
          </w:p>
        </w:tc>
        <w:tc>
          <w:tcPr>
            <w:tcW w:w="0" w:type="auto"/>
          </w:tcPr>
          <w:p w14:paraId="20DFBC3E" w14:textId="77777777" w:rsidR="005067E2" w:rsidRPr="00227B6C" w:rsidRDefault="005067E2" w:rsidP="005604A2">
            <w:pPr>
              <w:pStyle w:val="Tabletext"/>
              <w:rPr>
                <w:sz w:val="24"/>
              </w:rPr>
            </w:pPr>
            <w:r w:rsidRPr="00227B6C">
              <w:rPr>
                <w:sz w:val="24"/>
              </w:rPr>
              <w:t>12-51</w:t>
            </w:r>
          </w:p>
        </w:tc>
        <w:tc>
          <w:tcPr>
            <w:tcW w:w="0" w:type="auto"/>
          </w:tcPr>
          <w:p w14:paraId="42455CCE" w14:textId="77777777" w:rsidR="005067E2" w:rsidRPr="00227B6C" w:rsidRDefault="005067E2" w:rsidP="005604A2">
            <w:pPr>
              <w:pStyle w:val="Tabletext"/>
              <w:rPr>
                <w:sz w:val="24"/>
              </w:rPr>
            </w:pPr>
            <w:r w:rsidRPr="00227B6C">
              <w:rPr>
                <w:sz w:val="24"/>
              </w:rPr>
              <w:t>At least once a month but less than once a week</w:t>
            </w:r>
          </w:p>
        </w:tc>
      </w:tr>
      <w:tr w:rsidR="005067E2" w:rsidRPr="00227B6C" w14:paraId="101568C2" w14:textId="77777777" w:rsidTr="005604A2">
        <w:tc>
          <w:tcPr>
            <w:tcW w:w="0" w:type="auto"/>
          </w:tcPr>
          <w:p w14:paraId="5AE7796E" w14:textId="77777777" w:rsidR="005067E2" w:rsidRPr="00227B6C" w:rsidRDefault="005067E2" w:rsidP="005604A2">
            <w:pPr>
              <w:pStyle w:val="Tabletext"/>
              <w:rPr>
                <w:sz w:val="24"/>
              </w:rPr>
            </w:pPr>
            <w:r w:rsidRPr="00227B6C">
              <w:rPr>
                <w:sz w:val="24"/>
              </w:rPr>
              <w:t>Medium low</w:t>
            </w:r>
          </w:p>
        </w:tc>
        <w:tc>
          <w:tcPr>
            <w:tcW w:w="0" w:type="auto"/>
          </w:tcPr>
          <w:p w14:paraId="7D2A507E" w14:textId="77777777" w:rsidR="005067E2" w:rsidRPr="00227B6C" w:rsidRDefault="005067E2" w:rsidP="005604A2">
            <w:pPr>
              <w:pStyle w:val="Tabletext"/>
              <w:rPr>
                <w:sz w:val="24"/>
              </w:rPr>
            </w:pPr>
            <w:r w:rsidRPr="00227B6C">
              <w:rPr>
                <w:sz w:val="24"/>
              </w:rPr>
              <w:t>2</w:t>
            </w:r>
          </w:p>
        </w:tc>
        <w:tc>
          <w:tcPr>
            <w:tcW w:w="0" w:type="auto"/>
          </w:tcPr>
          <w:p w14:paraId="5B5EE250" w14:textId="77777777" w:rsidR="005067E2" w:rsidRPr="00227B6C" w:rsidRDefault="005067E2" w:rsidP="005604A2">
            <w:pPr>
              <w:pStyle w:val="Tabletext"/>
              <w:rPr>
                <w:sz w:val="24"/>
              </w:rPr>
            </w:pPr>
            <w:r w:rsidRPr="00227B6C">
              <w:rPr>
                <w:sz w:val="24"/>
              </w:rPr>
              <w:t>1-11</w:t>
            </w:r>
          </w:p>
        </w:tc>
        <w:tc>
          <w:tcPr>
            <w:tcW w:w="0" w:type="auto"/>
          </w:tcPr>
          <w:p w14:paraId="621D10AB" w14:textId="77777777" w:rsidR="005067E2" w:rsidRPr="00227B6C" w:rsidRDefault="005067E2" w:rsidP="005604A2">
            <w:pPr>
              <w:pStyle w:val="Tabletext"/>
              <w:rPr>
                <w:sz w:val="24"/>
              </w:rPr>
            </w:pPr>
            <w:r w:rsidRPr="00227B6C">
              <w:rPr>
                <w:sz w:val="24"/>
              </w:rPr>
              <w:t>At least once a year but less than once a month</w:t>
            </w:r>
          </w:p>
        </w:tc>
      </w:tr>
      <w:tr w:rsidR="005067E2" w:rsidRPr="00227B6C" w14:paraId="5AC3804B" w14:textId="77777777" w:rsidTr="005604A2">
        <w:trPr>
          <w:trHeight w:val="85"/>
        </w:trPr>
        <w:tc>
          <w:tcPr>
            <w:tcW w:w="0" w:type="auto"/>
          </w:tcPr>
          <w:p w14:paraId="20609EE3" w14:textId="77777777" w:rsidR="005067E2" w:rsidRPr="00227B6C" w:rsidRDefault="005067E2" w:rsidP="005604A2">
            <w:pPr>
              <w:pStyle w:val="Tabletext"/>
              <w:rPr>
                <w:sz w:val="24"/>
              </w:rPr>
            </w:pPr>
            <w:r w:rsidRPr="00227B6C">
              <w:rPr>
                <w:sz w:val="24"/>
              </w:rPr>
              <w:t>Low</w:t>
            </w:r>
          </w:p>
        </w:tc>
        <w:tc>
          <w:tcPr>
            <w:tcW w:w="0" w:type="auto"/>
          </w:tcPr>
          <w:p w14:paraId="35BC3E16" w14:textId="77777777" w:rsidR="005067E2" w:rsidRPr="00227B6C" w:rsidRDefault="005067E2" w:rsidP="005604A2">
            <w:pPr>
              <w:pStyle w:val="Tabletext"/>
              <w:rPr>
                <w:sz w:val="24"/>
              </w:rPr>
            </w:pPr>
            <w:r w:rsidRPr="00227B6C">
              <w:rPr>
                <w:sz w:val="24"/>
              </w:rPr>
              <w:t>1</w:t>
            </w:r>
          </w:p>
        </w:tc>
        <w:tc>
          <w:tcPr>
            <w:tcW w:w="0" w:type="auto"/>
          </w:tcPr>
          <w:p w14:paraId="11A6A0BF" w14:textId="77777777" w:rsidR="005067E2" w:rsidRPr="00227B6C" w:rsidRDefault="005067E2" w:rsidP="005604A2">
            <w:pPr>
              <w:pStyle w:val="Tabletext"/>
              <w:rPr>
                <w:sz w:val="24"/>
              </w:rPr>
            </w:pPr>
            <w:r w:rsidRPr="00227B6C">
              <w:rPr>
                <w:sz w:val="24"/>
              </w:rPr>
              <w:t>Less than 1</w:t>
            </w:r>
          </w:p>
        </w:tc>
        <w:tc>
          <w:tcPr>
            <w:tcW w:w="0" w:type="auto"/>
          </w:tcPr>
          <w:p w14:paraId="40716F31" w14:textId="77777777" w:rsidR="005067E2" w:rsidRPr="00227B6C" w:rsidRDefault="005067E2" w:rsidP="005604A2">
            <w:pPr>
              <w:pStyle w:val="Tabletext"/>
              <w:rPr>
                <w:sz w:val="24"/>
              </w:rPr>
            </w:pPr>
            <w:r w:rsidRPr="00227B6C">
              <w:rPr>
                <w:sz w:val="24"/>
              </w:rPr>
              <w:t>Less than once a year</w:t>
            </w:r>
          </w:p>
        </w:tc>
      </w:tr>
    </w:tbl>
    <w:p w14:paraId="191DA0C1" w14:textId="77777777" w:rsidR="005067E2" w:rsidRPr="00227B6C" w:rsidRDefault="005067E2" w:rsidP="005067E2">
      <w:r w:rsidRPr="00227B6C">
        <w:t>After the frequency has been calculated a directional multiplier is applied as to whether the incident type is emerging or declining and an overall likelihood – direction score is generated.</w:t>
      </w:r>
    </w:p>
    <w:p w14:paraId="20ACC7FC" w14:textId="77777777" w:rsidR="005067E2" w:rsidRPr="00227B6C" w:rsidRDefault="005067E2" w:rsidP="005067E2">
      <w:pPr>
        <w:pStyle w:val="Heading2"/>
      </w:pPr>
      <w:bookmarkStart w:id="71" w:name="_Toc208329949"/>
      <w:r w:rsidRPr="00227B6C">
        <w:t>Consequence score</w:t>
      </w:r>
      <w:bookmarkEnd w:id="71"/>
    </w:p>
    <w:p w14:paraId="1F80C70C" w14:textId="77777777" w:rsidR="005067E2" w:rsidRPr="00227B6C" w:rsidRDefault="005067E2" w:rsidP="005067E2">
      <w:r w:rsidRPr="00227B6C">
        <w:t xml:space="preserve">The consequence score is derived as the average score from our seven consequence categories. These scores have had professional judgement applied from sector competent persons and each category individually scored from1-5. </w:t>
      </w:r>
    </w:p>
    <w:p w14:paraId="2A60C930" w14:textId="77777777" w:rsidR="005067E2" w:rsidRPr="00227B6C" w:rsidRDefault="005067E2" w:rsidP="009D68DC">
      <w:pPr>
        <w:keepNext/>
        <w:spacing w:line="240" w:lineRule="auto"/>
        <w:rPr>
          <w:rFonts w:cs="Arial"/>
          <w:b/>
          <w:bCs/>
          <w:szCs w:val="24"/>
        </w:rPr>
      </w:pPr>
      <w:r w:rsidRPr="00227B6C">
        <w:rPr>
          <w:rFonts w:cs="Arial"/>
          <w:b/>
          <w:bCs/>
          <w:szCs w:val="24"/>
        </w:rPr>
        <w:t xml:space="preserve">Table 2: </w:t>
      </w:r>
      <w:r w:rsidRPr="00227B6C">
        <w:rPr>
          <w:rFonts w:cs="Arial"/>
          <w:szCs w:val="24"/>
        </w:rPr>
        <w:t>Consequence categories</w:t>
      </w:r>
    </w:p>
    <w:tbl>
      <w:tblPr>
        <w:tblW w:w="5000" w:type="pct"/>
        <w:tblLook w:val="04A0" w:firstRow="1" w:lastRow="0" w:firstColumn="1" w:lastColumn="0" w:noHBand="0" w:noVBand="1"/>
        <w:tblCaption w:val="Consequence categories"/>
        <w:tblDescription w:val="Table showing consequence categories and definitions"/>
      </w:tblPr>
      <w:tblGrid>
        <w:gridCol w:w="1974"/>
        <w:gridCol w:w="7762"/>
      </w:tblGrid>
      <w:tr w:rsidR="005067E2" w:rsidRPr="00227B6C" w14:paraId="365B7D52" w14:textId="77777777" w:rsidTr="005604A2">
        <w:trPr>
          <w:trHeight w:val="454"/>
          <w:tblHeader/>
        </w:trPr>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130842" w14:textId="77777777" w:rsidR="005067E2" w:rsidRPr="00227B6C" w:rsidRDefault="005067E2" w:rsidP="005604A2">
            <w:pPr>
              <w:pStyle w:val="Tabletext"/>
              <w:rPr>
                <w:b/>
                <w:bCs w:val="0"/>
                <w:sz w:val="24"/>
                <w:lang w:eastAsia="en-GB"/>
              </w:rPr>
            </w:pPr>
            <w:r w:rsidRPr="00227B6C">
              <w:rPr>
                <w:b/>
                <w:bCs w:val="0"/>
                <w:sz w:val="24"/>
                <w:lang w:eastAsia="en-GB"/>
              </w:rPr>
              <w:t>Category</w:t>
            </w:r>
          </w:p>
        </w:tc>
        <w:tc>
          <w:tcPr>
            <w:tcW w:w="398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B30B34E" w14:textId="77777777" w:rsidR="005067E2" w:rsidRPr="00227B6C" w:rsidRDefault="005067E2" w:rsidP="005604A2">
            <w:pPr>
              <w:pStyle w:val="Tabletext"/>
              <w:rPr>
                <w:b/>
                <w:bCs w:val="0"/>
                <w:sz w:val="24"/>
                <w:lang w:eastAsia="en-GB"/>
              </w:rPr>
            </w:pPr>
            <w:r w:rsidRPr="00227B6C">
              <w:rPr>
                <w:b/>
                <w:bCs w:val="0"/>
                <w:sz w:val="24"/>
                <w:lang w:eastAsia="en-GB"/>
              </w:rPr>
              <w:t>Definition</w:t>
            </w:r>
          </w:p>
        </w:tc>
      </w:tr>
      <w:tr w:rsidR="005067E2" w:rsidRPr="00227B6C" w14:paraId="497A33BF" w14:textId="77777777" w:rsidTr="005604A2">
        <w:trPr>
          <w:trHeight w:val="454"/>
        </w:trPr>
        <w:tc>
          <w:tcPr>
            <w:tcW w:w="1014" w:type="pct"/>
            <w:tcBorders>
              <w:top w:val="single" w:sz="4" w:space="0" w:color="auto"/>
              <w:left w:val="single" w:sz="4" w:space="0" w:color="auto"/>
              <w:bottom w:val="single" w:sz="4" w:space="0" w:color="auto"/>
              <w:right w:val="single" w:sz="4" w:space="0" w:color="auto"/>
            </w:tcBorders>
            <w:vAlign w:val="center"/>
            <w:hideMark/>
          </w:tcPr>
          <w:p w14:paraId="6EE37F4A" w14:textId="77777777" w:rsidR="005067E2" w:rsidRPr="00227B6C" w:rsidRDefault="005067E2" w:rsidP="005604A2">
            <w:pPr>
              <w:pStyle w:val="Tabletext"/>
              <w:rPr>
                <w:sz w:val="24"/>
                <w:lang w:eastAsia="en-GB"/>
              </w:rPr>
            </w:pPr>
            <w:r w:rsidRPr="00227B6C">
              <w:rPr>
                <w:sz w:val="24"/>
                <w:lang w:eastAsia="en-GB"/>
              </w:rPr>
              <w:t>Loss of life</w:t>
            </w:r>
          </w:p>
        </w:tc>
        <w:tc>
          <w:tcPr>
            <w:tcW w:w="3986" w:type="pct"/>
            <w:tcBorders>
              <w:top w:val="single" w:sz="4" w:space="0" w:color="auto"/>
              <w:left w:val="nil"/>
              <w:bottom w:val="single" w:sz="4" w:space="0" w:color="auto"/>
              <w:right w:val="single" w:sz="4" w:space="0" w:color="auto"/>
            </w:tcBorders>
            <w:vAlign w:val="center"/>
            <w:hideMark/>
          </w:tcPr>
          <w:p w14:paraId="2897252F" w14:textId="77777777" w:rsidR="005067E2" w:rsidRPr="00227B6C" w:rsidRDefault="005067E2" w:rsidP="005604A2">
            <w:pPr>
              <w:pStyle w:val="Tabletext"/>
              <w:rPr>
                <w:sz w:val="24"/>
                <w:lang w:eastAsia="en-GB"/>
              </w:rPr>
            </w:pPr>
            <w:r w:rsidRPr="00227B6C">
              <w:rPr>
                <w:color w:val="000000" w:themeColor="text1"/>
                <w:sz w:val="24"/>
                <w:lang w:eastAsia="en-GB"/>
              </w:rPr>
              <w:t>this reflects the loss of life consequences of an event occurring.</w:t>
            </w:r>
          </w:p>
        </w:tc>
      </w:tr>
      <w:tr w:rsidR="005067E2" w:rsidRPr="00227B6C" w14:paraId="409EDCC9" w14:textId="77777777" w:rsidTr="005604A2">
        <w:trPr>
          <w:trHeight w:val="454"/>
        </w:trPr>
        <w:tc>
          <w:tcPr>
            <w:tcW w:w="1014" w:type="pct"/>
            <w:tcBorders>
              <w:top w:val="nil"/>
              <w:left w:val="single" w:sz="4" w:space="0" w:color="auto"/>
              <w:bottom w:val="single" w:sz="4" w:space="0" w:color="auto"/>
              <w:right w:val="single" w:sz="4" w:space="0" w:color="auto"/>
            </w:tcBorders>
            <w:vAlign w:val="center"/>
            <w:hideMark/>
          </w:tcPr>
          <w:p w14:paraId="701FFEA6" w14:textId="77777777" w:rsidR="005067E2" w:rsidRPr="00227B6C" w:rsidRDefault="005067E2" w:rsidP="005604A2">
            <w:pPr>
              <w:pStyle w:val="Tabletext"/>
              <w:rPr>
                <w:sz w:val="24"/>
                <w:lang w:eastAsia="en-GB"/>
              </w:rPr>
            </w:pPr>
            <w:r w:rsidRPr="00227B6C">
              <w:rPr>
                <w:sz w:val="24"/>
                <w:lang w:eastAsia="en-GB"/>
              </w:rPr>
              <w:t>Injury</w:t>
            </w:r>
          </w:p>
        </w:tc>
        <w:tc>
          <w:tcPr>
            <w:tcW w:w="3986" w:type="pct"/>
            <w:tcBorders>
              <w:top w:val="nil"/>
              <w:left w:val="nil"/>
              <w:bottom w:val="single" w:sz="4" w:space="0" w:color="auto"/>
              <w:right w:val="single" w:sz="4" w:space="0" w:color="auto"/>
            </w:tcBorders>
            <w:vAlign w:val="center"/>
            <w:hideMark/>
          </w:tcPr>
          <w:p w14:paraId="16792576" w14:textId="77777777" w:rsidR="005067E2" w:rsidRPr="00227B6C" w:rsidRDefault="005067E2" w:rsidP="005604A2">
            <w:pPr>
              <w:pStyle w:val="Tabletext"/>
              <w:rPr>
                <w:sz w:val="24"/>
                <w:lang w:eastAsia="en-GB"/>
              </w:rPr>
            </w:pPr>
            <w:r w:rsidRPr="00227B6C">
              <w:rPr>
                <w:color w:val="000000" w:themeColor="text1"/>
                <w:sz w:val="24"/>
                <w:lang w:eastAsia="en-GB"/>
              </w:rPr>
              <w:t>this reflects the potential casualties of an event.</w:t>
            </w:r>
          </w:p>
        </w:tc>
      </w:tr>
      <w:tr w:rsidR="005067E2" w:rsidRPr="00227B6C" w14:paraId="1F7B95DF" w14:textId="77777777" w:rsidTr="005604A2">
        <w:trPr>
          <w:trHeight w:val="454"/>
        </w:trPr>
        <w:tc>
          <w:tcPr>
            <w:tcW w:w="1014" w:type="pct"/>
            <w:tcBorders>
              <w:top w:val="nil"/>
              <w:left w:val="single" w:sz="4" w:space="0" w:color="auto"/>
              <w:bottom w:val="single" w:sz="4" w:space="0" w:color="auto"/>
              <w:right w:val="single" w:sz="4" w:space="0" w:color="auto"/>
            </w:tcBorders>
            <w:vAlign w:val="center"/>
            <w:hideMark/>
          </w:tcPr>
          <w:p w14:paraId="2988D859" w14:textId="77777777" w:rsidR="005067E2" w:rsidRPr="00227B6C" w:rsidRDefault="005067E2" w:rsidP="005604A2">
            <w:pPr>
              <w:pStyle w:val="Tabletext"/>
              <w:rPr>
                <w:sz w:val="24"/>
                <w:lang w:eastAsia="en-GB"/>
              </w:rPr>
            </w:pPr>
            <w:r w:rsidRPr="00227B6C">
              <w:rPr>
                <w:sz w:val="24"/>
                <w:lang w:eastAsia="en-GB"/>
              </w:rPr>
              <w:t>Economic</w:t>
            </w:r>
          </w:p>
        </w:tc>
        <w:tc>
          <w:tcPr>
            <w:tcW w:w="3986" w:type="pct"/>
            <w:tcBorders>
              <w:top w:val="nil"/>
              <w:left w:val="nil"/>
              <w:bottom w:val="single" w:sz="4" w:space="0" w:color="auto"/>
              <w:right w:val="single" w:sz="4" w:space="0" w:color="auto"/>
            </w:tcBorders>
            <w:vAlign w:val="center"/>
            <w:hideMark/>
          </w:tcPr>
          <w:p w14:paraId="01E09332" w14:textId="77777777" w:rsidR="005067E2" w:rsidRPr="00227B6C" w:rsidRDefault="005067E2" w:rsidP="005604A2">
            <w:pPr>
              <w:pStyle w:val="Tabletext"/>
              <w:rPr>
                <w:sz w:val="24"/>
                <w:lang w:eastAsia="en-GB"/>
              </w:rPr>
            </w:pPr>
            <w:r w:rsidRPr="00227B6C">
              <w:rPr>
                <w:color w:val="000000" w:themeColor="text1"/>
                <w:sz w:val="24"/>
                <w:lang w:eastAsia="en-GB"/>
              </w:rPr>
              <w:t>this reflects the economic impact of an event.</w:t>
            </w:r>
          </w:p>
        </w:tc>
      </w:tr>
      <w:tr w:rsidR="005067E2" w:rsidRPr="00227B6C" w14:paraId="0B6E379A" w14:textId="77777777" w:rsidTr="005604A2">
        <w:trPr>
          <w:trHeight w:val="454"/>
        </w:trPr>
        <w:tc>
          <w:tcPr>
            <w:tcW w:w="1014" w:type="pct"/>
            <w:tcBorders>
              <w:top w:val="nil"/>
              <w:left w:val="single" w:sz="4" w:space="0" w:color="auto"/>
              <w:bottom w:val="single" w:sz="4" w:space="0" w:color="auto"/>
              <w:right w:val="single" w:sz="4" w:space="0" w:color="auto"/>
            </w:tcBorders>
            <w:vAlign w:val="center"/>
            <w:hideMark/>
          </w:tcPr>
          <w:p w14:paraId="63314209" w14:textId="77777777" w:rsidR="005067E2" w:rsidRPr="00227B6C" w:rsidRDefault="005067E2" w:rsidP="005604A2">
            <w:pPr>
              <w:pStyle w:val="Tabletext"/>
              <w:rPr>
                <w:sz w:val="24"/>
                <w:lang w:eastAsia="en-GB"/>
              </w:rPr>
            </w:pPr>
            <w:r w:rsidRPr="00227B6C">
              <w:rPr>
                <w:sz w:val="24"/>
                <w:lang w:eastAsia="en-GB"/>
              </w:rPr>
              <w:t>Environmental</w:t>
            </w:r>
          </w:p>
        </w:tc>
        <w:tc>
          <w:tcPr>
            <w:tcW w:w="3986" w:type="pct"/>
            <w:tcBorders>
              <w:top w:val="nil"/>
              <w:left w:val="nil"/>
              <w:bottom w:val="single" w:sz="4" w:space="0" w:color="auto"/>
              <w:right w:val="single" w:sz="4" w:space="0" w:color="auto"/>
            </w:tcBorders>
            <w:vAlign w:val="center"/>
            <w:hideMark/>
          </w:tcPr>
          <w:p w14:paraId="73BF42AF" w14:textId="77777777" w:rsidR="005067E2" w:rsidRPr="00227B6C" w:rsidRDefault="005067E2" w:rsidP="005604A2">
            <w:pPr>
              <w:pStyle w:val="Tabletext"/>
              <w:rPr>
                <w:sz w:val="24"/>
                <w:lang w:eastAsia="en-GB"/>
              </w:rPr>
            </w:pPr>
            <w:r w:rsidRPr="00227B6C">
              <w:rPr>
                <w:color w:val="000000" w:themeColor="text1"/>
                <w:sz w:val="24"/>
                <w:lang w:eastAsia="en-GB"/>
              </w:rPr>
              <w:t>the reflects the environmental damage caused by an event.</w:t>
            </w:r>
          </w:p>
        </w:tc>
      </w:tr>
      <w:tr w:rsidR="005067E2" w:rsidRPr="00227B6C" w14:paraId="2D8D849C" w14:textId="77777777" w:rsidTr="005604A2">
        <w:trPr>
          <w:trHeight w:val="454"/>
        </w:trPr>
        <w:tc>
          <w:tcPr>
            <w:tcW w:w="1014" w:type="pct"/>
            <w:tcBorders>
              <w:top w:val="nil"/>
              <w:left w:val="single" w:sz="4" w:space="0" w:color="auto"/>
              <w:bottom w:val="single" w:sz="4" w:space="0" w:color="auto"/>
              <w:right w:val="single" w:sz="4" w:space="0" w:color="auto"/>
            </w:tcBorders>
            <w:vAlign w:val="center"/>
            <w:hideMark/>
          </w:tcPr>
          <w:p w14:paraId="1E57C485" w14:textId="77777777" w:rsidR="005067E2" w:rsidRPr="00227B6C" w:rsidRDefault="005067E2" w:rsidP="005604A2">
            <w:pPr>
              <w:pStyle w:val="Tabletext"/>
              <w:rPr>
                <w:sz w:val="24"/>
                <w:lang w:eastAsia="en-GB"/>
              </w:rPr>
            </w:pPr>
            <w:r w:rsidRPr="00227B6C">
              <w:rPr>
                <w:sz w:val="24"/>
                <w:lang w:eastAsia="en-GB"/>
              </w:rPr>
              <w:lastRenderedPageBreak/>
              <w:t xml:space="preserve">Societal </w:t>
            </w:r>
          </w:p>
        </w:tc>
        <w:tc>
          <w:tcPr>
            <w:tcW w:w="3986" w:type="pct"/>
            <w:tcBorders>
              <w:top w:val="nil"/>
              <w:left w:val="nil"/>
              <w:bottom w:val="single" w:sz="4" w:space="0" w:color="auto"/>
              <w:right w:val="single" w:sz="4" w:space="0" w:color="auto"/>
            </w:tcBorders>
            <w:vAlign w:val="center"/>
            <w:hideMark/>
          </w:tcPr>
          <w:p w14:paraId="281AF749" w14:textId="77777777" w:rsidR="005067E2" w:rsidRPr="00227B6C" w:rsidRDefault="005067E2" w:rsidP="005604A2">
            <w:pPr>
              <w:pStyle w:val="Tabletext"/>
              <w:rPr>
                <w:sz w:val="24"/>
                <w:lang w:eastAsia="en-GB"/>
              </w:rPr>
            </w:pPr>
            <w:r w:rsidRPr="00227B6C">
              <w:rPr>
                <w:color w:val="000000" w:themeColor="text1"/>
                <w:sz w:val="24"/>
                <w:lang w:eastAsia="en-GB"/>
              </w:rPr>
              <w:t>this reflects the impact on societal function caused by an event.</w:t>
            </w:r>
          </w:p>
        </w:tc>
      </w:tr>
      <w:tr w:rsidR="005067E2" w:rsidRPr="00227B6C" w14:paraId="63F9945E" w14:textId="77777777" w:rsidTr="005604A2">
        <w:trPr>
          <w:trHeight w:val="454"/>
        </w:trPr>
        <w:tc>
          <w:tcPr>
            <w:tcW w:w="1014" w:type="pct"/>
            <w:tcBorders>
              <w:top w:val="nil"/>
              <w:left w:val="single" w:sz="4" w:space="0" w:color="auto"/>
              <w:bottom w:val="single" w:sz="4" w:space="0" w:color="auto"/>
              <w:right w:val="single" w:sz="4" w:space="0" w:color="auto"/>
            </w:tcBorders>
            <w:vAlign w:val="center"/>
            <w:hideMark/>
          </w:tcPr>
          <w:p w14:paraId="29252D64" w14:textId="77777777" w:rsidR="005067E2" w:rsidRPr="00227B6C" w:rsidRDefault="005067E2" w:rsidP="005604A2">
            <w:pPr>
              <w:pStyle w:val="Tabletext"/>
              <w:rPr>
                <w:sz w:val="24"/>
                <w:lang w:eastAsia="en-GB"/>
              </w:rPr>
            </w:pPr>
            <w:r w:rsidRPr="00227B6C">
              <w:rPr>
                <w:sz w:val="24"/>
                <w:lang w:eastAsia="en-GB"/>
              </w:rPr>
              <w:t>Political</w:t>
            </w:r>
          </w:p>
        </w:tc>
        <w:tc>
          <w:tcPr>
            <w:tcW w:w="3986" w:type="pct"/>
            <w:tcBorders>
              <w:top w:val="nil"/>
              <w:left w:val="nil"/>
              <w:bottom w:val="single" w:sz="4" w:space="0" w:color="auto"/>
              <w:right w:val="single" w:sz="4" w:space="0" w:color="auto"/>
            </w:tcBorders>
            <w:vAlign w:val="center"/>
            <w:hideMark/>
          </w:tcPr>
          <w:p w14:paraId="124B0B34" w14:textId="77777777" w:rsidR="005067E2" w:rsidRPr="00227B6C" w:rsidRDefault="005067E2" w:rsidP="005604A2">
            <w:pPr>
              <w:pStyle w:val="Tabletext"/>
              <w:rPr>
                <w:sz w:val="24"/>
                <w:lang w:eastAsia="en-GB"/>
              </w:rPr>
            </w:pPr>
            <w:r w:rsidRPr="00227B6C">
              <w:rPr>
                <w:color w:val="000000" w:themeColor="text1"/>
                <w:sz w:val="24"/>
                <w:lang w:eastAsia="en-GB"/>
              </w:rPr>
              <w:t>this reflects the impact of an event on the image of the service.</w:t>
            </w:r>
          </w:p>
        </w:tc>
      </w:tr>
      <w:tr w:rsidR="005067E2" w:rsidRPr="00227B6C" w14:paraId="64FC4CAF" w14:textId="77777777" w:rsidTr="005604A2">
        <w:trPr>
          <w:trHeight w:val="454"/>
        </w:trPr>
        <w:tc>
          <w:tcPr>
            <w:tcW w:w="1014" w:type="pct"/>
            <w:tcBorders>
              <w:top w:val="nil"/>
              <w:left w:val="single" w:sz="4" w:space="0" w:color="auto"/>
              <w:bottom w:val="single" w:sz="4" w:space="0" w:color="auto"/>
              <w:right w:val="single" w:sz="4" w:space="0" w:color="auto"/>
            </w:tcBorders>
            <w:vAlign w:val="center"/>
            <w:hideMark/>
          </w:tcPr>
          <w:p w14:paraId="78BDC91D" w14:textId="77777777" w:rsidR="005067E2" w:rsidRPr="00227B6C" w:rsidRDefault="005067E2" w:rsidP="005604A2">
            <w:pPr>
              <w:pStyle w:val="Tabletext"/>
              <w:rPr>
                <w:sz w:val="24"/>
                <w:lang w:eastAsia="en-GB"/>
              </w:rPr>
            </w:pPr>
            <w:r w:rsidRPr="00227B6C">
              <w:rPr>
                <w:sz w:val="24"/>
                <w:lang w:eastAsia="en-GB"/>
              </w:rPr>
              <w:t>Personnel</w:t>
            </w:r>
          </w:p>
        </w:tc>
        <w:tc>
          <w:tcPr>
            <w:tcW w:w="3986" w:type="pct"/>
            <w:tcBorders>
              <w:top w:val="nil"/>
              <w:left w:val="nil"/>
              <w:bottom w:val="single" w:sz="4" w:space="0" w:color="auto"/>
              <w:right w:val="single" w:sz="4" w:space="0" w:color="auto"/>
            </w:tcBorders>
            <w:vAlign w:val="center"/>
            <w:hideMark/>
          </w:tcPr>
          <w:p w14:paraId="23D95E1D" w14:textId="77777777" w:rsidR="005067E2" w:rsidRPr="00227B6C" w:rsidRDefault="005067E2" w:rsidP="005604A2">
            <w:pPr>
              <w:pStyle w:val="Tabletext"/>
              <w:rPr>
                <w:sz w:val="24"/>
                <w:lang w:eastAsia="en-GB"/>
              </w:rPr>
            </w:pPr>
            <w:r w:rsidRPr="00227B6C">
              <w:rPr>
                <w:color w:val="000000" w:themeColor="text1"/>
                <w:sz w:val="24"/>
                <w:lang w:eastAsia="en-GB"/>
              </w:rPr>
              <w:t>this reflects the impact of an event on staff within the service.</w:t>
            </w:r>
          </w:p>
        </w:tc>
      </w:tr>
    </w:tbl>
    <w:p w14:paraId="3E16C0B9" w14:textId="77777777" w:rsidR="005067E2" w:rsidRPr="00227B6C" w:rsidRDefault="005067E2" w:rsidP="005067E2">
      <w:pPr>
        <w:rPr>
          <w:rFonts w:cs="Arial"/>
          <w:szCs w:val="24"/>
        </w:rPr>
      </w:pPr>
      <w:r w:rsidRPr="00227B6C">
        <w:t>The total risk score is then calculated as can be seen below:</w:t>
      </w:r>
    </w:p>
    <w:p w14:paraId="09EC494F" w14:textId="77777777" w:rsidR="005067E2" w:rsidRPr="00227B6C" w:rsidRDefault="005067E2" w:rsidP="009D68DC">
      <w:pPr>
        <w:pStyle w:val="NoSpacing"/>
        <w:rPr>
          <w:rFonts w:cs="Arial"/>
          <w:szCs w:val="24"/>
        </w:rPr>
      </w:pPr>
      <w:r w:rsidRPr="00227B6C">
        <w:rPr>
          <w:noProof/>
        </w:rPr>
        <w:drawing>
          <wp:inline distT="0" distB="0" distL="0" distR="0" wp14:anchorId="4D6D2530" wp14:editId="6F387801">
            <wp:extent cx="5698614" cy="4200525"/>
            <wp:effectExtent l="0" t="0" r="0" b="0"/>
            <wp:docPr id="1581283152" name="Picture 1" descr="Mapping diagram of the risk assessment methodology detailing the factors that contribute to calculating an overall risk score for a given incident type. Some of the factors include: the incident type; the consequence of the incident occurring; a likelihood rating; all of which lead to a total risk score for each incident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36900" name="Picture 1" descr="Mapping diagram of the risk assessment methodology detailing the factors that contribute to calculating an overall risk score for a given incident type. Some of the factors include: the incident type; the consequence of the incident occurring; a likelihood rating; all of which lead to a total risk score for each incident type."/>
                    <pic:cNvPicPr>
                      <a:picLocks noChangeAspect="1" noChangeArrowheads="1"/>
                    </pic:cNvPicPr>
                  </pic:nvPicPr>
                  <pic:blipFill rotWithShape="1">
                    <a:blip r:embed="rId20">
                      <a:extLst>
                        <a:ext uri="{28A0092B-C50C-407E-A947-70E740481C1C}">
                          <a14:useLocalDpi xmlns:a14="http://schemas.microsoft.com/office/drawing/2010/main" val="0"/>
                        </a:ext>
                      </a:extLst>
                    </a:blip>
                    <a:srcRect l="5233" t="5197" r="5192" b="5627"/>
                    <a:stretch/>
                  </pic:blipFill>
                  <pic:spPr bwMode="auto">
                    <a:xfrm>
                      <a:off x="0" y="0"/>
                      <a:ext cx="5700010" cy="4201554"/>
                    </a:xfrm>
                    <a:prstGeom prst="rect">
                      <a:avLst/>
                    </a:prstGeom>
                    <a:noFill/>
                    <a:ln>
                      <a:noFill/>
                    </a:ln>
                    <a:extLst>
                      <a:ext uri="{53640926-AAD7-44D8-BBD7-CCE9431645EC}">
                        <a14:shadowObscured xmlns:a14="http://schemas.microsoft.com/office/drawing/2010/main"/>
                      </a:ext>
                    </a:extLst>
                  </pic:spPr>
                </pic:pic>
              </a:graphicData>
            </a:graphic>
          </wp:inline>
        </w:drawing>
      </w:r>
    </w:p>
    <w:p w14:paraId="48C515D8" w14:textId="77777777" w:rsidR="005067E2" w:rsidRPr="00227B6C" w:rsidRDefault="005067E2" w:rsidP="005067E2">
      <w:pPr>
        <w:rPr>
          <w:rFonts w:cs="Arial"/>
          <w:szCs w:val="24"/>
        </w:rPr>
      </w:pPr>
      <w:r w:rsidRPr="00227B6C">
        <w:rPr>
          <w:rFonts w:cs="Arial"/>
          <w:szCs w:val="24"/>
        </w:rPr>
        <w:t>Figure 4: Mapping diagram of the risk assessment methodology detailing the factors that contribute to calculating an overall risk score for a given incident type. Some of the factors include: the incident type; the consequence of the incident occurring; a likelihood rating; all of which lead to a total risk score for each incident type.</w:t>
      </w:r>
    </w:p>
    <w:p w14:paraId="4BE3D782" w14:textId="77777777" w:rsidR="005067E2" w:rsidRPr="00227B6C" w:rsidRDefault="005067E2" w:rsidP="005067E2">
      <w:r w:rsidRPr="00227B6C">
        <w:t>To support our findings and to deliver our services effectively we also utilise many other data sources and tools:</w:t>
      </w:r>
    </w:p>
    <w:p w14:paraId="7ECF8079" w14:textId="01BD6B90" w:rsidR="005067E2" w:rsidRPr="00227B6C" w:rsidRDefault="005067E2" w:rsidP="005067E2">
      <w:pPr>
        <w:pStyle w:val="ListParagraph"/>
        <w:numPr>
          <w:ilvl w:val="0"/>
          <w:numId w:val="20"/>
        </w:numPr>
      </w:pPr>
      <w:r w:rsidRPr="00227B6C">
        <w:t xml:space="preserve">National Risk Register </w:t>
      </w:r>
      <w:r w:rsidR="009D5A7F" w:rsidRPr="00227B6C">
        <w:t>–</w:t>
      </w:r>
      <w:r w:rsidRPr="00227B6C">
        <w:t xml:space="preserve"> The</w:t>
      </w:r>
      <w:r w:rsidR="009D5A7F" w:rsidRPr="00227B6C">
        <w:t xml:space="preserve"> National Risk Register</w:t>
      </w:r>
      <w:r w:rsidRPr="00227B6C">
        <w:t xml:space="preserve"> is an assessment of the key risks that have the potential to cause disruption in the UK.</w:t>
      </w:r>
    </w:p>
    <w:p w14:paraId="79809186" w14:textId="77777777" w:rsidR="005067E2" w:rsidRPr="00227B6C" w:rsidRDefault="005067E2" w:rsidP="005067E2">
      <w:pPr>
        <w:pStyle w:val="ListParagraph"/>
        <w:numPr>
          <w:ilvl w:val="0"/>
          <w:numId w:val="20"/>
        </w:numPr>
      </w:pPr>
      <w:r w:rsidRPr="00227B6C">
        <w:t>Census - The census in the UK is a count of all people and households. The latest census in the UK was held on 21 March 2021. Top level results are now available.</w:t>
      </w:r>
    </w:p>
    <w:p w14:paraId="545BAD5A" w14:textId="77777777" w:rsidR="005067E2" w:rsidRPr="00227B6C" w:rsidRDefault="005067E2" w:rsidP="005067E2">
      <w:pPr>
        <w:pStyle w:val="ListParagraph"/>
        <w:numPr>
          <w:ilvl w:val="0"/>
          <w:numId w:val="20"/>
        </w:numPr>
      </w:pPr>
      <w:r w:rsidRPr="00227B6C">
        <w:lastRenderedPageBreak/>
        <w:t>Mosaic - Geodemographic segmentation data from Experian that classifies UK households into different geodemographic groups.</w:t>
      </w:r>
    </w:p>
    <w:p w14:paraId="5C163048" w14:textId="247BF4D2" w:rsidR="005067E2" w:rsidRPr="00227B6C" w:rsidRDefault="005067E2" w:rsidP="005067E2">
      <w:pPr>
        <w:pStyle w:val="ListParagraph"/>
        <w:numPr>
          <w:ilvl w:val="0"/>
          <w:numId w:val="20"/>
        </w:numPr>
      </w:pPr>
      <w:r w:rsidRPr="00227B6C">
        <w:t xml:space="preserve">Incident Recording System - The </w:t>
      </w:r>
      <w:r w:rsidR="00A54CED" w:rsidRPr="00227B6C">
        <w:t xml:space="preserve">incident recording system </w:t>
      </w:r>
      <w:r w:rsidRPr="00227B6C">
        <w:t>is an electronic system for recording data at incidents. The system is operated by the Home Office and all fire services have a requirement to gather incident data.</w:t>
      </w:r>
    </w:p>
    <w:p w14:paraId="5A472B26" w14:textId="77777777" w:rsidR="005067E2" w:rsidRPr="00227B6C" w:rsidRDefault="005067E2" w:rsidP="005067E2">
      <w:pPr>
        <w:pStyle w:val="ListParagraph"/>
        <w:numPr>
          <w:ilvl w:val="0"/>
          <w:numId w:val="20"/>
        </w:numPr>
      </w:pPr>
      <w:r w:rsidRPr="00227B6C">
        <w:t>Partner agencies - Consultation and working practices are shared between partner agencies that are linked in some way to our local risks.</w:t>
      </w:r>
    </w:p>
    <w:p w14:paraId="774F2758" w14:textId="4E543178" w:rsidR="005067E2" w:rsidRPr="00227B6C" w:rsidRDefault="005067E2" w:rsidP="005067E2">
      <w:pPr>
        <w:pStyle w:val="ListParagraph"/>
        <w:numPr>
          <w:ilvl w:val="0"/>
          <w:numId w:val="20"/>
        </w:numPr>
      </w:pPr>
      <w:r w:rsidRPr="00227B6C">
        <w:t>Cadcorp SIS and Web Map Layers - Cadcorp SIS is a desktop geographic information system used for spatial data analysis. Cadcorp Web Map Layers is a web-based</w:t>
      </w:r>
      <w:r w:rsidR="00360710" w:rsidRPr="00227B6C">
        <w:t xml:space="preserve"> geographic information system</w:t>
      </w:r>
      <w:r w:rsidRPr="00227B6C">
        <w:t xml:space="preserve"> used to display spatial data.</w:t>
      </w:r>
    </w:p>
    <w:p w14:paraId="32A5534E" w14:textId="77777777" w:rsidR="005067E2" w:rsidRPr="00227B6C" w:rsidRDefault="005067E2" w:rsidP="005067E2">
      <w:pPr>
        <w:pStyle w:val="ListParagraph"/>
        <w:numPr>
          <w:ilvl w:val="0"/>
          <w:numId w:val="20"/>
        </w:numPr>
      </w:pPr>
      <w:r w:rsidRPr="00227B6C">
        <w:t>Corvu - Corvus is the Service’s primary data extraction, combination and presentation tool.</w:t>
      </w:r>
    </w:p>
    <w:p w14:paraId="0B79A664" w14:textId="3ABD1002" w:rsidR="005067E2" w:rsidRPr="00227B6C" w:rsidRDefault="005067E2" w:rsidP="005067E2">
      <w:pPr>
        <w:pStyle w:val="ListParagraph"/>
        <w:numPr>
          <w:ilvl w:val="0"/>
          <w:numId w:val="20"/>
        </w:numPr>
      </w:pPr>
      <w:r w:rsidRPr="00227B6C">
        <w:t>Community Fire Risk Management Information System</w:t>
      </w:r>
      <w:r w:rsidR="00520496" w:rsidRPr="00227B6C">
        <w:t xml:space="preserve"> </w:t>
      </w:r>
      <w:r w:rsidRPr="00227B6C">
        <w:t>is an electronic information system used to store and manage business fire safety and community safety data.</w:t>
      </w:r>
    </w:p>
    <w:p w14:paraId="54F0EFA4" w14:textId="6FFBF583" w:rsidR="005067E2" w:rsidRPr="00227B6C" w:rsidRDefault="005067E2" w:rsidP="005067E2">
      <w:pPr>
        <w:pStyle w:val="ListParagraph"/>
        <w:numPr>
          <w:ilvl w:val="0"/>
          <w:numId w:val="20"/>
        </w:numPr>
      </w:pPr>
      <w:r w:rsidRPr="00227B6C">
        <w:t>Local Resilience Forum Community Risk Register provides information on emergencies that could occur and provides an assessment of how likely they are to happen and the impacts if they do.</w:t>
      </w:r>
    </w:p>
    <w:p w14:paraId="3A2651F3" w14:textId="77777777" w:rsidR="005067E2" w:rsidRPr="00227B6C" w:rsidRDefault="005067E2" w:rsidP="005067E2">
      <w:pPr>
        <w:pStyle w:val="ListParagraph"/>
        <w:numPr>
          <w:ilvl w:val="0"/>
          <w:numId w:val="20"/>
        </w:numPr>
      </w:pPr>
      <w:r w:rsidRPr="00227B6C">
        <w:t>Lancashire Insight - Lancashire specific data portal providing key statistical data regarding demographics, populous and health data.</w:t>
      </w:r>
    </w:p>
    <w:p w14:paraId="6B22BC47" w14:textId="77777777" w:rsidR="005067E2" w:rsidRPr="00227B6C" w:rsidRDefault="005067E2" w:rsidP="005067E2">
      <w:pPr>
        <w:pStyle w:val="ListParagraph"/>
        <w:numPr>
          <w:ilvl w:val="0"/>
          <w:numId w:val="20"/>
        </w:numPr>
      </w:pPr>
      <w:r w:rsidRPr="00227B6C">
        <w:t>District Intelligence Profiles and Plans - These identify risks that are perceived at a local level and help drive prevention, protection and response arrangements in localities.</w:t>
      </w:r>
    </w:p>
    <w:p w14:paraId="2E9DEA4D" w14:textId="77777777" w:rsidR="005067E2" w:rsidRPr="00227B6C" w:rsidRDefault="005067E2" w:rsidP="005067E2">
      <w:pPr>
        <w:pStyle w:val="ListParagraph"/>
        <w:numPr>
          <w:ilvl w:val="0"/>
          <w:numId w:val="20"/>
        </w:numPr>
      </w:pPr>
      <w:r w:rsidRPr="00227B6C">
        <w:t>Site Specific/ Operational Risk Information - This relates to information we gain during visits to high-risk premises, and which is then made available to crews when dealing with incidents.</w:t>
      </w:r>
    </w:p>
    <w:p w14:paraId="7B326535" w14:textId="5E70CD3A" w:rsidR="005067E2" w:rsidRPr="00227B6C" w:rsidRDefault="005067E2" w:rsidP="005067E2">
      <w:pPr>
        <w:rPr>
          <w:rFonts w:cs="Arial"/>
          <w:szCs w:val="24"/>
        </w:rPr>
      </w:pPr>
      <w:r w:rsidRPr="00227B6C">
        <w:t xml:space="preserve">Due to the extensive and detailed documentation that underpins the </w:t>
      </w:r>
      <w:r w:rsidR="00295B77" w:rsidRPr="00227B6C">
        <w:t>Strategic Assessment of Risk</w:t>
      </w:r>
      <w:r w:rsidRPr="00227B6C">
        <w:t xml:space="preserve"> not all information has been placed within this document.  Should more detailed information be required it can be made available upon request through Planning, Performance and Assurance (internal</w:t>
      </w:r>
      <w:r w:rsidRPr="00227B6C">
        <w:rPr>
          <w:rFonts w:eastAsia="Arial" w:cs="Arial"/>
          <w:szCs w:val="24"/>
        </w:rPr>
        <w:t xml:space="preserve">) or via our </w:t>
      </w:r>
      <w:hyperlink r:id="rId21" w:history="1">
        <w:r w:rsidRPr="00227B6C">
          <w:rPr>
            <w:rStyle w:val="Hyperlink"/>
            <w:rFonts w:eastAsia="Arial" w:cs="Arial"/>
            <w:szCs w:val="24"/>
          </w:rPr>
          <w:t>website</w:t>
        </w:r>
      </w:hyperlink>
      <w:r w:rsidR="00E24E5A" w:rsidRPr="00227B6C">
        <w:rPr>
          <w:rStyle w:val="Hyperlink"/>
          <w:rFonts w:eastAsia="Arial" w:cs="Arial"/>
          <w:szCs w:val="24"/>
        </w:rPr>
        <w:t>.</w:t>
      </w:r>
      <w:r w:rsidRPr="00227B6C">
        <w:rPr>
          <w:rFonts w:eastAsia="Arial" w:cs="Arial"/>
          <w:szCs w:val="24"/>
        </w:rPr>
        <w:t xml:space="preserve"> </w:t>
      </w:r>
    </w:p>
    <w:p w14:paraId="5761AF45" w14:textId="77777777" w:rsidR="005067E2" w:rsidRPr="00227B6C" w:rsidRDefault="005067E2" w:rsidP="005067E2">
      <w:pPr>
        <w:pStyle w:val="Heading1"/>
        <w:rPr>
          <w:b w:val="0"/>
        </w:rPr>
      </w:pPr>
      <w:bookmarkStart w:id="72" w:name="_Toc208329950"/>
      <w:r w:rsidRPr="00227B6C">
        <w:t>Executive risk assessment summary</w:t>
      </w:r>
      <w:bookmarkEnd w:id="72"/>
    </w:p>
    <w:p w14:paraId="598DBE36" w14:textId="77777777" w:rsidR="005067E2" w:rsidRDefault="005067E2" w:rsidP="005067E2">
      <w:r w:rsidRPr="00227B6C">
        <w:t>Based on our risk assessment methodology, all incident categories have been scored.  The highest risk incident types can be seen below.  The highest risk incident types have been recorded within the Community Risk Management Plan (2022-2027) which highlights our proactive and reactive measure in response to the risk</w:t>
      </w:r>
      <w:r w:rsidRPr="00DB6A4C">
        <w:t>.</w:t>
      </w:r>
    </w:p>
    <w:p w14:paraId="59CF63C6" w14:textId="77777777" w:rsidR="009D68DC" w:rsidRPr="0085725E" w:rsidRDefault="009D68DC" w:rsidP="009D68DC">
      <w:pPr>
        <w:pStyle w:val="NoSpacing"/>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isk Assessment Summary"/>
        <w:tblDescription w:val="A table ranking risks by incient type detailing the overall rating, rank, a trend arrow showing movement from last year and last year's ranking."/>
      </w:tblPr>
      <w:tblGrid>
        <w:gridCol w:w="1021"/>
        <w:gridCol w:w="4786"/>
        <w:gridCol w:w="928"/>
        <w:gridCol w:w="1269"/>
        <w:gridCol w:w="781"/>
        <w:gridCol w:w="951"/>
      </w:tblGrid>
      <w:tr w:rsidR="00227B6C" w:rsidRPr="002B7E1B" w14:paraId="455E8FBE" w14:textId="16AA8F2D" w:rsidTr="00987CB0">
        <w:trPr>
          <w:trHeight w:val="255"/>
          <w:tblHeader/>
          <w:jc w:val="center"/>
        </w:trPr>
        <w:tc>
          <w:tcPr>
            <w:tcW w:w="0" w:type="auto"/>
            <w:shd w:val="clear" w:color="auto" w:fill="BFBFBF" w:themeFill="background1" w:themeFillShade="BF"/>
            <w:tcMar>
              <w:left w:w="57" w:type="dxa"/>
              <w:right w:w="57" w:type="dxa"/>
            </w:tcMar>
            <w:vAlign w:val="center"/>
          </w:tcPr>
          <w:p w14:paraId="2DC6F6C9" w14:textId="77777777" w:rsidR="00227B6C" w:rsidRPr="00227B6C" w:rsidRDefault="00227B6C" w:rsidP="005604A2">
            <w:pPr>
              <w:spacing w:before="60" w:after="0" w:line="240" w:lineRule="auto"/>
              <w:jc w:val="center"/>
              <w:rPr>
                <w:rFonts w:eastAsia="Times New Roman" w:cs="Arial"/>
                <w:szCs w:val="24"/>
                <w:lang w:eastAsia="en-GB"/>
              </w:rPr>
            </w:pPr>
            <w:r w:rsidRPr="00227B6C">
              <w:rPr>
                <w:rFonts w:cs="Arial"/>
                <w:b/>
                <w:szCs w:val="24"/>
                <w:lang w:eastAsia="en-GB"/>
              </w:rPr>
              <w:lastRenderedPageBreak/>
              <w:t>Risk Number</w:t>
            </w:r>
          </w:p>
        </w:tc>
        <w:tc>
          <w:tcPr>
            <w:tcW w:w="4786" w:type="dxa"/>
            <w:shd w:val="clear" w:color="auto" w:fill="BFBFBF" w:themeFill="background1" w:themeFillShade="BF"/>
            <w:noWrap/>
            <w:tcMar>
              <w:left w:w="57" w:type="dxa"/>
              <w:right w:w="57" w:type="dxa"/>
            </w:tcMar>
            <w:vAlign w:val="center"/>
          </w:tcPr>
          <w:p w14:paraId="44F63657" w14:textId="77777777" w:rsidR="00227B6C" w:rsidRPr="00227B6C" w:rsidRDefault="00227B6C" w:rsidP="005604A2">
            <w:pPr>
              <w:spacing w:before="60" w:after="0" w:line="240" w:lineRule="auto"/>
              <w:jc w:val="center"/>
              <w:rPr>
                <w:rFonts w:eastAsia="Times New Roman" w:cs="Arial"/>
                <w:szCs w:val="24"/>
                <w:lang w:eastAsia="en-GB"/>
              </w:rPr>
            </w:pPr>
            <w:r w:rsidRPr="00227B6C">
              <w:rPr>
                <w:rFonts w:cs="Arial"/>
                <w:b/>
                <w:szCs w:val="24"/>
                <w:lang w:eastAsia="en-GB"/>
              </w:rPr>
              <w:t>Incident Type</w:t>
            </w:r>
          </w:p>
        </w:tc>
        <w:tc>
          <w:tcPr>
            <w:tcW w:w="928" w:type="dxa"/>
            <w:shd w:val="clear" w:color="auto" w:fill="BFBFBF" w:themeFill="background1" w:themeFillShade="BF"/>
            <w:tcMar>
              <w:left w:w="57" w:type="dxa"/>
              <w:right w:w="57" w:type="dxa"/>
            </w:tcMar>
            <w:vAlign w:val="center"/>
          </w:tcPr>
          <w:p w14:paraId="348F7FB9" w14:textId="77777777" w:rsidR="00227B6C" w:rsidRPr="00227B6C" w:rsidRDefault="00227B6C" w:rsidP="005604A2">
            <w:pPr>
              <w:spacing w:before="60" w:after="0" w:line="240" w:lineRule="auto"/>
              <w:jc w:val="center"/>
              <w:rPr>
                <w:rFonts w:cs="Arial"/>
                <w:color w:val="000000"/>
                <w:szCs w:val="24"/>
              </w:rPr>
            </w:pPr>
            <w:r w:rsidRPr="00227B6C">
              <w:rPr>
                <w:rFonts w:cs="Arial"/>
                <w:b/>
                <w:szCs w:val="24"/>
                <w:lang w:eastAsia="en-GB"/>
              </w:rPr>
              <w:t>Overall Rating</w:t>
            </w:r>
          </w:p>
        </w:tc>
        <w:tc>
          <w:tcPr>
            <w:tcW w:w="1269" w:type="dxa"/>
            <w:shd w:val="clear" w:color="auto" w:fill="BFBFBF" w:themeFill="background1" w:themeFillShade="BF"/>
            <w:tcMar>
              <w:left w:w="57" w:type="dxa"/>
              <w:right w:w="57" w:type="dxa"/>
            </w:tcMar>
            <w:vAlign w:val="center"/>
          </w:tcPr>
          <w:p w14:paraId="0023A711" w14:textId="069D8D92" w:rsidR="00227B6C" w:rsidRPr="00227B6C" w:rsidRDefault="00987CB0" w:rsidP="005604A2">
            <w:pPr>
              <w:spacing w:before="60" w:after="0" w:line="240" w:lineRule="auto"/>
              <w:jc w:val="center"/>
              <w:rPr>
                <w:rFonts w:cs="Arial"/>
                <w:b/>
                <w:szCs w:val="24"/>
                <w:lang w:eastAsia="en-GB"/>
              </w:rPr>
            </w:pPr>
            <w:r>
              <w:rPr>
                <w:rFonts w:cs="Arial"/>
                <w:b/>
                <w:szCs w:val="24"/>
                <w:lang w:eastAsia="en-GB"/>
              </w:rPr>
              <w:t>Rank</w:t>
            </w:r>
          </w:p>
        </w:tc>
        <w:tc>
          <w:tcPr>
            <w:tcW w:w="0" w:type="auto"/>
            <w:shd w:val="clear" w:color="auto" w:fill="BFBFBF" w:themeFill="background1" w:themeFillShade="BF"/>
            <w:tcMar>
              <w:left w:w="57" w:type="dxa"/>
              <w:right w:w="57" w:type="dxa"/>
            </w:tcMar>
            <w:vAlign w:val="center"/>
          </w:tcPr>
          <w:p w14:paraId="72CCD5E5" w14:textId="77777777" w:rsidR="00227B6C" w:rsidRPr="00227B6C" w:rsidRDefault="00227B6C" w:rsidP="005604A2">
            <w:pPr>
              <w:spacing w:before="60" w:after="0" w:line="240" w:lineRule="auto"/>
              <w:jc w:val="center"/>
              <w:rPr>
                <w:rFonts w:cs="Arial"/>
                <w:b/>
                <w:szCs w:val="24"/>
                <w:lang w:eastAsia="en-GB"/>
              </w:rPr>
            </w:pPr>
            <w:r w:rsidRPr="00227B6C">
              <w:rPr>
                <w:rFonts w:cs="Arial"/>
                <w:b/>
                <w:szCs w:val="24"/>
                <w:lang w:eastAsia="en-GB"/>
              </w:rPr>
              <w:t>Trend</w:t>
            </w:r>
          </w:p>
        </w:tc>
        <w:tc>
          <w:tcPr>
            <w:tcW w:w="0" w:type="auto"/>
            <w:shd w:val="clear" w:color="auto" w:fill="BFBFBF" w:themeFill="background1" w:themeFillShade="BF"/>
            <w:vAlign w:val="center"/>
          </w:tcPr>
          <w:p w14:paraId="28436CB1" w14:textId="746CB48C" w:rsidR="00227B6C" w:rsidRPr="00227B6C" w:rsidRDefault="00227B6C" w:rsidP="00987CB0">
            <w:pPr>
              <w:spacing w:before="60" w:after="0" w:line="240" w:lineRule="auto"/>
              <w:jc w:val="center"/>
              <w:rPr>
                <w:rFonts w:cs="Arial"/>
                <w:b/>
                <w:szCs w:val="24"/>
                <w:lang w:eastAsia="en-GB"/>
              </w:rPr>
            </w:pPr>
            <w:r>
              <w:rPr>
                <w:rFonts w:cs="Arial"/>
                <w:b/>
                <w:szCs w:val="24"/>
                <w:lang w:eastAsia="en-GB"/>
              </w:rPr>
              <w:t>2024/5</w:t>
            </w:r>
          </w:p>
        </w:tc>
      </w:tr>
      <w:tr w:rsidR="00227B6C" w:rsidRPr="002B7E1B" w14:paraId="72EA2EC3" w14:textId="3DAD96BF" w:rsidTr="00227B6C">
        <w:trPr>
          <w:trHeight w:val="255"/>
          <w:jc w:val="center"/>
        </w:trPr>
        <w:tc>
          <w:tcPr>
            <w:tcW w:w="0" w:type="auto"/>
            <w:shd w:val="clear" w:color="auto" w:fill="E60000"/>
            <w:tcMar>
              <w:left w:w="57" w:type="dxa"/>
              <w:right w:w="57" w:type="dxa"/>
            </w:tcMar>
            <w:vAlign w:val="center"/>
          </w:tcPr>
          <w:p w14:paraId="57BD47BC" w14:textId="77777777" w:rsidR="00227B6C" w:rsidRPr="00227B6C" w:rsidRDefault="00227B6C" w:rsidP="005604A2">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1</w:t>
            </w:r>
          </w:p>
        </w:tc>
        <w:tc>
          <w:tcPr>
            <w:tcW w:w="4786" w:type="dxa"/>
            <w:shd w:val="clear" w:color="auto" w:fill="E60000"/>
            <w:noWrap/>
            <w:tcMar>
              <w:left w:w="57" w:type="dxa"/>
              <w:right w:w="57" w:type="dxa"/>
            </w:tcMar>
            <w:vAlign w:val="center"/>
          </w:tcPr>
          <w:p w14:paraId="1375DDBA" w14:textId="77777777" w:rsidR="00227B6C" w:rsidRPr="00227B6C" w:rsidRDefault="00227B6C" w:rsidP="005604A2">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Commercial Property Fires</w:t>
            </w:r>
          </w:p>
        </w:tc>
        <w:tc>
          <w:tcPr>
            <w:tcW w:w="928" w:type="dxa"/>
            <w:shd w:val="clear" w:color="auto" w:fill="E60000"/>
            <w:tcMar>
              <w:left w:w="57" w:type="dxa"/>
              <w:right w:w="57" w:type="dxa"/>
            </w:tcMar>
            <w:vAlign w:val="center"/>
          </w:tcPr>
          <w:p w14:paraId="2BC7E7A9" w14:textId="77777777" w:rsidR="00227B6C" w:rsidRPr="00227B6C" w:rsidRDefault="00227B6C" w:rsidP="005604A2">
            <w:pPr>
              <w:spacing w:before="40" w:after="40" w:line="240" w:lineRule="auto"/>
              <w:jc w:val="right"/>
              <w:rPr>
                <w:rFonts w:eastAsia="Times New Roman" w:cs="Arial"/>
                <w:color w:val="FFFFFF" w:themeColor="background1"/>
                <w:szCs w:val="24"/>
                <w:lang w:eastAsia="en-GB"/>
              </w:rPr>
            </w:pPr>
            <w:r w:rsidRPr="00227B6C">
              <w:rPr>
                <w:rFonts w:cs="Arial"/>
                <w:color w:val="FFFFFF" w:themeColor="background1"/>
                <w:szCs w:val="24"/>
              </w:rPr>
              <w:t>14.10</w:t>
            </w:r>
          </w:p>
        </w:tc>
        <w:tc>
          <w:tcPr>
            <w:tcW w:w="1269" w:type="dxa"/>
            <w:shd w:val="clear" w:color="auto" w:fill="E60000"/>
            <w:tcMar>
              <w:left w:w="57" w:type="dxa"/>
              <w:right w:w="57" w:type="dxa"/>
            </w:tcMar>
            <w:vAlign w:val="center"/>
          </w:tcPr>
          <w:p w14:paraId="2F0F15FD" w14:textId="77777777" w:rsidR="00227B6C" w:rsidRPr="00227B6C" w:rsidRDefault="00227B6C" w:rsidP="005604A2">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vAlign w:val="center"/>
          </w:tcPr>
          <w:p w14:paraId="70CB4B59" w14:textId="77777777" w:rsidR="00227B6C" w:rsidRPr="00227B6C" w:rsidRDefault="00227B6C" w:rsidP="005604A2">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hint="eastAsia"/>
                <w:b/>
                <w:bCs/>
                <w:color w:val="FFFFFF" w:themeColor="background1"/>
                <w:szCs w:val="24"/>
              </w:rPr>
              <w:t>¬</w:t>
            </w:r>
          </w:p>
        </w:tc>
        <w:tc>
          <w:tcPr>
            <w:tcW w:w="0" w:type="auto"/>
            <w:shd w:val="clear" w:color="auto" w:fill="E60000"/>
            <w:vAlign w:val="center"/>
          </w:tcPr>
          <w:p w14:paraId="477CEC10" w14:textId="034E4C1F" w:rsidR="00227B6C" w:rsidRPr="00227B6C" w:rsidRDefault="00227B6C" w:rsidP="00227B6C">
            <w:pPr>
              <w:spacing w:before="40" w:after="40" w:line="240" w:lineRule="auto"/>
              <w:jc w:val="center"/>
              <w:rPr>
                <w:rFonts w:cs="Arial"/>
                <w:color w:val="FFFFFF" w:themeColor="background1"/>
                <w:szCs w:val="24"/>
              </w:rPr>
            </w:pPr>
            <w:r w:rsidRPr="00227B6C">
              <w:rPr>
                <w:rFonts w:cs="Arial"/>
                <w:color w:val="FFFFFF" w:themeColor="background1"/>
                <w:szCs w:val="24"/>
              </w:rPr>
              <w:t>1</w:t>
            </w:r>
          </w:p>
        </w:tc>
      </w:tr>
      <w:tr w:rsidR="00227B6C" w:rsidRPr="002B7E1B" w14:paraId="094CF400" w14:textId="1E78F104" w:rsidTr="00227B6C">
        <w:trPr>
          <w:trHeight w:val="255"/>
          <w:jc w:val="center"/>
        </w:trPr>
        <w:tc>
          <w:tcPr>
            <w:tcW w:w="0" w:type="auto"/>
            <w:shd w:val="clear" w:color="auto" w:fill="E60000"/>
            <w:tcMar>
              <w:left w:w="57" w:type="dxa"/>
              <w:right w:w="57" w:type="dxa"/>
            </w:tcMar>
            <w:vAlign w:val="center"/>
          </w:tcPr>
          <w:p w14:paraId="1D10DE7C" w14:textId="77777777" w:rsidR="00227B6C" w:rsidRPr="00227B6C" w:rsidRDefault="00227B6C" w:rsidP="00227B6C">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2</w:t>
            </w:r>
          </w:p>
        </w:tc>
        <w:tc>
          <w:tcPr>
            <w:tcW w:w="4786" w:type="dxa"/>
            <w:shd w:val="clear" w:color="auto" w:fill="E60000"/>
            <w:noWrap/>
            <w:tcMar>
              <w:left w:w="57" w:type="dxa"/>
              <w:right w:w="57" w:type="dxa"/>
            </w:tcMar>
            <w:vAlign w:val="center"/>
          </w:tcPr>
          <w:p w14:paraId="2B340767" w14:textId="77777777" w:rsidR="00227B6C" w:rsidRPr="00227B6C" w:rsidRDefault="00227B6C" w:rsidP="00227B6C">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Wildfire</w:t>
            </w:r>
          </w:p>
        </w:tc>
        <w:tc>
          <w:tcPr>
            <w:tcW w:w="928" w:type="dxa"/>
            <w:shd w:val="clear" w:color="auto" w:fill="E60000"/>
            <w:tcMar>
              <w:left w:w="57" w:type="dxa"/>
              <w:right w:w="57" w:type="dxa"/>
            </w:tcMar>
            <w:vAlign w:val="center"/>
          </w:tcPr>
          <w:p w14:paraId="060CB16B" w14:textId="77777777" w:rsidR="00227B6C" w:rsidRPr="00227B6C" w:rsidRDefault="00227B6C" w:rsidP="00227B6C">
            <w:pPr>
              <w:spacing w:before="40" w:after="40" w:line="240" w:lineRule="auto"/>
              <w:jc w:val="right"/>
              <w:rPr>
                <w:rFonts w:eastAsia="Times New Roman" w:cs="Arial"/>
                <w:color w:val="FFFFFF" w:themeColor="background1"/>
                <w:szCs w:val="24"/>
                <w:lang w:eastAsia="en-GB"/>
              </w:rPr>
            </w:pPr>
            <w:r w:rsidRPr="00227B6C">
              <w:rPr>
                <w:rFonts w:cs="Arial"/>
                <w:color w:val="FFFFFF" w:themeColor="background1"/>
                <w:szCs w:val="24"/>
              </w:rPr>
              <w:t>13.65</w:t>
            </w:r>
          </w:p>
        </w:tc>
        <w:tc>
          <w:tcPr>
            <w:tcW w:w="1269" w:type="dxa"/>
            <w:shd w:val="clear" w:color="auto" w:fill="E60000"/>
            <w:tcMar>
              <w:left w:w="57" w:type="dxa"/>
              <w:right w:w="57" w:type="dxa"/>
            </w:tcMar>
            <w:vAlign w:val="center"/>
          </w:tcPr>
          <w:p w14:paraId="2FFF15C9" w14:textId="77777777" w:rsidR="00227B6C" w:rsidRPr="00227B6C" w:rsidRDefault="00227B6C" w:rsidP="00227B6C">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tcPr>
          <w:p w14:paraId="67F39789" w14:textId="270ECD1A" w:rsidR="00227B6C" w:rsidRPr="00227B6C" w:rsidRDefault="00227B6C" w:rsidP="00227B6C">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hint="eastAsia"/>
                <w:b/>
                <w:bCs/>
                <w:color w:val="FFFFFF" w:themeColor="background1"/>
                <w:szCs w:val="24"/>
              </w:rPr>
              <w:t>¬</w:t>
            </w:r>
          </w:p>
        </w:tc>
        <w:tc>
          <w:tcPr>
            <w:tcW w:w="0" w:type="auto"/>
            <w:shd w:val="clear" w:color="auto" w:fill="E60000"/>
            <w:vAlign w:val="center"/>
          </w:tcPr>
          <w:p w14:paraId="20C2D9B5" w14:textId="63061CDC" w:rsidR="00227B6C" w:rsidRPr="00227B6C" w:rsidRDefault="00227B6C" w:rsidP="00227B6C">
            <w:pPr>
              <w:spacing w:before="40" w:after="40" w:line="240" w:lineRule="auto"/>
              <w:jc w:val="center"/>
              <w:rPr>
                <w:rFonts w:cs="Arial"/>
                <w:color w:val="FFFFFF" w:themeColor="background1"/>
                <w:szCs w:val="24"/>
              </w:rPr>
            </w:pPr>
            <w:r w:rsidRPr="00227B6C">
              <w:rPr>
                <w:rFonts w:cs="Arial"/>
                <w:color w:val="FFFFFF" w:themeColor="background1"/>
                <w:szCs w:val="24"/>
              </w:rPr>
              <w:t>2</w:t>
            </w:r>
          </w:p>
        </w:tc>
      </w:tr>
      <w:tr w:rsidR="00227B6C" w:rsidRPr="002B7E1B" w14:paraId="3C8DA290" w14:textId="6E26B185" w:rsidTr="00227B6C">
        <w:trPr>
          <w:trHeight w:val="255"/>
          <w:jc w:val="center"/>
        </w:trPr>
        <w:tc>
          <w:tcPr>
            <w:tcW w:w="0" w:type="auto"/>
            <w:shd w:val="clear" w:color="auto" w:fill="E60000"/>
            <w:tcMar>
              <w:left w:w="57" w:type="dxa"/>
              <w:right w:w="57" w:type="dxa"/>
            </w:tcMar>
            <w:vAlign w:val="center"/>
          </w:tcPr>
          <w:p w14:paraId="6839669C" w14:textId="77777777" w:rsidR="00227B6C" w:rsidRPr="00227B6C" w:rsidRDefault="00227B6C" w:rsidP="00227B6C">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3</w:t>
            </w:r>
          </w:p>
        </w:tc>
        <w:tc>
          <w:tcPr>
            <w:tcW w:w="4786" w:type="dxa"/>
            <w:shd w:val="clear" w:color="auto" w:fill="E60000"/>
            <w:noWrap/>
            <w:tcMar>
              <w:left w:w="57" w:type="dxa"/>
              <w:right w:w="57" w:type="dxa"/>
            </w:tcMar>
            <w:vAlign w:val="center"/>
          </w:tcPr>
          <w:p w14:paraId="7D225ADD" w14:textId="77777777" w:rsidR="00227B6C" w:rsidRPr="00227B6C" w:rsidRDefault="00227B6C" w:rsidP="00227B6C">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Deliberate Building Fires</w:t>
            </w:r>
            <w:r w:rsidRPr="00227B6C" w:rsidDel="00331A48">
              <w:rPr>
                <w:rFonts w:cs="Arial"/>
                <w:color w:val="FFFFFF" w:themeColor="background1"/>
                <w:szCs w:val="24"/>
              </w:rPr>
              <w:t xml:space="preserve"> </w:t>
            </w:r>
          </w:p>
        </w:tc>
        <w:tc>
          <w:tcPr>
            <w:tcW w:w="928" w:type="dxa"/>
            <w:shd w:val="clear" w:color="auto" w:fill="E60000"/>
            <w:tcMar>
              <w:left w:w="57" w:type="dxa"/>
              <w:right w:w="57" w:type="dxa"/>
            </w:tcMar>
            <w:vAlign w:val="center"/>
          </w:tcPr>
          <w:p w14:paraId="2A04DB94" w14:textId="77777777" w:rsidR="00227B6C" w:rsidRPr="00227B6C" w:rsidRDefault="00227B6C" w:rsidP="00227B6C">
            <w:pPr>
              <w:spacing w:before="40" w:after="40" w:line="240" w:lineRule="auto"/>
              <w:jc w:val="right"/>
              <w:rPr>
                <w:rFonts w:eastAsia="Times New Roman" w:cs="Arial"/>
                <w:color w:val="FFFFFF" w:themeColor="background1"/>
                <w:szCs w:val="24"/>
                <w:lang w:eastAsia="en-GB"/>
              </w:rPr>
            </w:pPr>
            <w:r w:rsidRPr="00227B6C">
              <w:rPr>
                <w:rFonts w:cs="Arial"/>
                <w:color w:val="FFFFFF" w:themeColor="background1"/>
                <w:szCs w:val="24"/>
              </w:rPr>
              <w:t>12.70</w:t>
            </w:r>
          </w:p>
        </w:tc>
        <w:tc>
          <w:tcPr>
            <w:tcW w:w="1269" w:type="dxa"/>
            <w:shd w:val="clear" w:color="auto" w:fill="E60000"/>
            <w:tcMar>
              <w:left w:w="57" w:type="dxa"/>
              <w:right w:w="57" w:type="dxa"/>
            </w:tcMar>
            <w:vAlign w:val="center"/>
          </w:tcPr>
          <w:p w14:paraId="17688A05" w14:textId="77777777" w:rsidR="00227B6C" w:rsidRPr="00227B6C" w:rsidRDefault="00227B6C" w:rsidP="00227B6C">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tcPr>
          <w:p w14:paraId="20839FB6" w14:textId="10CB2CD9" w:rsidR="00227B6C" w:rsidRPr="00227B6C" w:rsidRDefault="00227B6C" w:rsidP="00227B6C">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hint="eastAsia"/>
                <w:b/>
                <w:bCs/>
                <w:color w:val="FFFFFF" w:themeColor="background1"/>
                <w:szCs w:val="24"/>
              </w:rPr>
              <w:t>¬</w:t>
            </w:r>
          </w:p>
        </w:tc>
        <w:tc>
          <w:tcPr>
            <w:tcW w:w="0" w:type="auto"/>
            <w:shd w:val="clear" w:color="auto" w:fill="E60000"/>
            <w:vAlign w:val="center"/>
          </w:tcPr>
          <w:p w14:paraId="5D752111" w14:textId="12B568DA" w:rsidR="00227B6C" w:rsidRPr="00227B6C" w:rsidRDefault="00227B6C" w:rsidP="00227B6C">
            <w:pPr>
              <w:spacing w:before="40" w:after="40" w:line="240" w:lineRule="auto"/>
              <w:jc w:val="center"/>
              <w:rPr>
                <w:rFonts w:cs="Arial"/>
                <w:color w:val="FFFFFF" w:themeColor="background1"/>
                <w:szCs w:val="24"/>
              </w:rPr>
            </w:pPr>
            <w:r w:rsidRPr="00227B6C">
              <w:rPr>
                <w:rFonts w:cs="Arial"/>
                <w:color w:val="FFFFFF" w:themeColor="background1"/>
                <w:szCs w:val="24"/>
              </w:rPr>
              <w:t>3</w:t>
            </w:r>
          </w:p>
        </w:tc>
      </w:tr>
      <w:tr w:rsidR="00227B6C" w:rsidRPr="002B7E1B" w14:paraId="3CD3C861" w14:textId="71827CCA" w:rsidTr="00227B6C">
        <w:trPr>
          <w:trHeight w:val="255"/>
          <w:jc w:val="center"/>
        </w:trPr>
        <w:tc>
          <w:tcPr>
            <w:tcW w:w="0" w:type="auto"/>
            <w:shd w:val="clear" w:color="auto" w:fill="E60000"/>
            <w:tcMar>
              <w:left w:w="57" w:type="dxa"/>
              <w:right w:w="57" w:type="dxa"/>
            </w:tcMar>
            <w:vAlign w:val="center"/>
          </w:tcPr>
          <w:p w14:paraId="20A24A40" w14:textId="77777777" w:rsidR="00227B6C" w:rsidRPr="00227B6C" w:rsidRDefault="00227B6C" w:rsidP="00227B6C">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4</w:t>
            </w:r>
          </w:p>
        </w:tc>
        <w:tc>
          <w:tcPr>
            <w:tcW w:w="4786" w:type="dxa"/>
            <w:shd w:val="clear" w:color="auto" w:fill="E60000"/>
            <w:noWrap/>
            <w:tcMar>
              <w:left w:w="57" w:type="dxa"/>
              <w:right w:w="57" w:type="dxa"/>
            </w:tcMar>
            <w:vAlign w:val="center"/>
          </w:tcPr>
          <w:p w14:paraId="0D074E39" w14:textId="77777777" w:rsidR="00227B6C" w:rsidRPr="00227B6C" w:rsidRDefault="00227B6C" w:rsidP="00227B6C">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Flooding</w:t>
            </w:r>
          </w:p>
        </w:tc>
        <w:tc>
          <w:tcPr>
            <w:tcW w:w="928" w:type="dxa"/>
            <w:shd w:val="clear" w:color="auto" w:fill="E60000"/>
            <w:tcMar>
              <w:left w:w="57" w:type="dxa"/>
              <w:right w:w="57" w:type="dxa"/>
            </w:tcMar>
            <w:vAlign w:val="center"/>
          </w:tcPr>
          <w:p w14:paraId="6C50936E" w14:textId="77777777" w:rsidR="00227B6C" w:rsidRPr="00227B6C" w:rsidRDefault="00227B6C" w:rsidP="00227B6C">
            <w:pPr>
              <w:spacing w:before="40" w:after="40" w:line="240" w:lineRule="auto"/>
              <w:jc w:val="right"/>
              <w:rPr>
                <w:rFonts w:eastAsia="Times New Roman" w:cs="Arial"/>
                <w:color w:val="FFFFFF" w:themeColor="background1"/>
                <w:szCs w:val="24"/>
                <w:lang w:eastAsia="en-GB"/>
              </w:rPr>
            </w:pPr>
            <w:r w:rsidRPr="00227B6C">
              <w:rPr>
                <w:rFonts w:cs="Arial"/>
                <w:color w:val="FFFFFF" w:themeColor="background1"/>
                <w:szCs w:val="24"/>
              </w:rPr>
              <w:t>12.00</w:t>
            </w:r>
          </w:p>
        </w:tc>
        <w:tc>
          <w:tcPr>
            <w:tcW w:w="1269" w:type="dxa"/>
            <w:shd w:val="clear" w:color="auto" w:fill="E60000"/>
            <w:tcMar>
              <w:left w:w="57" w:type="dxa"/>
              <w:right w:w="57" w:type="dxa"/>
            </w:tcMar>
            <w:vAlign w:val="center"/>
          </w:tcPr>
          <w:p w14:paraId="6A34E209" w14:textId="77777777" w:rsidR="00227B6C" w:rsidRPr="00227B6C" w:rsidRDefault="00227B6C" w:rsidP="00227B6C">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tcPr>
          <w:p w14:paraId="09D075E0" w14:textId="53248D0E" w:rsidR="00227B6C" w:rsidRPr="00227B6C" w:rsidRDefault="00227B6C" w:rsidP="00227B6C">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hint="eastAsia"/>
                <w:b/>
                <w:bCs/>
                <w:color w:val="FFFFFF" w:themeColor="background1"/>
                <w:szCs w:val="24"/>
              </w:rPr>
              <w:t>¬</w:t>
            </w:r>
          </w:p>
        </w:tc>
        <w:tc>
          <w:tcPr>
            <w:tcW w:w="0" w:type="auto"/>
            <w:shd w:val="clear" w:color="auto" w:fill="E60000"/>
            <w:vAlign w:val="center"/>
          </w:tcPr>
          <w:p w14:paraId="35FA35A3" w14:textId="31585F73" w:rsidR="00227B6C" w:rsidRPr="00227B6C" w:rsidRDefault="00227B6C" w:rsidP="00227B6C">
            <w:pPr>
              <w:spacing w:before="40" w:after="40" w:line="240" w:lineRule="auto"/>
              <w:jc w:val="center"/>
              <w:rPr>
                <w:rFonts w:cs="Arial"/>
                <w:color w:val="FFFFFF" w:themeColor="background1"/>
                <w:szCs w:val="24"/>
              </w:rPr>
            </w:pPr>
            <w:r w:rsidRPr="00227B6C">
              <w:rPr>
                <w:rFonts w:cs="Arial"/>
                <w:color w:val="FFFFFF" w:themeColor="background1"/>
                <w:szCs w:val="24"/>
              </w:rPr>
              <w:t>4</w:t>
            </w:r>
          </w:p>
        </w:tc>
      </w:tr>
      <w:tr w:rsidR="00227B6C" w:rsidRPr="002B7E1B" w14:paraId="3AE31E0C" w14:textId="5AE8898D" w:rsidTr="00227B6C">
        <w:trPr>
          <w:trHeight w:val="255"/>
          <w:jc w:val="center"/>
        </w:trPr>
        <w:tc>
          <w:tcPr>
            <w:tcW w:w="0" w:type="auto"/>
            <w:shd w:val="clear" w:color="auto" w:fill="E60000"/>
            <w:tcMar>
              <w:left w:w="57" w:type="dxa"/>
              <w:right w:w="57" w:type="dxa"/>
            </w:tcMar>
            <w:vAlign w:val="center"/>
          </w:tcPr>
          <w:p w14:paraId="23BB0B74" w14:textId="77777777" w:rsidR="00227B6C" w:rsidRPr="00227B6C" w:rsidRDefault="00227B6C" w:rsidP="00227B6C">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5</w:t>
            </w:r>
          </w:p>
        </w:tc>
        <w:tc>
          <w:tcPr>
            <w:tcW w:w="4786" w:type="dxa"/>
            <w:shd w:val="clear" w:color="auto" w:fill="E60000"/>
            <w:noWrap/>
            <w:tcMar>
              <w:left w:w="57" w:type="dxa"/>
              <w:right w:w="57" w:type="dxa"/>
            </w:tcMar>
            <w:vAlign w:val="center"/>
          </w:tcPr>
          <w:p w14:paraId="59B32F4A" w14:textId="77777777" w:rsidR="00227B6C" w:rsidRPr="00227B6C" w:rsidRDefault="00227B6C" w:rsidP="00227B6C">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Accidental Dwelling Fires</w:t>
            </w:r>
            <w:r w:rsidRPr="00227B6C" w:rsidDel="00331A48">
              <w:rPr>
                <w:rFonts w:cs="Arial"/>
                <w:color w:val="FFFFFF" w:themeColor="background1"/>
                <w:szCs w:val="24"/>
              </w:rPr>
              <w:t xml:space="preserve"> </w:t>
            </w:r>
          </w:p>
        </w:tc>
        <w:tc>
          <w:tcPr>
            <w:tcW w:w="928" w:type="dxa"/>
            <w:shd w:val="clear" w:color="auto" w:fill="E60000"/>
            <w:tcMar>
              <w:left w:w="57" w:type="dxa"/>
              <w:right w:w="57" w:type="dxa"/>
            </w:tcMar>
            <w:vAlign w:val="center"/>
          </w:tcPr>
          <w:p w14:paraId="4A2A1508" w14:textId="77777777" w:rsidR="00227B6C" w:rsidRPr="00227B6C" w:rsidRDefault="00227B6C" w:rsidP="00227B6C">
            <w:pPr>
              <w:spacing w:before="40" w:after="40" w:line="240" w:lineRule="auto"/>
              <w:jc w:val="right"/>
              <w:rPr>
                <w:rFonts w:eastAsia="Times New Roman" w:cs="Arial"/>
                <w:color w:val="FFFFFF" w:themeColor="background1"/>
                <w:szCs w:val="24"/>
                <w:lang w:eastAsia="en-GB"/>
              </w:rPr>
            </w:pPr>
            <w:r w:rsidRPr="00227B6C">
              <w:rPr>
                <w:rFonts w:cs="Arial"/>
                <w:color w:val="FFFFFF" w:themeColor="background1"/>
                <w:szCs w:val="24"/>
              </w:rPr>
              <w:t>11.47</w:t>
            </w:r>
          </w:p>
        </w:tc>
        <w:tc>
          <w:tcPr>
            <w:tcW w:w="1269" w:type="dxa"/>
            <w:shd w:val="clear" w:color="auto" w:fill="E60000"/>
            <w:tcMar>
              <w:left w:w="57" w:type="dxa"/>
              <w:right w:w="57" w:type="dxa"/>
            </w:tcMar>
            <w:vAlign w:val="center"/>
          </w:tcPr>
          <w:p w14:paraId="4B75A401" w14:textId="77777777" w:rsidR="00227B6C" w:rsidRPr="00227B6C" w:rsidRDefault="00227B6C" w:rsidP="00227B6C">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tcPr>
          <w:p w14:paraId="7B219ADE" w14:textId="5D22C760" w:rsidR="00227B6C" w:rsidRPr="00227B6C" w:rsidRDefault="00227B6C" w:rsidP="00227B6C">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hint="eastAsia"/>
                <w:b/>
                <w:bCs/>
                <w:color w:val="FFFFFF" w:themeColor="background1"/>
                <w:szCs w:val="24"/>
              </w:rPr>
              <w:t>¬</w:t>
            </w:r>
          </w:p>
        </w:tc>
        <w:tc>
          <w:tcPr>
            <w:tcW w:w="0" w:type="auto"/>
            <w:shd w:val="clear" w:color="auto" w:fill="E60000"/>
            <w:vAlign w:val="center"/>
          </w:tcPr>
          <w:p w14:paraId="25F1D02C" w14:textId="3EC57E71" w:rsidR="00227B6C" w:rsidRPr="00227B6C" w:rsidRDefault="00227B6C" w:rsidP="00227B6C">
            <w:pPr>
              <w:spacing w:before="40" w:after="40" w:line="240" w:lineRule="auto"/>
              <w:jc w:val="center"/>
              <w:rPr>
                <w:rFonts w:cs="Arial"/>
                <w:color w:val="FFFFFF" w:themeColor="background1"/>
                <w:szCs w:val="24"/>
              </w:rPr>
            </w:pPr>
            <w:r w:rsidRPr="00227B6C">
              <w:rPr>
                <w:rFonts w:cs="Arial"/>
                <w:color w:val="FFFFFF" w:themeColor="background1"/>
                <w:szCs w:val="24"/>
              </w:rPr>
              <w:t>5</w:t>
            </w:r>
          </w:p>
        </w:tc>
      </w:tr>
      <w:tr w:rsidR="008968A0" w:rsidRPr="002B7E1B" w14:paraId="684AF2CA" w14:textId="77777777" w:rsidTr="00227B6C">
        <w:trPr>
          <w:trHeight w:val="255"/>
          <w:jc w:val="center"/>
        </w:trPr>
        <w:tc>
          <w:tcPr>
            <w:tcW w:w="0" w:type="auto"/>
            <w:shd w:val="clear" w:color="auto" w:fill="E60000"/>
            <w:tcMar>
              <w:left w:w="57" w:type="dxa"/>
              <w:right w:w="57" w:type="dxa"/>
            </w:tcMar>
            <w:vAlign w:val="center"/>
          </w:tcPr>
          <w:p w14:paraId="15E41E55" w14:textId="06B9D678" w:rsidR="008968A0" w:rsidRPr="00227B6C" w:rsidRDefault="008968A0" w:rsidP="008968A0">
            <w:pPr>
              <w:spacing w:before="40" w:after="40" w:line="240" w:lineRule="auto"/>
              <w:rPr>
                <w:rFonts w:cs="Arial"/>
                <w:color w:val="FFFFFF" w:themeColor="background1"/>
                <w:szCs w:val="24"/>
              </w:rPr>
            </w:pPr>
            <w:r>
              <w:rPr>
                <w:rFonts w:cs="Arial"/>
                <w:color w:val="FFFFFF" w:themeColor="background1"/>
                <w:szCs w:val="24"/>
              </w:rPr>
              <w:t>6</w:t>
            </w:r>
          </w:p>
        </w:tc>
        <w:tc>
          <w:tcPr>
            <w:tcW w:w="4786" w:type="dxa"/>
            <w:shd w:val="clear" w:color="auto" w:fill="E60000"/>
            <w:noWrap/>
            <w:tcMar>
              <w:left w:w="57" w:type="dxa"/>
              <w:right w:w="57" w:type="dxa"/>
            </w:tcMar>
            <w:vAlign w:val="center"/>
          </w:tcPr>
          <w:p w14:paraId="6B6C5A40" w14:textId="243E2336" w:rsidR="008968A0" w:rsidRPr="00227B6C" w:rsidRDefault="008968A0" w:rsidP="008968A0">
            <w:pPr>
              <w:spacing w:before="40" w:after="40" w:line="240" w:lineRule="auto"/>
              <w:rPr>
                <w:rFonts w:cs="Arial"/>
                <w:color w:val="FFFFFF" w:themeColor="background1"/>
                <w:szCs w:val="24"/>
              </w:rPr>
            </w:pPr>
            <w:r w:rsidRPr="00227B6C">
              <w:rPr>
                <w:rFonts w:cs="Arial"/>
                <w:color w:val="FFFFFF" w:themeColor="background1"/>
                <w:szCs w:val="24"/>
              </w:rPr>
              <w:t>Industrial Fires</w:t>
            </w:r>
          </w:p>
        </w:tc>
        <w:tc>
          <w:tcPr>
            <w:tcW w:w="928" w:type="dxa"/>
            <w:shd w:val="clear" w:color="auto" w:fill="E60000"/>
            <w:tcMar>
              <w:left w:w="57" w:type="dxa"/>
              <w:right w:w="57" w:type="dxa"/>
            </w:tcMar>
            <w:vAlign w:val="center"/>
          </w:tcPr>
          <w:p w14:paraId="36CF2C02" w14:textId="37577768" w:rsidR="008968A0" w:rsidRPr="00227B6C" w:rsidRDefault="00DB6A4C" w:rsidP="008968A0">
            <w:pPr>
              <w:spacing w:before="40" w:after="40" w:line="240" w:lineRule="auto"/>
              <w:jc w:val="right"/>
              <w:rPr>
                <w:rFonts w:cs="Arial"/>
                <w:color w:val="FFFFFF" w:themeColor="background1"/>
                <w:szCs w:val="24"/>
              </w:rPr>
            </w:pPr>
            <w:r>
              <w:rPr>
                <w:rFonts w:cs="Arial"/>
                <w:color w:val="FFFFFF" w:themeColor="background1"/>
                <w:szCs w:val="24"/>
              </w:rPr>
              <w:t>10.67</w:t>
            </w:r>
          </w:p>
        </w:tc>
        <w:tc>
          <w:tcPr>
            <w:tcW w:w="1269" w:type="dxa"/>
            <w:shd w:val="clear" w:color="auto" w:fill="E60000"/>
            <w:tcMar>
              <w:left w:w="57" w:type="dxa"/>
              <w:right w:w="57" w:type="dxa"/>
            </w:tcMar>
            <w:vAlign w:val="center"/>
          </w:tcPr>
          <w:p w14:paraId="44D80BCA" w14:textId="7B211036" w:rsidR="008968A0" w:rsidRPr="00227B6C" w:rsidRDefault="008968A0" w:rsidP="008968A0">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tcPr>
          <w:p w14:paraId="2F490DAA" w14:textId="3D25B96A" w:rsidR="008968A0" w:rsidRPr="00227B6C" w:rsidRDefault="008968A0" w:rsidP="008968A0">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b/>
                <w:bCs/>
                <w:color w:val="FFFFFF" w:themeColor="background1"/>
                <w:szCs w:val="24"/>
              </w:rPr>
              <w:t></w:t>
            </w:r>
          </w:p>
        </w:tc>
        <w:tc>
          <w:tcPr>
            <w:tcW w:w="0" w:type="auto"/>
            <w:shd w:val="clear" w:color="auto" w:fill="E60000"/>
            <w:vAlign w:val="center"/>
          </w:tcPr>
          <w:p w14:paraId="209DFEF6" w14:textId="1A5E2585" w:rsidR="008968A0" w:rsidRPr="00227B6C" w:rsidRDefault="008968A0" w:rsidP="008968A0">
            <w:pPr>
              <w:spacing w:before="40" w:after="40" w:line="240" w:lineRule="auto"/>
              <w:jc w:val="center"/>
              <w:rPr>
                <w:rFonts w:cs="Arial"/>
                <w:color w:val="FFFFFF" w:themeColor="background1"/>
                <w:szCs w:val="24"/>
              </w:rPr>
            </w:pPr>
            <w:r w:rsidRPr="00227B6C">
              <w:rPr>
                <w:color w:val="FFFFFF" w:themeColor="background1"/>
              </w:rPr>
              <w:t>11</w:t>
            </w:r>
          </w:p>
        </w:tc>
      </w:tr>
      <w:tr w:rsidR="00227B6C" w:rsidRPr="002B7E1B" w14:paraId="1938554E" w14:textId="48CBFBAE" w:rsidTr="00227B6C">
        <w:trPr>
          <w:trHeight w:val="255"/>
          <w:jc w:val="center"/>
        </w:trPr>
        <w:tc>
          <w:tcPr>
            <w:tcW w:w="0" w:type="auto"/>
            <w:shd w:val="clear" w:color="auto" w:fill="E60000"/>
            <w:tcMar>
              <w:left w:w="57" w:type="dxa"/>
              <w:right w:w="57" w:type="dxa"/>
            </w:tcMar>
            <w:vAlign w:val="center"/>
          </w:tcPr>
          <w:p w14:paraId="36048289" w14:textId="61622270" w:rsidR="00227B6C" w:rsidRPr="00227B6C" w:rsidRDefault="008968A0" w:rsidP="005604A2">
            <w:pPr>
              <w:spacing w:before="40" w:after="40" w:line="240" w:lineRule="auto"/>
              <w:rPr>
                <w:rFonts w:eastAsia="Times New Roman" w:cs="Arial"/>
                <w:color w:val="FFFFFF" w:themeColor="background1"/>
                <w:szCs w:val="24"/>
                <w:lang w:eastAsia="en-GB"/>
              </w:rPr>
            </w:pPr>
            <w:r>
              <w:rPr>
                <w:rFonts w:eastAsia="Times New Roman" w:cs="Arial"/>
                <w:color w:val="FFFFFF" w:themeColor="background1"/>
                <w:szCs w:val="24"/>
                <w:lang w:eastAsia="en-GB"/>
              </w:rPr>
              <w:t>7</w:t>
            </w:r>
          </w:p>
        </w:tc>
        <w:tc>
          <w:tcPr>
            <w:tcW w:w="4786" w:type="dxa"/>
            <w:shd w:val="clear" w:color="auto" w:fill="E60000"/>
            <w:noWrap/>
            <w:tcMar>
              <w:left w:w="57" w:type="dxa"/>
              <w:right w:w="57" w:type="dxa"/>
            </w:tcMar>
            <w:vAlign w:val="center"/>
          </w:tcPr>
          <w:p w14:paraId="661082E1" w14:textId="77777777" w:rsidR="00227B6C" w:rsidRPr="00227B6C" w:rsidRDefault="00227B6C" w:rsidP="005604A2">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Road Traffic Collisions (RTC’s)</w:t>
            </w:r>
          </w:p>
        </w:tc>
        <w:tc>
          <w:tcPr>
            <w:tcW w:w="928" w:type="dxa"/>
            <w:shd w:val="clear" w:color="auto" w:fill="E60000"/>
            <w:tcMar>
              <w:left w:w="57" w:type="dxa"/>
              <w:right w:w="57" w:type="dxa"/>
            </w:tcMar>
            <w:vAlign w:val="center"/>
          </w:tcPr>
          <w:p w14:paraId="2279EC06" w14:textId="77777777" w:rsidR="00227B6C" w:rsidRPr="00227B6C" w:rsidRDefault="00227B6C" w:rsidP="005604A2">
            <w:pPr>
              <w:spacing w:before="40" w:after="40" w:line="240" w:lineRule="auto"/>
              <w:jc w:val="right"/>
              <w:rPr>
                <w:rFonts w:eastAsia="Times New Roman" w:cs="Arial"/>
                <w:color w:val="FFFFFF" w:themeColor="background1"/>
                <w:szCs w:val="24"/>
                <w:lang w:eastAsia="en-GB"/>
              </w:rPr>
            </w:pPr>
            <w:r w:rsidRPr="00227B6C">
              <w:rPr>
                <w:rFonts w:cs="Arial"/>
                <w:color w:val="FFFFFF" w:themeColor="background1"/>
                <w:szCs w:val="24"/>
              </w:rPr>
              <w:t>10.24</w:t>
            </w:r>
          </w:p>
        </w:tc>
        <w:tc>
          <w:tcPr>
            <w:tcW w:w="1269" w:type="dxa"/>
            <w:shd w:val="clear" w:color="auto" w:fill="E60000"/>
            <w:tcMar>
              <w:left w:w="57" w:type="dxa"/>
              <w:right w:w="57" w:type="dxa"/>
            </w:tcMar>
            <w:vAlign w:val="center"/>
          </w:tcPr>
          <w:p w14:paraId="3A606671" w14:textId="77777777" w:rsidR="00227B6C" w:rsidRPr="00227B6C" w:rsidRDefault="00227B6C" w:rsidP="005604A2">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tcPr>
          <w:p w14:paraId="1F46C2BD" w14:textId="082C5B77" w:rsidR="00227B6C" w:rsidRPr="00227B6C" w:rsidRDefault="008968A0" w:rsidP="005604A2">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hint="eastAsia"/>
                <w:b/>
                <w:bCs/>
                <w:color w:val="FFFFFF" w:themeColor="background1"/>
                <w:szCs w:val="24"/>
              </w:rPr>
              <w:t> </w:t>
            </w:r>
          </w:p>
        </w:tc>
        <w:tc>
          <w:tcPr>
            <w:tcW w:w="0" w:type="auto"/>
            <w:shd w:val="clear" w:color="auto" w:fill="E60000"/>
            <w:vAlign w:val="center"/>
          </w:tcPr>
          <w:p w14:paraId="548317EE" w14:textId="5D2B35CE" w:rsidR="00227B6C" w:rsidRPr="00227B6C" w:rsidRDefault="00227B6C" w:rsidP="00227B6C">
            <w:pPr>
              <w:spacing w:before="40" w:after="40" w:line="240" w:lineRule="auto"/>
              <w:jc w:val="center"/>
              <w:rPr>
                <w:rFonts w:cs="Arial"/>
                <w:color w:val="FFFFFF" w:themeColor="background1"/>
                <w:szCs w:val="24"/>
              </w:rPr>
            </w:pPr>
            <w:r>
              <w:rPr>
                <w:rFonts w:cs="Arial"/>
                <w:color w:val="FFFFFF" w:themeColor="background1"/>
                <w:szCs w:val="24"/>
              </w:rPr>
              <w:t>6</w:t>
            </w:r>
          </w:p>
        </w:tc>
      </w:tr>
      <w:tr w:rsidR="00227B6C" w:rsidRPr="002B7E1B" w14:paraId="0022C61F" w14:textId="4439D782" w:rsidTr="00227B6C">
        <w:trPr>
          <w:trHeight w:val="255"/>
          <w:jc w:val="center"/>
        </w:trPr>
        <w:tc>
          <w:tcPr>
            <w:tcW w:w="0" w:type="auto"/>
            <w:shd w:val="clear" w:color="auto" w:fill="E60000"/>
            <w:tcMar>
              <w:left w:w="57" w:type="dxa"/>
              <w:right w:w="57" w:type="dxa"/>
            </w:tcMar>
            <w:vAlign w:val="center"/>
          </w:tcPr>
          <w:p w14:paraId="212D4783" w14:textId="68B60DD8" w:rsidR="00227B6C" w:rsidRPr="00227B6C" w:rsidRDefault="008968A0" w:rsidP="005604A2">
            <w:pPr>
              <w:spacing w:before="40" w:after="40" w:line="240" w:lineRule="auto"/>
              <w:rPr>
                <w:rFonts w:eastAsia="Times New Roman" w:cs="Arial"/>
                <w:color w:val="FFFFFF" w:themeColor="background1"/>
                <w:szCs w:val="24"/>
                <w:lang w:eastAsia="en-GB"/>
              </w:rPr>
            </w:pPr>
            <w:r>
              <w:rPr>
                <w:rFonts w:eastAsia="Times New Roman" w:cs="Arial"/>
                <w:color w:val="FFFFFF" w:themeColor="background1"/>
                <w:szCs w:val="24"/>
                <w:lang w:eastAsia="en-GB"/>
              </w:rPr>
              <w:t>8</w:t>
            </w:r>
          </w:p>
        </w:tc>
        <w:tc>
          <w:tcPr>
            <w:tcW w:w="4786" w:type="dxa"/>
            <w:shd w:val="clear" w:color="auto" w:fill="E60000"/>
            <w:noWrap/>
            <w:tcMar>
              <w:left w:w="57" w:type="dxa"/>
              <w:right w:w="57" w:type="dxa"/>
            </w:tcMar>
            <w:vAlign w:val="center"/>
          </w:tcPr>
          <w:p w14:paraId="611D2C94" w14:textId="77777777" w:rsidR="00227B6C" w:rsidRPr="00227B6C" w:rsidRDefault="00227B6C" w:rsidP="005604A2">
            <w:pPr>
              <w:spacing w:before="40" w:after="40" w:line="240" w:lineRule="auto"/>
              <w:rPr>
                <w:rFonts w:eastAsia="Times New Roman" w:cs="Arial"/>
                <w:color w:val="FFFFFF" w:themeColor="background1"/>
                <w:szCs w:val="24"/>
                <w:lang w:eastAsia="en-GB"/>
              </w:rPr>
            </w:pPr>
            <w:r w:rsidRPr="00227B6C">
              <w:rPr>
                <w:rFonts w:cs="Arial"/>
                <w:color w:val="FFFFFF" w:themeColor="background1"/>
                <w:szCs w:val="24"/>
              </w:rPr>
              <w:t>Rescue from Collapsed Structure/Confined Space/Other</w:t>
            </w:r>
          </w:p>
        </w:tc>
        <w:tc>
          <w:tcPr>
            <w:tcW w:w="928" w:type="dxa"/>
            <w:shd w:val="clear" w:color="auto" w:fill="E60000"/>
            <w:tcMar>
              <w:left w:w="57" w:type="dxa"/>
              <w:right w:w="57" w:type="dxa"/>
            </w:tcMar>
            <w:vAlign w:val="center"/>
          </w:tcPr>
          <w:p w14:paraId="37440840" w14:textId="77777777" w:rsidR="00227B6C" w:rsidRPr="00227B6C" w:rsidRDefault="00227B6C" w:rsidP="005604A2">
            <w:pPr>
              <w:spacing w:before="40" w:after="40" w:line="240" w:lineRule="auto"/>
              <w:jc w:val="right"/>
              <w:rPr>
                <w:rFonts w:eastAsia="Times New Roman" w:cs="Arial"/>
                <w:color w:val="FFFFFF" w:themeColor="background1"/>
                <w:szCs w:val="24"/>
                <w:lang w:eastAsia="en-GB"/>
              </w:rPr>
            </w:pPr>
            <w:r w:rsidRPr="00227B6C">
              <w:rPr>
                <w:rFonts w:cs="Arial"/>
                <w:color w:val="FFFFFF" w:themeColor="background1"/>
                <w:szCs w:val="24"/>
              </w:rPr>
              <w:t>9.97</w:t>
            </w:r>
          </w:p>
        </w:tc>
        <w:tc>
          <w:tcPr>
            <w:tcW w:w="1269" w:type="dxa"/>
            <w:shd w:val="clear" w:color="auto" w:fill="E60000"/>
            <w:tcMar>
              <w:left w:w="57" w:type="dxa"/>
              <w:right w:w="57" w:type="dxa"/>
            </w:tcMar>
            <w:vAlign w:val="center"/>
          </w:tcPr>
          <w:p w14:paraId="47FD5AF6" w14:textId="77777777" w:rsidR="00227B6C" w:rsidRPr="00227B6C" w:rsidRDefault="00227B6C" w:rsidP="005604A2">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vAlign w:val="center"/>
          </w:tcPr>
          <w:p w14:paraId="5D9775CB" w14:textId="77777777" w:rsidR="00227B6C" w:rsidRPr="00227B6C" w:rsidRDefault="00227B6C" w:rsidP="005604A2">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hint="eastAsia"/>
                <w:b/>
                <w:bCs/>
                <w:color w:val="FFFFFF" w:themeColor="background1"/>
                <w:szCs w:val="24"/>
              </w:rPr>
              <w:t> </w:t>
            </w:r>
          </w:p>
        </w:tc>
        <w:tc>
          <w:tcPr>
            <w:tcW w:w="0" w:type="auto"/>
            <w:shd w:val="clear" w:color="auto" w:fill="E60000"/>
            <w:vAlign w:val="center"/>
          </w:tcPr>
          <w:p w14:paraId="7A0D6C17" w14:textId="23DC4E48" w:rsidR="00227B6C" w:rsidRPr="00227B6C" w:rsidRDefault="00227B6C" w:rsidP="00227B6C">
            <w:pPr>
              <w:spacing w:before="40" w:after="40" w:line="240" w:lineRule="auto"/>
              <w:jc w:val="center"/>
              <w:rPr>
                <w:rFonts w:cs="Arial"/>
                <w:color w:val="FFFFFF" w:themeColor="background1"/>
                <w:szCs w:val="24"/>
              </w:rPr>
            </w:pPr>
            <w:r>
              <w:rPr>
                <w:rFonts w:cs="Arial"/>
                <w:color w:val="FFFFFF" w:themeColor="background1"/>
                <w:szCs w:val="24"/>
              </w:rPr>
              <w:t>7</w:t>
            </w:r>
          </w:p>
        </w:tc>
      </w:tr>
      <w:tr w:rsidR="00227B6C" w:rsidRPr="002B7E1B" w14:paraId="026AEDBD" w14:textId="6FF8B4B3" w:rsidTr="00227B6C">
        <w:trPr>
          <w:trHeight w:val="255"/>
          <w:jc w:val="center"/>
        </w:trPr>
        <w:tc>
          <w:tcPr>
            <w:tcW w:w="0" w:type="auto"/>
            <w:shd w:val="clear" w:color="auto" w:fill="E60000"/>
            <w:tcMar>
              <w:left w:w="57" w:type="dxa"/>
              <w:right w:w="57" w:type="dxa"/>
            </w:tcMar>
            <w:vAlign w:val="center"/>
          </w:tcPr>
          <w:p w14:paraId="511753B3" w14:textId="5D09CBF5" w:rsidR="00227B6C" w:rsidRPr="00227B6C" w:rsidRDefault="008968A0" w:rsidP="005604A2">
            <w:pPr>
              <w:spacing w:before="40" w:after="40" w:line="240" w:lineRule="auto"/>
              <w:rPr>
                <w:rFonts w:cs="Arial"/>
                <w:color w:val="FFFFFF" w:themeColor="background1"/>
                <w:szCs w:val="24"/>
              </w:rPr>
            </w:pPr>
            <w:r>
              <w:rPr>
                <w:rFonts w:cs="Arial"/>
                <w:color w:val="FFFFFF" w:themeColor="background1"/>
                <w:szCs w:val="24"/>
              </w:rPr>
              <w:t>9</w:t>
            </w:r>
          </w:p>
        </w:tc>
        <w:tc>
          <w:tcPr>
            <w:tcW w:w="4786" w:type="dxa"/>
            <w:shd w:val="clear" w:color="auto" w:fill="E60000"/>
            <w:noWrap/>
            <w:tcMar>
              <w:left w:w="57" w:type="dxa"/>
              <w:right w:w="57" w:type="dxa"/>
            </w:tcMar>
            <w:vAlign w:val="center"/>
          </w:tcPr>
          <w:p w14:paraId="06F2DBF7" w14:textId="77777777" w:rsidR="00227B6C" w:rsidRPr="00227B6C" w:rsidRDefault="00227B6C" w:rsidP="005604A2">
            <w:pPr>
              <w:spacing w:before="40" w:after="40" w:line="240" w:lineRule="auto"/>
              <w:rPr>
                <w:rFonts w:cs="Arial"/>
                <w:color w:val="FFFFFF" w:themeColor="background1"/>
                <w:szCs w:val="24"/>
              </w:rPr>
            </w:pPr>
            <w:r w:rsidRPr="00227B6C">
              <w:rPr>
                <w:rFonts w:cs="Arial"/>
                <w:color w:val="FFFFFF" w:themeColor="background1"/>
                <w:szCs w:val="24"/>
              </w:rPr>
              <w:t xml:space="preserve">Road Vehicle Fires </w:t>
            </w:r>
          </w:p>
        </w:tc>
        <w:tc>
          <w:tcPr>
            <w:tcW w:w="928" w:type="dxa"/>
            <w:shd w:val="clear" w:color="auto" w:fill="E60000"/>
            <w:tcMar>
              <w:left w:w="57" w:type="dxa"/>
              <w:right w:w="57" w:type="dxa"/>
            </w:tcMar>
            <w:vAlign w:val="center"/>
          </w:tcPr>
          <w:p w14:paraId="2DED3DBE" w14:textId="77777777" w:rsidR="00227B6C" w:rsidRPr="00227B6C" w:rsidRDefault="00227B6C" w:rsidP="005604A2">
            <w:pPr>
              <w:spacing w:before="40" w:after="40" w:line="240" w:lineRule="auto"/>
              <w:jc w:val="right"/>
              <w:rPr>
                <w:rFonts w:cs="Arial"/>
                <w:color w:val="FFFFFF" w:themeColor="background1"/>
                <w:szCs w:val="24"/>
              </w:rPr>
            </w:pPr>
            <w:r w:rsidRPr="00227B6C">
              <w:rPr>
                <w:rFonts w:cs="Arial"/>
                <w:color w:val="FFFFFF" w:themeColor="background1"/>
                <w:szCs w:val="24"/>
              </w:rPr>
              <w:t>9.60</w:t>
            </w:r>
          </w:p>
        </w:tc>
        <w:tc>
          <w:tcPr>
            <w:tcW w:w="1269" w:type="dxa"/>
            <w:shd w:val="clear" w:color="auto" w:fill="E60000"/>
            <w:tcMar>
              <w:left w:w="57" w:type="dxa"/>
              <w:right w:w="57" w:type="dxa"/>
            </w:tcMar>
            <w:vAlign w:val="center"/>
          </w:tcPr>
          <w:p w14:paraId="01665F8B" w14:textId="77777777" w:rsidR="00227B6C" w:rsidRPr="00227B6C" w:rsidRDefault="00227B6C" w:rsidP="005604A2">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tcPr>
          <w:p w14:paraId="4F6C0FD7" w14:textId="6B8A7B56" w:rsidR="00227B6C" w:rsidRPr="00227B6C" w:rsidRDefault="008968A0" w:rsidP="005604A2">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hint="eastAsia"/>
                <w:b/>
                <w:bCs/>
                <w:color w:val="FFFFFF" w:themeColor="background1"/>
                <w:szCs w:val="24"/>
              </w:rPr>
              <w:t> </w:t>
            </w:r>
          </w:p>
        </w:tc>
        <w:tc>
          <w:tcPr>
            <w:tcW w:w="0" w:type="auto"/>
            <w:shd w:val="clear" w:color="auto" w:fill="E60000"/>
            <w:vAlign w:val="center"/>
          </w:tcPr>
          <w:p w14:paraId="33392B18" w14:textId="4E36E0B7" w:rsidR="00227B6C" w:rsidRPr="00227B6C" w:rsidRDefault="00227B6C" w:rsidP="00227B6C">
            <w:pPr>
              <w:spacing w:before="40" w:after="40" w:line="240" w:lineRule="auto"/>
              <w:jc w:val="center"/>
              <w:rPr>
                <w:rFonts w:cs="Arial"/>
                <w:color w:val="FFFFFF" w:themeColor="background1"/>
                <w:szCs w:val="24"/>
              </w:rPr>
            </w:pPr>
            <w:r>
              <w:rPr>
                <w:rFonts w:cs="Arial"/>
                <w:color w:val="FFFFFF" w:themeColor="background1"/>
                <w:szCs w:val="24"/>
              </w:rPr>
              <w:t>8</w:t>
            </w:r>
          </w:p>
        </w:tc>
      </w:tr>
      <w:tr w:rsidR="008968A0" w:rsidRPr="002B7E1B" w14:paraId="4D62E469" w14:textId="77777777" w:rsidTr="00227B6C">
        <w:trPr>
          <w:trHeight w:val="255"/>
          <w:jc w:val="center"/>
        </w:trPr>
        <w:tc>
          <w:tcPr>
            <w:tcW w:w="0" w:type="auto"/>
            <w:shd w:val="clear" w:color="auto" w:fill="E60000"/>
            <w:tcMar>
              <w:left w:w="57" w:type="dxa"/>
              <w:right w:w="57" w:type="dxa"/>
            </w:tcMar>
            <w:vAlign w:val="center"/>
          </w:tcPr>
          <w:p w14:paraId="08C30079" w14:textId="7D961171" w:rsidR="008968A0" w:rsidRPr="00227B6C" w:rsidRDefault="008968A0" w:rsidP="008968A0">
            <w:pPr>
              <w:spacing w:before="40" w:after="40" w:line="240" w:lineRule="auto"/>
              <w:rPr>
                <w:rFonts w:cs="Arial"/>
                <w:color w:val="FFFFFF" w:themeColor="background1"/>
                <w:szCs w:val="24"/>
              </w:rPr>
            </w:pPr>
            <w:r w:rsidRPr="00227B6C">
              <w:rPr>
                <w:rFonts w:cs="Arial"/>
                <w:color w:val="FFFFFF" w:themeColor="background1"/>
                <w:szCs w:val="24"/>
              </w:rPr>
              <w:t>10</w:t>
            </w:r>
          </w:p>
        </w:tc>
        <w:tc>
          <w:tcPr>
            <w:tcW w:w="4786" w:type="dxa"/>
            <w:shd w:val="clear" w:color="auto" w:fill="E60000"/>
            <w:noWrap/>
            <w:tcMar>
              <w:left w:w="57" w:type="dxa"/>
              <w:right w:w="57" w:type="dxa"/>
            </w:tcMar>
            <w:vAlign w:val="center"/>
          </w:tcPr>
          <w:p w14:paraId="3BF5E9BD" w14:textId="0128191C" w:rsidR="008968A0" w:rsidRPr="00227B6C" w:rsidRDefault="008968A0" w:rsidP="008968A0">
            <w:pPr>
              <w:spacing w:before="40" w:after="40" w:line="240" w:lineRule="auto"/>
              <w:rPr>
                <w:rFonts w:cs="Arial"/>
                <w:color w:val="FFFFFF" w:themeColor="background1"/>
                <w:szCs w:val="24"/>
              </w:rPr>
            </w:pPr>
            <w:r w:rsidRPr="00227B6C">
              <w:rPr>
                <w:rFonts w:cs="Arial"/>
                <w:color w:val="FFFFFF" w:themeColor="background1"/>
                <w:szCs w:val="24"/>
              </w:rPr>
              <w:t>Assist Other Agencies</w:t>
            </w:r>
          </w:p>
        </w:tc>
        <w:tc>
          <w:tcPr>
            <w:tcW w:w="928" w:type="dxa"/>
            <w:shd w:val="clear" w:color="auto" w:fill="E60000"/>
            <w:tcMar>
              <w:left w:w="57" w:type="dxa"/>
              <w:right w:w="57" w:type="dxa"/>
            </w:tcMar>
            <w:vAlign w:val="center"/>
          </w:tcPr>
          <w:p w14:paraId="6414D1F2" w14:textId="7A5800CA" w:rsidR="008968A0" w:rsidRPr="00227B6C" w:rsidRDefault="008968A0" w:rsidP="008968A0">
            <w:pPr>
              <w:spacing w:before="40" w:after="40" w:line="240" w:lineRule="auto"/>
              <w:jc w:val="right"/>
              <w:rPr>
                <w:rFonts w:cs="Arial"/>
                <w:color w:val="FFFFFF" w:themeColor="background1"/>
                <w:szCs w:val="24"/>
              </w:rPr>
            </w:pPr>
            <w:r w:rsidRPr="00227B6C">
              <w:rPr>
                <w:rFonts w:cs="Arial"/>
                <w:color w:val="FFFFFF" w:themeColor="background1"/>
                <w:szCs w:val="24"/>
              </w:rPr>
              <w:t>9.13</w:t>
            </w:r>
          </w:p>
        </w:tc>
        <w:tc>
          <w:tcPr>
            <w:tcW w:w="1269" w:type="dxa"/>
            <w:shd w:val="clear" w:color="auto" w:fill="E60000"/>
            <w:tcMar>
              <w:left w:w="57" w:type="dxa"/>
              <w:right w:w="57" w:type="dxa"/>
            </w:tcMar>
            <w:vAlign w:val="center"/>
          </w:tcPr>
          <w:p w14:paraId="0DC72C66" w14:textId="1D233960" w:rsidR="008968A0" w:rsidRPr="00227B6C" w:rsidRDefault="008968A0" w:rsidP="008968A0">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tcPr>
          <w:p w14:paraId="2CFF05B8" w14:textId="470EB351" w:rsidR="008968A0" w:rsidRPr="00227B6C" w:rsidRDefault="008968A0" w:rsidP="008968A0">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hint="eastAsia"/>
                <w:b/>
                <w:bCs/>
                <w:color w:val="FFFFFF" w:themeColor="background1"/>
                <w:szCs w:val="24"/>
              </w:rPr>
              <w:t>¬</w:t>
            </w:r>
          </w:p>
        </w:tc>
        <w:tc>
          <w:tcPr>
            <w:tcW w:w="0" w:type="auto"/>
            <w:shd w:val="clear" w:color="auto" w:fill="E60000"/>
            <w:vAlign w:val="center"/>
          </w:tcPr>
          <w:p w14:paraId="4E8B3451" w14:textId="64B52D8D" w:rsidR="008968A0" w:rsidRDefault="008968A0" w:rsidP="008968A0">
            <w:pPr>
              <w:spacing w:before="40" w:after="40" w:line="240" w:lineRule="auto"/>
              <w:jc w:val="center"/>
              <w:rPr>
                <w:rFonts w:cs="Arial"/>
                <w:color w:val="FFFFFF" w:themeColor="background1"/>
                <w:szCs w:val="24"/>
              </w:rPr>
            </w:pPr>
            <w:r w:rsidRPr="00227B6C">
              <w:rPr>
                <w:color w:val="FFFFFF" w:themeColor="background1"/>
              </w:rPr>
              <w:t>10</w:t>
            </w:r>
          </w:p>
        </w:tc>
      </w:tr>
      <w:tr w:rsidR="008968A0" w:rsidRPr="002B7E1B" w14:paraId="43F19AFE" w14:textId="77777777" w:rsidTr="008968A0">
        <w:trPr>
          <w:trHeight w:val="255"/>
          <w:jc w:val="center"/>
        </w:trPr>
        <w:tc>
          <w:tcPr>
            <w:tcW w:w="0" w:type="auto"/>
            <w:shd w:val="clear" w:color="auto" w:fill="E60000"/>
            <w:tcMar>
              <w:left w:w="57" w:type="dxa"/>
              <w:right w:w="57" w:type="dxa"/>
            </w:tcMar>
            <w:vAlign w:val="center"/>
          </w:tcPr>
          <w:p w14:paraId="1D2BEED3" w14:textId="65EB27E7" w:rsidR="008968A0" w:rsidRPr="008968A0" w:rsidRDefault="008968A0" w:rsidP="008968A0">
            <w:pPr>
              <w:spacing w:before="40" w:after="40" w:line="240" w:lineRule="auto"/>
              <w:rPr>
                <w:rFonts w:cs="Arial"/>
                <w:color w:val="FFFFFF" w:themeColor="background1"/>
                <w:szCs w:val="24"/>
              </w:rPr>
            </w:pPr>
            <w:r w:rsidRPr="008968A0">
              <w:rPr>
                <w:rFonts w:cs="Arial"/>
                <w:color w:val="FFFFFF" w:themeColor="background1"/>
                <w:szCs w:val="24"/>
              </w:rPr>
              <w:t>11</w:t>
            </w:r>
          </w:p>
        </w:tc>
        <w:tc>
          <w:tcPr>
            <w:tcW w:w="4786" w:type="dxa"/>
            <w:shd w:val="clear" w:color="auto" w:fill="E60000"/>
            <w:noWrap/>
            <w:tcMar>
              <w:left w:w="57" w:type="dxa"/>
              <w:right w:w="57" w:type="dxa"/>
            </w:tcMar>
            <w:vAlign w:val="center"/>
          </w:tcPr>
          <w:p w14:paraId="3975DA1D" w14:textId="4CA475D1" w:rsidR="008968A0" w:rsidRPr="008968A0" w:rsidRDefault="008968A0" w:rsidP="008968A0">
            <w:pPr>
              <w:spacing w:before="40" w:after="40" w:line="240" w:lineRule="auto"/>
              <w:rPr>
                <w:rFonts w:cs="Arial"/>
                <w:color w:val="FFFFFF" w:themeColor="background1"/>
                <w:szCs w:val="24"/>
              </w:rPr>
            </w:pPr>
            <w:r w:rsidRPr="008968A0">
              <w:rPr>
                <w:rFonts w:cs="Arial"/>
                <w:color w:val="FFFFFF" w:themeColor="background1"/>
                <w:szCs w:val="24"/>
              </w:rPr>
              <w:t>Other Outdoor Fires (Primary)</w:t>
            </w:r>
          </w:p>
        </w:tc>
        <w:tc>
          <w:tcPr>
            <w:tcW w:w="928" w:type="dxa"/>
            <w:shd w:val="clear" w:color="auto" w:fill="E60000"/>
            <w:tcMar>
              <w:left w:w="57" w:type="dxa"/>
              <w:right w:w="57" w:type="dxa"/>
            </w:tcMar>
            <w:vAlign w:val="center"/>
          </w:tcPr>
          <w:p w14:paraId="793D4C9E" w14:textId="3656FB38" w:rsidR="008968A0" w:rsidRPr="008968A0" w:rsidRDefault="00DB6A4C" w:rsidP="008968A0">
            <w:pPr>
              <w:spacing w:before="40" w:after="40" w:line="240" w:lineRule="auto"/>
              <w:jc w:val="right"/>
              <w:rPr>
                <w:rFonts w:cs="Arial"/>
                <w:color w:val="FFFFFF" w:themeColor="background1"/>
                <w:szCs w:val="24"/>
              </w:rPr>
            </w:pPr>
            <w:r>
              <w:rPr>
                <w:rFonts w:cs="Arial"/>
                <w:color w:val="FFFFFF" w:themeColor="background1"/>
                <w:szCs w:val="24"/>
              </w:rPr>
              <w:t>8.91</w:t>
            </w:r>
          </w:p>
        </w:tc>
        <w:tc>
          <w:tcPr>
            <w:tcW w:w="1269" w:type="dxa"/>
            <w:shd w:val="clear" w:color="auto" w:fill="E60000"/>
            <w:tcMar>
              <w:left w:w="57" w:type="dxa"/>
              <w:right w:w="57" w:type="dxa"/>
            </w:tcMar>
            <w:vAlign w:val="center"/>
          </w:tcPr>
          <w:p w14:paraId="3FB1518B" w14:textId="5C529185" w:rsidR="008968A0" w:rsidRPr="008968A0" w:rsidRDefault="00F96090" w:rsidP="008968A0">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tcPr>
          <w:p w14:paraId="10921CFD" w14:textId="01E49CB0" w:rsidR="008968A0" w:rsidRPr="008968A0" w:rsidRDefault="008968A0" w:rsidP="008968A0">
            <w:pPr>
              <w:spacing w:before="40" w:after="40" w:line="240" w:lineRule="auto"/>
              <w:jc w:val="center"/>
              <w:rPr>
                <w:rFonts w:ascii="Wingdings 3" w:hAnsi="Wingdings 3" w:cs="Arial"/>
                <w:b/>
                <w:bCs/>
                <w:color w:val="FFFFFF" w:themeColor="background1"/>
                <w:szCs w:val="24"/>
              </w:rPr>
            </w:pPr>
            <w:r w:rsidRPr="008968A0">
              <w:rPr>
                <w:rFonts w:ascii="Wingdings 3" w:hAnsi="Wingdings 3" w:cs="Arial"/>
                <w:b/>
                <w:bCs/>
                <w:color w:val="FFFFFF" w:themeColor="background1"/>
                <w:szCs w:val="24"/>
              </w:rPr>
              <w:t></w:t>
            </w:r>
          </w:p>
        </w:tc>
        <w:tc>
          <w:tcPr>
            <w:tcW w:w="0" w:type="auto"/>
            <w:shd w:val="clear" w:color="auto" w:fill="E60000"/>
            <w:vAlign w:val="center"/>
          </w:tcPr>
          <w:p w14:paraId="506EC111" w14:textId="204D6D09" w:rsidR="008968A0" w:rsidRPr="008968A0" w:rsidRDefault="008968A0" w:rsidP="008968A0">
            <w:pPr>
              <w:spacing w:before="40" w:after="40" w:line="240" w:lineRule="auto"/>
              <w:jc w:val="center"/>
              <w:rPr>
                <w:color w:val="FFFFFF" w:themeColor="background1"/>
              </w:rPr>
            </w:pPr>
            <w:r w:rsidRPr="008968A0">
              <w:rPr>
                <w:color w:val="FFFFFF" w:themeColor="background1"/>
              </w:rPr>
              <w:t>17</w:t>
            </w:r>
          </w:p>
        </w:tc>
      </w:tr>
      <w:tr w:rsidR="008968A0" w:rsidRPr="002B7E1B" w14:paraId="4AC87C7D" w14:textId="77777777" w:rsidTr="008968A0">
        <w:trPr>
          <w:trHeight w:val="255"/>
          <w:jc w:val="center"/>
        </w:trPr>
        <w:tc>
          <w:tcPr>
            <w:tcW w:w="0" w:type="auto"/>
            <w:shd w:val="clear" w:color="auto" w:fill="E60000"/>
            <w:tcMar>
              <w:left w:w="57" w:type="dxa"/>
              <w:right w:w="57" w:type="dxa"/>
            </w:tcMar>
            <w:vAlign w:val="center"/>
          </w:tcPr>
          <w:p w14:paraId="22824384" w14:textId="7ECAF252" w:rsidR="008968A0" w:rsidRPr="008968A0" w:rsidRDefault="008968A0" w:rsidP="008968A0">
            <w:pPr>
              <w:spacing w:before="40" w:after="40" w:line="240" w:lineRule="auto"/>
              <w:rPr>
                <w:rFonts w:cs="Arial"/>
                <w:color w:val="FFFFFF" w:themeColor="background1"/>
                <w:szCs w:val="24"/>
              </w:rPr>
            </w:pPr>
            <w:r w:rsidRPr="008968A0">
              <w:rPr>
                <w:rFonts w:cs="Arial"/>
                <w:color w:val="FFFFFF" w:themeColor="background1"/>
                <w:szCs w:val="24"/>
              </w:rPr>
              <w:t>12</w:t>
            </w:r>
          </w:p>
        </w:tc>
        <w:tc>
          <w:tcPr>
            <w:tcW w:w="4786" w:type="dxa"/>
            <w:shd w:val="clear" w:color="auto" w:fill="E60000"/>
            <w:noWrap/>
            <w:tcMar>
              <w:left w:w="57" w:type="dxa"/>
              <w:right w:w="57" w:type="dxa"/>
            </w:tcMar>
            <w:vAlign w:val="center"/>
          </w:tcPr>
          <w:p w14:paraId="7A64E216" w14:textId="27D657CD" w:rsidR="008968A0" w:rsidRPr="008968A0" w:rsidRDefault="008968A0" w:rsidP="008968A0">
            <w:pPr>
              <w:spacing w:before="40" w:after="40" w:line="240" w:lineRule="auto"/>
              <w:rPr>
                <w:rFonts w:cs="Arial"/>
                <w:color w:val="FFFFFF" w:themeColor="background1"/>
                <w:szCs w:val="24"/>
              </w:rPr>
            </w:pPr>
            <w:r w:rsidRPr="008968A0">
              <w:rPr>
                <w:rFonts w:cs="Arial"/>
                <w:color w:val="FFFFFF" w:themeColor="background1"/>
                <w:szCs w:val="24"/>
              </w:rPr>
              <w:t>Suicide/Attempts</w:t>
            </w:r>
          </w:p>
        </w:tc>
        <w:tc>
          <w:tcPr>
            <w:tcW w:w="928" w:type="dxa"/>
            <w:shd w:val="clear" w:color="auto" w:fill="E60000"/>
            <w:tcMar>
              <w:left w:w="57" w:type="dxa"/>
              <w:right w:w="57" w:type="dxa"/>
            </w:tcMar>
            <w:vAlign w:val="center"/>
          </w:tcPr>
          <w:p w14:paraId="0B425C9B" w14:textId="5865055F" w:rsidR="008968A0" w:rsidRPr="008968A0" w:rsidRDefault="00DB6A4C" w:rsidP="008968A0">
            <w:pPr>
              <w:spacing w:before="40" w:after="40" w:line="240" w:lineRule="auto"/>
              <w:jc w:val="right"/>
              <w:rPr>
                <w:rFonts w:cs="Arial"/>
                <w:color w:val="FFFFFF" w:themeColor="background1"/>
                <w:szCs w:val="24"/>
              </w:rPr>
            </w:pPr>
            <w:r>
              <w:rPr>
                <w:rFonts w:cs="Arial"/>
                <w:color w:val="FFFFFF" w:themeColor="background1"/>
                <w:szCs w:val="24"/>
              </w:rPr>
              <w:t>8.91</w:t>
            </w:r>
          </w:p>
        </w:tc>
        <w:tc>
          <w:tcPr>
            <w:tcW w:w="1269" w:type="dxa"/>
            <w:shd w:val="clear" w:color="auto" w:fill="E60000"/>
            <w:tcMar>
              <w:left w:w="57" w:type="dxa"/>
              <w:right w:w="57" w:type="dxa"/>
            </w:tcMar>
            <w:vAlign w:val="center"/>
          </w:tcPr>
          <w:p w14:paraId="0BE76E78" w14:textId="6486C764" w:rsidR="008968A0" w:rsidRPr="008968A0" w:rsidRDefault="00F96090" w:rsidP="008968A0">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vAlign w:val="center"/>
          </w:tcPr>
          <w:p w14:paraId="4885A1FF" w14:textId="4D5C0110" w:rsidR="008968A0" w:rsidRPr="008968A0" w:rsidRDefault="008968A0" w:rsidP="008968A0">
            <w:pPr>
              <w:spacing w:before="40" w:after="40" w:line="240" w:lineRule="auto"/>
              <w:jc w:val="center"/>
              <w:rPr>
                <w:rFonts w:ascii="Wingdings 3" w:hAnsi="Wingdings 3" w:cs="Arial"/>
                <w:b/>
                <w:bCs/>
                <w:color w:val="FFFFFF" w:themeColor="background1"/>
                <w:szCs w:val="24"/>
              </w:rPr>
            </w:pPr>
            <w:r w:rsidRPr="008968A0">
              <w:rPr>
                <w:rFonts w:ascii="Wingdings 3" w:hAnsi="Wingdings 3" w:cs="Arial"/>
                <w:b/>
                <w:bCs/>
                <w:color w:val="FFFFFF" w:themeColor="background1"/>
                <w:szCs w:val="24"/>
              </w:rPr>
              <w:t></w:t>
            </w:r>
          </w:p>
        </w:tc>
        <w:tc>
          <w:tcPr>
            <w:tcW w:w="0" w:type="auto"/>
            <w:shd w:val="clear" w:color="auto" w:fill="E60000"/>
            <w:vAlign w:val="center"/>
          </w:tcPr>
          <w:p w14:paraId="49A49A83" w14:textId="5DA1A6FD" w:rsidR="008968A0" w:rsidRPr="008968A0" w:rsidRDefault="008968A0" w:rsidP="008968A0">
            <w:pPr>
              <w:spacing w:before="40" w:after="40" w:line="240" w:lineRule="auto"/>
              <w:jc w:val="center"/>
              <w:rPr>
                <w:rFonts w:cs="Arial"/>
                <w:color w:val="FFFFFF" w:themeColor="background1"/>
                <w:szCs w:val="24"/>
              </w:rPr>
            </w:pPr>
            <w:r w:rsidRPr="008968A0">
              <w:rPr>
                <w:color w:val="FFFFFF" w:themeColor="background1"/>
              </w:rPr>
              <w:t>24</w:t>
            </w:r>
          </w:p>
        </w:tc>
      </w:tr>
      <w:tr w:rsidR="008968A0" w:rsidRPr="002B7E1B" w14:paraId="33191F11" w14:textId="77777777" w:rsidTr="00227B6C">
        <w:trPr>
          <w:trHeight w:val="255"/>
          <w:jc w:val="center"/>
        </w:trPr>
        <w:tc>
          <w:tcPr>
            <w:tcW w:w="0" w:type="auto"/>
            <w:shd w:val="clear" w:color="auto" w:fill="E60000"/>
            <w:tcMar>
              <w:left w:w="57" w:type="dxa"/>
              <w:right w:w="57" w:type="dxa"/>
            </w:tcMar>
            <w:vAlign w:val="center"/>
          </w:tcPr>
          <w:p w14:paraId="62F7200D" w14:textId="760A0F66" w:rsidR="008968A0" w:rsidRPr="00227B6C" w:rsidRDefault="008968A0" w:rsidP="008968A0">
            <w:pPr>
              <w:spacing w:before="40" w:after="40" w:line="240" w:lineRule="auto"/>
              <w:rPr>
                <w:rFonts w:cs="Arial"/>
                <w:color w:val="FFFFFF" w:themeColor="background1"/>
                <w:szCs w:val="24"/>
              </w:rPr>
            </w:pPr>
            <w:r w:rsidRPr="00227B6C">
              <w:rPr>
                <w:rFonts w:cs="Arial"/>
                <w:color w:val="FFFFFF" w:themeColor="background1"/>
                <w:szCs w:val="24"/>
              </w:rPr>
              <w:t>13</w:t>
            </w:r>
          </w:p>
        </w:tc>
        <w:tc>
          <w:tcPr>
            <w:tcW w:w="4786" w:type="dxa"/>
            <w:shd w:val="clear" w:color="auto" w:fill="E60000"/>
            <w:noWrap/>
            <w:tcMar>
              <w:left w:w="57" w:type="dxa"/>
              <w:right w:w="57" w:type="dxa"/>
            </w:tcMar>
            <w:vAlign w:val="center"/>
          </w:tcPr>
          <w:p w14:paraId="3D956BF6" w14:textId="7AFDAF97" w:rsidR="008968A0" w:rsidRPr="00227B6C" w:rsidRDefault="008968A0" w:rsidP="008968A0">
            <w:pPr>
              <w:spacing w:before="40" w:after="40" w:line="240" w:lineRule="auto"/>
              <w:rPr>
                <w:rFonts w:cs="Arial"/>
                <w:color w:val="FFFFFF" w:themeColor="background1"/>
                <w:szCs w:val="24"/>
              </w:rPr>
            </w:pPr>
            <w:r w:rsidRPr="00227B6C">
              <w:rPr>
                <w:rFonts w:cs="Arial"/>
                <w:color w:val="FFFFFF" w:themeColor="background1"/>
                <w:szCs w:val="24"/>
              </w:rPr>
              <w:t>High Rise Fires</w:t>
            </w:r>
          </w:p>
        </w:tc>
        <w:tc>
          <w:tcPr>
            <w:tcW w:w="928" w:type="dxa"/>
            <w:shd w:val="clear" w:color="auto" w:fill="E60000"/>
            <w:tcMar>
              <w:left w:w="57" w:type="dxa"/>
              <w:right w:w="57" w:type="dxa"/>
            </w:tcMar>
            <w:vAlign w:val="center"/>
          </w:tcPr>
          <w:p w14:paraId="285BA305" w14:textId="714637A7" w:rsidR="008968A0" w:rsidRPr="00227B6C" w:rsidRDefault="008968A0" w:rsidP="008968A0">
            <w:pPr>
              <w:spacing w:before="40" w:after="40" w:line="240" w:lineRule="auto"/>
              <w:jc w:val="right"/>
              <w:rPr>
                <w:rFonts w:cs="Arial"/>
                <w:color w:val="FFFFFF" w:themeColor="background1"/>
                <w:szCs w:val="24"/>
              </w:rPr>
            </w:pPr>
            <w:r w:rsidRPr="00227B6C">
              <w:rPr>
                <w:rFonts w:cs="Arial"/>
                <w:color w:val="FFFFFF" w:themeColor="background1"/>
                <w:szCs w:val="24"/>
              </w:rPr>
              <w:t>8.70</w:t>
            </w:r>
          </w:p>
        </w:tc>
        <w:tc>
          <w:tcPr>
            <w:tcW w:w="1269" w:type="dxa"/>
            <w:shd w:val="clear" w:color="auto" w:fill="E60000"/>
            <w:tcMar>
              <w:left w:w="57" w:type="dxa"/>
              <w:right w:w="57" w:type="dxa"/>
            </w:tcMar>
            <w:vAlign w:val="center"/>
          </w:tcPr>
          <w:p w14:paraId="5E89CACF" w14:textId="2DD1EEFD" w:rsidR="008968A0" w:rsidRPr="00227B6C" w:rsidRDefault="008968A0" w:rsidP="008968A0">
            <w:pPr>
              <w:spacing w:before="40" w:after="40" w:line="240" w:lineRule="auto"/>
              <w:rPr>
                <w:rFonts w:cs="Arial"/>
                <w:color w:val="FFFFFF" w:themeColor="background1"/>
                <w:szCs w:val="24"/>
              </w:rPr>
            </w:pPr>
            <w:r w:rsidRPr="00227B6C">
              <w:rPr>
                <w:rFonts w:cs="Arial"/>
                <w:color w:val="FFFFFF" w:themeColor="background1"/>
                <w:szCs w:val="24"/>
              </w:rPr>
              <w:t>Very High</w:t>
            </w:r>
          </w:p>
        </w:tc>
        <w:tc>
          <w:tcPr>
            <w:tcW w:w="0" w:type="auto"/>
            <w:shd w:val="clear" w:color="auto" w:fill="E60000"/>
            <w:tcMar>
              <w:left w:w="57" w:type="dxa"/>
              <w:right w:w="57" w:type="dxa"/>
            </w:tcMar>
          </w:tcPr>
          <w:p w14:paraId="673658CA" w14:textId="3D9F4043" w:rsidR="008968A0" w:rsidRPr="00227B6C" w:rsidRDefault="008968A0" w:rsidP="008968A0">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hint="eastAsia"/>
                <w:b/>
                <w:bCs/>
                <w:color w:val="FFFFFF" w:themeColor="background1"/>
                <w:szCs w:val="24"/>
              </w:rPr>
              <w:t>¬</w:t>
            </w:r>
          </w:p>
        </w:tc>
        <w:tc>
          <w:tcPr>
            <w:tcW w:w="0" w:type="auto"/>
            <w:shd w:val="clear" w:color="auto" w:fill="E60000"/>
            <w:vAlign w:val="center"/>
          </w:tcPr>
          <w:p w14:paraId="2AF9254F" w14:textId="0E2D4B64" w:rsidR="008968A0" w:rsidRDefault="008968A0" w:rsidP="008968A0">
            <w:pPr>
              <w:spacing w:before="40" w:after="40" w:line="240" w:lineRule="auto"/>
              <w:jc w:val="center"/>
              <w:rPr>
                <w:rFonts w:cs="Arial"/>
                <w:color w:val="FFFFFF" w:themeColor="background1"/>
                <w:szCs w:val="24"/>
              </w:rPr>
            </w:pPr>
            <w:r w:rsidRPr="00227B6C">
              <w:rPr>
                <w:color w:val="FFFFFF" w:themeColor="background1"/>
              </w:rPr>
              <w:t>13</w:t>
            </w:r>
          </w:p>
        </w:tc>
      </w:tr>
      <w:tr w:rsidR="008968A0" w:rsidRPr="002B7E1B" w14:paraId="009B3809" w14:textId="77777777" w:rsidTr="00F96090">
        <w:trPr>
          <w:trHeight w:val="255"/>
          <w:jc w:val="center"/>
        </w:trPr>
        <w:tc>
          <w:tcPr>
            <w:tcW w:w="0" w:type="auto"/>
            <w:shd w:val="clear" w:color="auto" w:fill="FFC000"/>
            <w:tcMar>
              <w:left w:w="57" w:type="dxa"/>
              <w:right w:w="57" w:type="dxa"/>
            </w:tcMar>
            <w:vAlign w:val="center"/>
          </w:tcPr>
          <w:p w14:paraId="2F079E16" w14:textId="013DED49" w:rsidR="008968A0" w:rsidRPr="00F96090" w:rsidRDefault="008968A0" w:rsidP="008968A0">
            <w:pPr>
              <w:spacing w:before="40" w:after="40" w:line="240" w:lineRule="auto"/>
              <w:rPr>
                <w:rFonts w:cs="Arial"/>
                <w:szCs w:val="24"/>
              </w:rPr>
            </w:pPr>
            <w:r w:rsidRPr="00F96090">
              <w:rPr>
                <w:rFonts w:cs="Arial"/>
                <w:szCs w:val="24"/>
              </w:rPr>
              <w:t>14</w:t>
            </w:r>
          </w:p>
        </w:tc>
        <w:tc>
          <w:tcPr>
            <w:tcW w:w="4786" w:type="dxa"/>
            <w:shd w:val="clear" w:color="auto" w:fill="FFC000"/>
            <w:noWrap/>
            <w:tcMar>
              <w:left w:w="57" w:type="dxa"/>
              <w:right w:w="57" w:type="dxa"/>
            </w:tcMar>
            <w:vAlign w:val="center"/>
          </w:tcPr>
          <w:p w14:paraId="52488A42" w14:textId="0008E81D" w:rsidR="008968A0" w:rsidRPr="00F96090" w:rsidRDefault="008968A0" w:rsidP="008968A0">
            <w:pPr>
              <w:spacing w:before="40" w:after="40" w:line="240" w:lineRule="auto"/>
              <w:rPr>
                <w:rFonts w:cs="Arial"/>
                <w:szCs w:val="24"/>
              </w:rPr>
            </w:pPr>
            <w:r w:rsidRPr="00F96090">
              <w:rPr>
                <w:rFonts w:cs="Arial"/>
                <w:szCs w:val="24"/>
              </w:rPr>
              <w:t>Hazardous Material Incident (Minor)</w:t>
            </w:r>
          </w:p>
        </w:tc>
        <w:tc>
          <w:tcPr>
            <w:tcW w:w="928" w:type="dxa"/>
            <w:shd w:val="clear" w:color="auto" w:fill="FFC000"/>
            <w:tcMar>
              <w:left w:w="57" w:type="dxa"/>
              <w:right w:w="57" w:type="dxa"/>
            </w:tcMar>
            <w:vAlign w:val="center"/>
          </w:tcPr>
          <w:p w14:paraId="43ECDEC4" w14:textId="70BD4B9E" w:rsidR="008968A0" w:rsidRPr="00F96090" w:rsidRDefault="008968A0" w:rsidP="008968A0">
            <w:pPr>
              <w:spacing w:before="40" w:after="40" w:line="240" w:lineRule="auto"/>
              <w:jc w:val="right"/>
              <w:rPr>
                <w:rFonts w:cs="Arial"/>
                <w:szCs w:val="24"/>
              </w:rPr>
            </w:pPr>
            <w:r w:rsidRPr="00F96090">
              <w:rPr>
                <w:rFonts w:cs="Arial"/>
                <w:szCs w:val="24"/>
              </w:rPr>
              <w:t>8.25</w:t>
            </w:r>
          </w:p>
        </w:tc>
        <w:tc>
          <w:tcPr>
            <w:tcW w:w="1269" w:type="dxa"/>
            <w:shd w:val="clear" w:color="auto" w:fill="FFC000"/>
            <w:tcMar>
              <w:left w:w="57" w:type="dxa"/>
              <w:right w:w="57" w:type="dxa"/>
            </w:tcMar>
            <w:vAlign w:val="center"/>
          </w:tcPr>
          <w:p w14:paraId="712AE868" w14:textId="290AD740" w:rsidR="008968A0" w:rsidRPr="00F96090" w:rsidRDefault="008968A0" w:rsidP="008968A0">
            <w:pPr>
              <w:spacing w:before="40" w:after="40" w:line="240" w:lineRule="auto"/>
              <w:rPr>
                <w:rFonts w:cs="Arial"/>
                <w:szCs w:val="24"/>
              </w:rPr>
            </w:pPr>
            <w:r w:rsidRPr="00F96090">
              <w:rPr>
                <w:rFonts w:cs="Arial"/>
                <w:szCs w:val="24"/>
              </w:rPr>
              <w:t>High</w:t>
            </w:r>
          </w:p>
        </w:tc>
        <w:tc>
          <w:tcPr>
            <w:tcW w:w="0" w:type="auto"/>
            <w:shd w:val="clear" w:color="auto" w:fill="FFC000"/>
            <w:tcMar>
              <w:left w:w="57" w:type="dxa"/>
              <w:right w:w="57" w:type="dxa"/>
            </w:tcMar>
          </w:tcPr>
          <w:p w14:paraId="1622CA81" w14:textId="28C37488" w:rsidR="008968A0" w:rsidRPr="00F96090" w:rsidRDefault="008968A0" w:rsidP="008968A0">
            <w:pPr>
              <w:spacing w:before="40" w:after="40" w:line="240" w:lineRule="auto"/>
              <w:jc w:val="center"/>
              <w:rPr>
                <w:rFonts w:ascii="Wingdings 3" w:hAnsi="Wingdings 3" w:cs="Arial"/>
                <w:b/>
                <w:bCs/>
                <w:szCs w:val="24"/>
              </w:rPr>
            </w:pPr>
            <w:r w:rsidRPr="00F96090">
              <w:rPr>
                <w:rFonts w:ascii="Wingdings 3" w:hAnsi="Wingdings 3" w:cs="Arial"/>
                <w:b/>
                <w:bCs/>
                <w:szCs w:val="24"/>
              </w:rPr>
              <w:t></w:t>
            </w:r>
          </w:p>
        </w:tc>
        <w:tc>
          <w:tcPr>
            <w:tcW w:w="0" w:type="auto"/>
            <w:shd w:val="clear" w:color="auto" w:fill="FFC000"/>
            <w:vAlign w:val="center"/>
          </w:tcPr>
          <w:p w14:paraId="4FBF7FEB" w14:textId="66A90927" w:rsidR="008968A0" w:rsidRPr="00F96090" w:rsidRDefault="008968A0" w:rsidP="008968A0">
            <w:pPr>
              <w:spacing w:before="40" w:after="40" w:line="240" w:lineRule="auto"/>
              <w:jc w:val="center"/>
              <w:rPr>
                <w:rFonts w:cs="Arial"/>
                <w:szCs w:val="24"/>
              </w:rPr>
            </w:pPr>
            <w:r w:rsidRPr="00F96090">
              <w:t>15</w:t>
            </w:r>
          </w:p>
        </w:tc>
      </w:tr>
      <w:tr w:rsidR="00F96090" w:rsidRPr="002B7E1B" w14:paraId="25FAD2D5" w14:textId="3336F922" w:rsidTr="00764DA4">
        <w:trPr>
          <w:trHeight w:val="255"/>
          <w:jc w:val="center"/>
        </w:trPr>
        <w:tc>
          <w:tcPr>
            <w:tcW w:w="0" w:type="auto"/>
            <w:shd w:val="clear" w:color="auto" w:fill="FFC000"/>
            <w:tcMar>
              <w:left w:w="57" w:type="dxa"/>
              <w:right w:w="57" w:type="dxa"/>
            </w:tcMar>
            <w:vAlign w:val="center"/>
          </w:tcPr>
          <w:p w14:paraId="5B2F23EE" w14:textId="50F30BA7" w:rsidR="00F96090" w:rsidRPr="00394179" w:rsidRDefault="00F96090" w:rsidP="00F96090">
            <w:pPr>
              <w:spacing w:before="40" w:after="40" w:line="240" w:lineRule="auto"/>
              <w:rPr>
                <w:rFonts w:eastAsia="Times New Roman" w:cs="Arial"/>
                <w:szCs w:val="24"/>
                <w:lang w:eastAsia="en-GB"/>
              </w:rPr>
            </w:pPr>
            <w:r w:rsidRPr="00394179">
              <w:rPr>
                <w:rFonts w:eastAsia="Times New Roman" w:cs="Arial"/>
                <w:szCs w:val="24"/>
                <w:lang w:eastAsia="en-GB"/>
              </w:rPr>
              <w:t>15</w:t>
            </w:r>
          </w:p>
        </w:tc>
        <w:tc>
          <w:tcPr>
            <w:tcW w:w="4786" w:type="dxa"/>
            <w:shd w:val="clear" w:color="auto" w:fill="FFC000"/>
            <w:noWrap/>
            <w:tcMar>
              <w:left w:w="57" w:type="dxa"/>
              <w:right w:w="57" w:type="dxa"/>
            </w:tcMar>
            <w:vAlign w:val="center"/>
          </w:tcPr>
          <w:p w14:paraId="3A824B1D" w14:textId="0A8D9255" w:rsidR="00F96090" w:rsidRPr="00394179" w:rsidRDefault="00F96090" w:rsidP="00F96090">
            <w:pPr>
              <w:spacing w:before="40" w:after="40" w:line="240" w:lineRule="auto"/>
              <w:rPr>
                <w:rFonts w:eastAsia="Times New Roman" w:cs="Arial"/>
                <w:szCs w:val="24"/>
                <w:lang w:eastAsia="en-GB"/>
              </w:rPr>
            </w:pPr>
            <w:r w:rsidRPr="00394179">
              <w:rPr>
                <w:rFonts w:cs="Arial"/>
                <w:szCs w:val="24"/>
              </w:rPr>
              <w:t>Hazardous Material Incident (Major)</w:t>
            </w:r>
          </w:p>
        </w:tc>
        <w:tc>
          <w:tcPr>
            <w:tcW w:w="928" w:type="dxa"/>
            <w:shd w:val="clear" w:color="auto" w:fill="FFC000"/>
            <w:tcMar>
              <w:left w:w="57" w:type="dxa"/>
              <w:right w:w="57" w:type="dxa"/>
            </w:tcMar>
            <w:vAlign w:val="center"/>
          </w:tcPr>
          <w:p w14:paraId="3388665C" w14:textId="38ED42D7" w:rsidR="00F96090" w:rsidRPr="00394179" w:rsidRDefault="00DB6A4C" w:rsidP="00F96090">
            <w:pPr>
              <w:spacing w:before="40" w:after="40" w:line="240" w:lineRule="auto"/>
              <w:jc w:val="right"/>
              <w:rPr>
                <w:rFonts w:eastAsia="Times New Roman" w:cs="Arial"/>
                <w:szCs w:val="24"/>
                <w:lang w:eastAsia="en-GB"/>
              </w:rPr>
            </w:pPr>
            <w:r>
              <w:rPr>
                <w:rFonts w:cs="Arial"/>
                <w:szCs w:val="24"/>
              </w:rPr>
              <w:t>8.16</w:t>
            </w:r>
          </w:p>
        </w:tc>
        <w:tc>
          <w:tcPr>
            <w:tcW w:w="1269" w:type="dxa"/>
            <w:shd w:val="clear" w:color="auto" w:fill="FFC000"/>
            <w:tcMar>
              <w:left w:w="57" w:type="dxa"/>
              <w:right w:w="57" w:type="dxa"/>
            </w:tcMar>
          </w:tcPr>
          <w:p w14:paraId="12CBB490" w14:textId="4D4BEF08" w:rsidR="00F96090" w:rsidRPr="00394179" w:rsidRDefault="00F96090" w:rsidP="00F96090">
            <w:pPr>
              <w:spacing w:before="40" w:after="40" w:line="240" w:lineRule="auto"/>
              <w:rPr>
                <w:rFonts w:cs="Arial"/>
                <w:szCs w:val="24"/>
              </w:rPr>
            </w:pPr>
            <w:r w:rsidRPr="009318A3">
              <w:rPr>
                <w:rFonts w:cs="Arial"/>
                <w:szCs w:val="24"/>
              </w:rPr>
              <w:t>High</w:t>
            </w:r>
          </w:p>
        </w:tc>
        <w:tc>
          <w:tcPr>
            <w:tcW w:w="0" w:type="auto"/>
            <w:shd w:val="clear" w:color="auto" w:fill="FFC000"/>
            <w:tcMar>
              <w:left w:w="57" w:type="dxa"/>
              <w:right w:w="57" w:type="dxa"/>
            </w:tcMar>
          </w:tcPr>
          <w:p w14:paraId="2BDAA353" w14:textId="544981DF" w:rsidR="00F96090" w:rsidRPr="00394179" w:rsidRDefault="00F96090" w:rsidP="00F96090">
            <w:pPr>
              <w:spacing w:before="40" w:after="40" w:line="240" w:lineRule="auto"/>
              <w:jc w:val="center"/>
              <w:rPr>
                <w:rFonts w:ascii="Wingdings 3" w:hAnsi="Wingdings 3" w:cs="Arial"/>
                <w:b/>
                <w:bCs/>
                <w:szCs w:val="24"/>
              </w:rPr>
            </w:pPr>
            <w:r w:rsidRPr="00394179">
              <w:rPr>
                <w:rFonts w:ascii="Wingdings 3" w:hAnsi="Wingdings 3" w:cs="Arial" w:hint="eastAsia"/>
                <w:b/>
                <w:bCs/>
                <w:szCs w:val="24"/>
              </w:rPr>
              <w:t> </w:t>
            </w:r>
          </w:p>
        </w:tc>
        <w:tc>
          <w:tcPr>
            <w:tcW w:w="0" w:type="auto"/>
            <w:shd w:val="clear" w:color="auto" w:fill="FFC000"/>
            <w:vAlign w:val="center"/>
          </w:tcPr>
          <w:p w14:paraId="5F0056C8" w14:textId="0A0C5789" w:rsidR="00F96090" w:rsidRPr="00394179" w:rsidRDefault="00F96090" w:rsidP="00F96090">
            <w:pPr>
              <w:spacing w:before="40" w:after="40" w:line="240" w:lineRule="auto"/>
              <w:jc w:val="center"/>
              <w:rPr>
                <w:rFonts w:cs="Arial"/>
                <w:szCs w:val="24"/>
              </w:rPr>
            </w:pPr>
            <w:r w:rsidRPr="00394179">
              <w:rPr>
                <w:rFonts w:cs="Arial"/>
                <w:szCs w:val="24"/>
              </w:rPr>
              <w:t>9</w:t>
            </w:r>
          </w:p>
        </w:tc>
      </w:tr>
      <w:tr w:rsidR="00F96090" w:rsidRPr="002B7E1B" w14:paraId="623E01C6" w14:textId="77777777" w:rsidTr="00764DA4">
        <w:trPr>
          <w:trHeight w:val="255"/>
          <w:jc w:val="center"/>
        </w:trPr>
        <w:tc>
          <w:tcPr>
            <w:tcW w:w="0" w:type="auto"/>
            <w:shd w:val="clear" w:color="auto" w:fill="FFC000"/>
            <w:tcMar>
              <w:left w:w="57" w:type="dxa"/>
              <w:right w:w="57" w:type="dxa"/>
            </w:tcMar>
            <w:vAlign w:val="center"/>
          </w:tcPr>
          <w:p w14:paraId="35C2C9F4" w14:textId="5D369BE8" w:rsidR="00F96090" w:rsidRPr="00394179" w:rsidRDefault="00F96090" w:rsidP="00F96090">
            <w:pPr>
              <w:spacing w:before="40" w:after="40" w:line="240" w:lineRule="auto"/>
              <w:rPr>
                <w:rFonts w:cs="Arial"/>
                <w:szCs w:val="24"/>
              </w:rPr>
            </w:pPr>
            <w:r w:rsidRPr="00394179">
              <w:rPr>
                <w:rFonts w:cs="Arial"/>
                <w:szCs w:val="24"/>
              </w:rPr>
              <w:t>16</w:t>
            </w:r>
          </w:p>
        </w:tc>
        <w:tc>
          <w:tcPr>
            <w:tcW w:w="4786" w:type="dxa"/>
            <w:shd w:val="clear" w:color="auto" w:fill="FFC000"/>
            <w:noWrap/>
            <w:tcMar>
              <w:left w:w="57" w:type="dxa"/>
              <w:right w:w="57" w:type="dxa"/>
            </w:tcMar>
            <w:vAlign w:val="center"/>
          </w:tcPr>
          <w:p w14:paraId="0CCA5389" w14:textId="13080626" w:rsidR="00F96090" w:rsidRPr="00394179" w:rsidRDefault="00F96090" w:rsidP="00F96090">
            <w:pPr>
              <w:spacing w:before="40" w:after="40" w:line="240" w:lineRule="auto"/>
              <w:rPr>
                <w:rFonts w:cs="Arial"/>
                <w:szCs w:val="24"/>
              </w:rPr>
            </w:pPr>
            <w:r w:rsidRPr="00394179">
              <w:rPr>
                <w:rFonts w:cs="Arial"/>
                <w:szCs w:val="24"/>
              </w:rPr>
              <w:t>Building Under Construction Fires</w:t>
            </w:r>
          </w:p>
        </w:tc>
        <w:tc>
          <w:tcPr>
            <w:tcW w:w="928" w:type="dxa"/>
            <w:shd w:val="clear" w:color="auto" w:fill="FFC000"/>
            <w:tcMar>
              <w:left w:w="57" w:type="dxa"/>
              <w:right w:w="57" w:type="dxa"/>
            </w:tcMar>
            <w:vAlign w:val="center"/>
          </w:tcPr>
          <w:p w14:paraId="48F36398" w14:textId="35E0A4BD" w:rsidR="00F96090" w:rsidRPr="00394179" w:rsidRDefault="00F96090" w:rsidP="00F96090">
            <w:pPr>
              <w:spacing w:before="40" w:after="40" w:line="240" w:lineRule="auto"/>
              <w:jc w:val="right"/>
              <w:rPr>
                <w:rFonts w:cs="Arial"/>
                <w:szCs w:val="24"/>
              </w:rPr>
            </w:pPr>
            <w:r w:rsidRPr="00394179">
              <w:rPr>
                <w:rFonts w:cs="Arial"/>
                <w:szCs w:val="24"/>
              </w:rPr>
              <w:t>7.76</w:t>
            </w:r>
          </w:p>
        </w:tc>
        <w:tc>
          <w:tcPr>
            <w:tcW w:w="1269" w:type="dxa"/>
            <w:shd w:val="clear" w:color="auto" w:fill="FFC000"/>
            <w:tcMar>
              <w:left w:w="57" w:type="dxa"/>
              <w:right w:w="57" w:type="dxa"/>
            </w:tcMar>
          </w:tcPr>
          <w:p w14:paraId="3C409A3B" w14:textId="15851AEA" w:rsidR="00F96090" w:rsidRPr="00394179" w:rsidRDefault="00F96090" w:rsidP="00F96090">
            <w:pPr>
              <w:spacing w:before="40" w:after="40" w:line="240" w:lineRule="auto"/>
              <w:rPr>
                <w:rFonts w:cs="Arial"/>
                <w:szCs w:val="24"/>
              </w:rPr>
            </w:pPr>
            <w:r w:rsidRPr="009318A3">
              <w:rPr>
                <w:rFonts w:cs="Arial"/>
                <w:szCs w:val="24"/>
              </w:rPr>
              <w:t>High</w:t>
            </w:r>
          </w:p>
        </w:tc>
        <w:tc>
          <w:tcPr>
            <w:tcW w:w="0" w:type="auto"/>
            <w:shd w:val="clear" w:color="auto" w:fill="FFC000"/>
            <w:tcMar>
              <w:left w:w="57" w:type="dxa"/>
              <w:right w:w="57" w:type="dxa"/>
            </w:tcMar>
          </w:tcPr>
          <w:p w14:paraId="1569A560" w14:textId="18B2B8EF" w:rsidR="00F96090" w:rsidRPr="00394179" w:rsidRDefault="00F96090" w:rsidP="00F96090">
            <w:pPr>
              <w:spacing w:before="40" w:after="40" w:line="240" w:lineRule="auto"/>
              <w:jc w:val="center"/>
              <w:rPr>
                <w:rFonts w:ascii="Wingdings 3" w:hAnsi="Wingdings 3" w:cs="Arial"/>
                <w:b/>
                <w:bCs/>
                <w:szCs w:val="24"/>
              </w:rPr>
            </w:pPr>
            <w:r w:rsidRPr="00394179">
              <w:rPr>
                <w:rFonts w:ascii="Wingdings 3" w:hAnsi="Wingdings 3" w:cs="Arial" w:hint="eastAsia"/>
                <w:b/>
                <w:bCs/>
                <w:szCs w:val="24"/>
              </w:rPr>
              <w:t>¬</w:t>
            </w:r>
          </w:p>
        </w:tc>
        <w:tc>
          <w:tcPr>
            <w:tcW w:w="0" w:type="auto"/>
            <w:shd w:val="clear" w:color="auto" w:fill="FFC000"/>
            <w:vAlign w:val="center"/>
          </w:tcPr>
          <w:p w14:paraId="10FA027C" w14:textId="1B6D5B41" w:rsidR="00F96090" w:rsidRPr="00394179" w:rsidRDefault="00F96090" w:rsidP="00F96090">
            <w:pPr>
              <w:spacing w:before="40" w:after="40" w:line="240" w:lineRule="auto"/>
              <w:jc w:val="center"/>
            </w:pPr>
            <w:r w:rsidRPr="00394179">
              <w:t>16</w:t>
            </w:r>
          </w:p>
        </w:tc>
      </w:tr>
      <w:tr w:rsidR="00F96090" w:rsidRPr="002B7E1B" w14:paraId="119CA477" w14:textId="77777777" w:rsidTr="00764DA4">
        <w:trPr>
          <w:trHeight w:val="255"/>
          <w:jc w:val="center"/>
        </w:trPr>
        <w:tc>
          <w:tcPr>
            <w:tcW w:w="0" w:type="auto"/>
            <w:shd w:val="clear" w:color="auto" w:fill="FFC000"/>
            <w:tcMar>
              <w:left w:w="57" w:type="dxa"/>
              <w:right w:w="57" w:type="dxa"/>
            </w:tcMar>
            <w:vAlign w:val="center"/>
          </w:tcPr>
          <w:p w14:paraId="625F1538" w14:textId="1366A905" w:rsidR="00F96090" w:rsidRPr="00227B6C" w:rsidRDefault="00F96090" w:rsidP="00F96090">
            <w:pPr>
              <w:spacing w:before="40" w:after="40" w:line="240" w:lineRule="auto"/>
              <w:rPr>
                <w:rFonts w:cs="Arial"/>
                <w:color w:val="FFFFFF" w:themeColor="background1"/>
                <w:szCs w:val="24"/>
              </w:rPr>
            </w:pPr>
            <w:r w:rsidRPr="00227B6C">
              <w:rPr>
                <w:rFonts w:cs="Arial"/>
                <w:color w:val="000000"/>
                <w:szCs w:val="24"/>
              </w:rPr>
              <w:t>1</w:t>
            </w:r>
            <w:r>
              <w:rPr>
                <w:rFonts w:cs="Arial"/>
                <w:color w:val="000000"/>
                <w:szCs w:val="24"/>
              </w:rPr>
              <w:t>7</w:t>
            </w:r>
          </w:p>
        </w:tc>
        <w:tc>
          <w:tcPr>
            <w:tcW w:w="4786" w:type="dxa"/>
            <w:shd w:val="clear" w:color="auto" w:fill="FFC000"/>
            <w:noWrap/>
            <w:tcMar>
              <w:left w:w="57" w:type="dxa"/>
              <w:right w:w="57" w:type="dxa"/>
            </w:tcMar>
            <w:vAlign w:val="center"/>
          </w:tcPr>
          <w:p w14:paraId="74BDE8FF" w14:textId="7BA40325" w:rsidR="00F96090" w:rsidRPr="00227B6C" w:rsidRDefault="00F96090" w:rsidP="00F96090">
            <w:pPr>
              <w:spacing w:before="40" w:after="40" w:line="240" w:lineRule="auto"/>
              <w:rPr>
                <w:rFonts w:cs="Arial"/>
                <w:color w:val="FFFFFF" w:themeColor="background1"/>
                <w:szCs w:val="24"/>
              </w:rPr>
            </w:pPr>
            <w:r w:rsidRPr="00227B6C">
              <w:rPr>
                <w:rFonts w:cs="Arial"/>
                <w:color w:val="000000"/>
                <w:szCs w:val="24"/>
              </w:rPr>
              <w:t>Removal of Objects from People</w:t>
            </w:r>
          </w:p>
        </w:tc>
        <w:tc>
          <w:tcPr>
            <w:tcW w:w="928" w:type="dxa"/>
            <w:shd w:val="clear" w:color="auto" w:fill="FFC000"/>
            <w:tcMar>
              <w:left w:w="57" w:type="dxa"/>
              <w:right w:w="57" w:type="dxa"/>
            </w:tcMar>
            <w:vAlign w:val="center"/>
          </w:tcPr>
          <w:p w14:paraId="34A06ECE" w14:textId="5E19ACD6" w:rsidR="00F96090" w:rsidRPr="00227B6C" w:rsidRDefault="00F96090" w:rsidP="00F96090">
            <w:pPr>
              <w:spacing w:before="40" w:after="40" w:line="240" w:lineRule="auto"/>
              <w:jc w:val="right"/>
              <w:rPr>
                <w:rFonts w:cs="Arial"/>
                <w:color w:val="FFFFFF" w:themeColor="background1"/>
                <w:szCs w:val="24"/>
              </w:rPr>
            </w:pPr>
            <w:r w:rsidRPr="00227B6C">
              <w:rPr>
                <w:rFonts w:cs="Arial"/>
                <w:color w:val="000000"/>
                <w:szCs w:val="24"/>
              </w:rPr>
              <w:t>7.67</w:t>
            </w:r>
          </w:p>
        </w:tc>
        <w:tc>
          <w:tcPr>
            <w:tcW w:w="1269" w:type="dxa"/>
            <w:shd w:val="clear" w:color="auto" w:fill="FFC000"/>
            <w:tcMar>
              <w:left w:w="57" w:type="dxa"/>
              <w:right w:w="57" w:type="dxa"/>
            </w:tcMar>
          </w:tcPr>
          <w:p w14:paraId="09C7AB88" w14:textId="26331775" w:rsidR="00F96090" w:rsidRPr="00227B6C" w:rsidRDefault="00F96090" w:rsidP="00F96090">
            <w:pPr>
              <w:spacing w:before="40" w:after="40" w:line="240" w:lineRule="auto"/>
              <w:rPr>
                <w:rFonts w:cs="Arial"/>
                <w:color w:val="FFFFFF" w:themeColor="background1"/>
                <w:szCs w:val="24"/>
              </w:rPr>
            </w:pPr>
            <w:r w:rsidRPr="009318A3">
              <w:rPr>
                <w:rFonts w:cs="Arial"/>
                <w:szCs w:val="24"/>
              </w:rPr>
              <w:t>High</w:t>
            </w:r>
          </w:p>
        </w:tc>
        <w:tc>
          <w:tcPr>
            <w:tcW w:w="0" w:type="auto"/>
            <w:shd w:val="clear" w:color="auto" w:fill="FFC000"/>
            <w:tcMar>
              <w:left w:w="57" w:type="dxa"/>
              <w:right w:w="57" w:type="dxa"/>
            </w:tcMar>
          </w:tcPr>
          <w:p w14:paraId="4C0C39F3" w14:textId="43CC6843" w:rsidR="00F96090" w:rsidRPr="00227B6C" w:rsidRDefault="00F96090" w:rsidP="00F96090">
            <w:pPr>
              <w:spacing w:before="40" w:after="40" w:line="240" w:lineRule="auto"/>
              <w:jc w:val="center"/>
              <w:rPr>
                <w:rFonts w:ascii="Wingdings 3" w:hAnsi="Wingdings 3" w:cs="Arial"/>
                <w:b/>
                <w:bCs/>
                <w:color w:val="FFFFFF" w:themeColor="background1"/>
                <w:szCs w:val="24"/>
              </w:rPr>
            </w:pPr>
            <w:r w:rsidRPr="00227B6C">
              <w:rPr>
                <w:rFonts w:ascii="Wingdings 3" w:hAnsi="Wingdings 3" w:cs="Arial"/>
                <w:b/>
                <w:bCs/>
                <w:szCs w:val="24"/>
              </w:rPr>
              <w:t></w:t>
            </w:r>
          </w:p>
        </w:tc>
        <w:tc>
          <w:tcPr>
            <w:tcW w:w="0" w:type="auto"/>
            <w:shd w:val="clear" w:color="auto" w:fill="FFC000"/>
            <w:vAlign w:val="center"/>
          </w:tcPr>
          <w:p w14:paraId="0C180C4D" w14:textId="7CB8E8D4" w:rsidR="00F96090" w:rsidRPr="00227B6C" w:rsidRDefault="00F96090" w:rsidP="00F96090">
            <w:pPr>
              <w:spacing w:before="40" w:after="40" w:line="240" w:lineRule="auto"/>
              <w:jc w:val="center"/>
              <w:rPr>
                <w:color w:val="FFFFFF" w:themeColor="background1"/>
              </w:rPr>
            </w:pPr>
            <w:r w:rsidRPr="008B726B">
              <w:t>18</w:t>
            </w:r>
          </w:p>
        </w:tc>
      </w:tr>
      <w:tr w:rsidR="00F96090" w:rsidRPr="002B7E1B" w14:paraId="35C700BB" w14:textId="77777777" w:rsidTr="00764DA4">
        <w:trPr>
          <w:trHeight w:val="255"/>
          <w:jc w:val="center"/>
        </w:trPr>
        <w:tc>
          <w:tcPr>
            <w:tcW w:w="0" w:type="auto"/>
            <w:shd w:val="clear" w:color="auto" w:fill="FFC000"/>
            <w:tcMar>
              <w:left w:w="57" w:type="dxa"/>
              <w:right w:w="57" w:type="dxa"/>
            </w:tcMar>
            <w:vAlign w:val="center"/>
          </w:tcPr>
          <w:p w14:paraId="255D7948" w14:textId="22B34E85" w:rsidR="00F96090" w:rsidRPr="00394179" w:rsidRDefault="00F96090" w:rsidP="00F96090">
            <w:pPr>
              <w:spacing w:before="40" w:after="40" w:line="240" w:lineRule="auto"/>
              <w:rPr>
                <w:rFonts w:cs="Arial"/>
                <w:szCs w:val="24"/>
              </w:rPr>
            </w:pPr>
            <w:r w:rsidRPr="00394179">
              <w:rPr>
                <w:rFonts w:cs="Arial"/>
                <w:szCs w:val="24"/>
              </w:rPr>
              <w:t>18</w:t>
            </w:r>
          </w:p>
        </w:tc>
        <w:tc>
          <w:tcPr>
            <w:tcW w:w="4786" w:type="dxa"/>
            <w:shd w:val="clear" w:color="auto" w:fill="FFC000"/>
            <w:noWrap/>
            <w:tcMar>
              <w:left w:w="57" w:type="dxa"/>
              <w:right w:w="57" w:type="dxa"/>
            </w:tcMar>
            <w:vAlign w:val="center"/>
          </w:tcPr>
          <w:p w14:paraId="0E02861E" w14:textId="66F2CC00" w:rsidR="00F96090" w:rsidRPr="00394179" w:rsidRDefault="00F96090" w:rsidP="00F96090">
            <w:pPr>
              <w:spacing w:before="40" w:after="40" w:line="240" w:lineRule="auto"/>
              <w:rPr>
                <w:rFonts w:cs="Arial"/>
                <w:szCs w:val="24"/>
              </w:rPr>
            </w:pPr>
            <w:r w:rsidRPr="00394179">
              <w:rPr>
                <w:rFonts w:cs="Arial"/>
                <w:szCs w:val="24"/>
              </w:rPr>
              <w:t>Rescue from Height</w:t>
            </w:r>
          </w:p>
        </w:tc>
        <w:tc>
          <w:tcPr>
            <w:tcW w:w="928" w:type="dxa"/>
            <w:shd w:val="clear" w:color="auto" w:fill="FFC000"/>
            <w:tcMar>
              <w:left w:w="57" w:type="dxa"/>
              <w:right w:w="57" w:type="dxa"/>
            </w:tcMar>
            <w:vAlign w:val="center"/>
          </w:tcPr>
          <w:p w14:paraId="11DFE0E7" w14:textId="09FD4AB7" w:rsidR="00F96090" w:rsidRPr="00394179" w:rsidRDefault="00DB6A4C" w:rsidP="00F96090">
            <w:pPr>
              <w:spacing w:before="40" w:after="40" w:line="240" w:lineRule="auto"/>
              <w:jc w:val="right"/>
              <w:rPr>
                <w:rFonts w:cs="Arial"/>
                <w:szCs w:val="24"/>
              </w:rPr>
            </w:pPr>
            <w:r>
              <w:rPr>
                <w:rFonts w:cs="Arial"/>
                <w:szCs w:val="24"/>
              </w:rPr>
              <w:t>7.49</w:t>
            </w:r>
          </w:p>
        </w:tc>
        <w:tc>
          <w:tcPr>
            <w:tcW w:w="1269" w:type="dxa"/>
            <w:shd w:val="clear" w:color="auto" w:fill="FFC000"/>
            <w:tcMar>
              <w:left w:w="57" w:type="dxa"/>
              <w:right w:w="57" w:type="dxa"/>
            </w:tcMar>
          </w:tcPr>
          <w:p w14:paraId="54C3B3A4" w14:textId="5346D2FD" w:rsidR="00F96090" w:rsidRPr="00394179" w:rsidRDefault="00F96090" w:rsidP="00F96090">
            <w:pPr>
              <w:spacing w:before="40" w:after="40" w:line="240" w:lineRule="auto"/>
              <w:rPr>
                <w:rFonts w:cs="Arial"/>
                <w:szCs w:val="24"/>
              </w:rPr>
            </w:pPr>
            <w:r w:rsidRPr="009318A3">
              <w:rPr>
                <w:rFonts w:cs="Arial"/>
                <w:szCs w:val="24"/>
              </w:rPr>
              <w:t>High</w:t>
            </w:r>
          </w:p>
        </w:tc>
        <w:tc>
          <w:tcPr>
            <w:tcW w:w="0" w:type="auto"/>
            <w:shd w:val="clear" w:color="auto" w:fill="FFC000"/>
            <w:tcMar>
              <w:left w:w="57" w:type="dxa"/>
              <w:right w:w="57" w:type="dxa"/>
            </w:tcMar>
          </w:tcPr>
          <w:p w14:paraId="72CF7D7B" w14:textId="37381B8F" w:rsidR="00F96090" w:rsidRPr="00394179" w:rsidRDefault="00F96090" w:rsidP="00F96090">
            <w:pPr>
              <w:spacing w:before="40" w:after="40" w:line="240" w:lineRule="auto"/>
              <w:jc w:val="center"/>
              <w:rPr>
                <w:rFonts w:ascii="Wingdings 3" w:hAnsi="Wingdings 3" w:cs="Arial"/>
                <w:b/>
                <w:bCs/>
                <w:szCs w:val="24"/>
              </w:rPr>
            </w:pPr>
            <w:r w:rsidRPr="00394179">
              <w:rPr>
                <w:rFonts w:ascii="Wingdings 3" w:hAnsi="Wingdings 3" w:cs="Arial" w:hint="eastAsia"/>
                <w:b/>
                <w:bCs/>
                <w:szCs w:val="24"/>
              </w:rPr>
              <w:t> </w:t>
            </w:r>
          </w:p>
        </w:tc>
        <w:tc>
          <w:tcPr>
            <w:tcW w:w="0" w:type="auto"/>
            <w:shd w:val="clear" w:color="auto" w:fill="FFC000"/>
            <w:vAlign w:val="center"/>
          </w:tcPr>
          <w:p w14:paraId="1D0DCEE6" w14:textId="7E85FB36" w:rsidR="00F96090" w:rsidRPr="00394179" w:rsidRDefault="00F96090" w:rsidP="00F96090">
            <w:pPr>
              <w:spacing w:before="40" w:after="40" w:line="240" w:lineRule="auto"/>
              <w:jc w:val="center"/>
            </w:pPr>
            <w:r w:rsidRPr="00394179">
              <w:t>14</w:t>
            </w:r>
          </w:p>
        </w:tc>
      </w:tr>
      <w:tr w:rsidR="00F96090" w:rsidRPr="002B7E1B" w14:paraId="7B1CF5AC" w14:textId="77777777" w:rsidTr="00764DA4">
        <w:trPr>
          <w:trHeight w:val="255"/>
          <w:jc w:val="center"/>
        </w:trPr>
        <w:tc>
          <w:tcPr>
            <w:tcW w:w="0" w:type="auto"/>
            <w:shd w:val="clear" w:color="auto" w:fill="FFC000"/>
            <w:tcMar>
              <w:left w:w="57" w:type="dxa"/>
              <w:right w:w="57" w:type="dxa"/>
            </w:tcMar>
            <w:vAlign w:val="center"/>
          </w:tcPr>
          <w:p w14:paraId="61AFB141" w14:textId="3F98B295" w:rsidR="00F96090" w:rsidRPr="00D20008" w:rsidRDefault="00F96090" w:rsidP="00F96090">
            <w:pPr>
              <w:spacing w:before="40" w:after="40" w:line="240" w:lineRule="auto"/>
              <w:rPr>
                <w:rFonts w:cs="Arial"/>
                <w:szCs w:val="24"/>
              </w:rPr>
            </w:pPr>
            <w:r w:rsidRPr="00D20008">
              <w:rPr>
                <w:rFonts w:cs="Arial"/>
                <w:szCs w:val="24"/>
              </w:rPr>
              <w:t>19</w:t>
            </w:r>
          </w:p>
        </w:tc>
        <w:tc>
          <w:tcPr>
            <w:tcW w:w="4786" w:type="dxa"/>
            <w:shd w:val="clear" w:color="auto" w:fill="FFC000"/>
            <w:noWrap/>
            <w:tcMar>
              <w:left w:w="57" w:type="dxa"/>
              <w:right w:w="57" w:type="dxa"/>
            </w:tcMar>
            <w:vAlign w:val="center"/>
          </w:tcPr>
          <w:p w14:paraId="2C2FE5BA" w14:textId="1AEBB260" w:rsidR="00F96090" w:rsidRPr="00D20008" w:rsidRDefault="00F96090" w:rsidP="00F96090">
            <w:pPr>
              <w:spacing w:before="40" w:after="40" w:line="240" w:lineRule="auto"/>
              <w:rPr>
                <w:rFonts w:cs="Arial"/>
                <w:szCs w:val="24"/>
              </w:rPr>
            </w:pPr>
            <w:r w:rsidRPr="00D20008">
              <w:rPr>
                <w:rFonts w:cs="Arial"/>
                <w:szCs w:val="24"/>
              </w:rPr>
              <w:t>Waste Disposal Site Fires</w:t>
            </w:r>
          </w:p>
        </w:tc>
        <w:tc>
          <w:tcPr>
            <w:tcW w:w="928" w:type="dxa"/>
            <w:shd w:val="clear" w:color="auto" w:fill="FFC000"/>
            <w:tcMar>
              <w:left w:w="57" w:type="dxa"/>
              <w:right w:w="57" w:type="dxa"/>
            </w:tcMar>
            <w:vAlign w:val="center"/>
          </w:tcPr>
          <w:p w14:paraId="448CE59D" w14:textId="5D434D43" w:rsidR="00F96090" w:rsidRPr="00D20008" w:rsidRDefault="00DB6A4C" w:rsidP="00F96090">
            <w:pPr>
              <w:spacing w:before="40" w:after="40" w:line="240" w:lineRule="auto"/>
              <w:jc w:val="right"/>
              <w:rPr>
                <w:rFonts w:cs="Arial"/>
                <w:szCs w:val="24"/>
              </w:rPr>
            </w:pPr>
            <w:r>
              <w:rPr>
                <w:rFonts w:cs="Arial"/>
                <w:szCs w:val="24"/>
              </w:rPr>
              <w:t>7.45</w:t>
            </w:r>
          </w:p>
        </w:tc>
        <w:tc>
          <w:tcPr>
            <w:tcW w:w="1269" w:type="dxa"/>
            <w:shd w:val="clear" w:color="auto" w:fill="FFC000"/>
            <w:tcMar>
              <w:left w:w="57" w:type="dxa"/>
              <w:right w:w="57" w:type="dxa"/>
            </w:tcMar>
          </w:tcPr>
          <w:p w14:paraId="6C519817" w14:textId="6216EF0E" w:rsidR="00F96090" w:rsidRPr="00D20008" w:rsidRDefault="00F96090" w:rsidP="00F96090">
            <w:pPr>
              <w:spacing w:before="40" w:after="40" w:line="240" w:lineRule="auto"/>
              <w:rPr>
                <w:rFonts w:cs="Arial"/>
                <w:szCs w:val="24"/>
              </w:rPr>
            </w:pPr>
            <w:r w:rsidRPr="009318A3">
              <w:rPr>
                <w:rFonts w:cs="Arial"/>
                <w:szCs w:val="24"/>
              </w:rPr>
              <w:t>High</w:t>
            </w:r>
          </w:p>
        </w:tc>
        <w:tc>
          <w:tcPr>
            <w:tcW w:w="0" w:type="auto"/>
            <w:shd w:val="clear" w:color="auto" w:fill="FFC000"/>
            <w:tcMar>
              <w:left w:w="57" w:type="dxa"/>
              <w:right w:w="57" w:type="dxa"/>
            </w:tcMar>
          </w:tcPr>
          <w:p w14:paraId="1144A551" w14:textId="09EA4B5B" w:rsidR="00F96090" w:rsidRPr="00D20008" w:rsidRDefault="00F96090" w:rsidP="00F96090">
            <w:pPr>
              <w:spacing w:before="40" w:after="40" w:line="240" w:lineRule="auto"/>
              <w:jc w:val="center"/>
              <w:rPr>
                <w:rFonts w:ascii="Wingdings 3" w:hAnsi="Wingdings 3" w:cs="Arial"/>
                <w:b/>
                <w:bCs/>
                <w:szCs w:val="24"/>
              </w:rPr>
            </w:pPr>
            <w:r w:rsidRPr="00D20008">
              <w:rPr>
                <w:rFonts w:ascii="Wingdings 3" w:hAnsi="Wingdings 3" w:cs="Arial" w:hint="eastAsia"/>
                <w:b/>
                <w:bCs/>
                <w:szCs w:val="24"/>
              </w:rPr>
              <w:t> </w:t>
            </w:r>
          </w:p>
        </w:tc>
        <w:tc>
          <w:tcPr>
            <w:tcW w:w="0" w:type="auto"/>
            <w:shd w:val="clear" w:color="auto" w:fill="FFC000"/>
            <w:vAlign w:val="center"/>
          </w:tcPr>
          <w:p w14:paraId="1186CAC1" w14:textId="7C59917C" w:rsidR="00F96090" w:rsidRPr="00D20008" w:rsidRDefault="00F96090" w:rsidP="00F96090">
            <w:pPr>
              <w:spacing w:before="40" w:after="40" w:line="240" w:lineRule="auto"/>
              <w:jc w:val="center"/>
            </w:pPr>
            <w:r w:rsidRPr="00D20008">
              <w:t>12</w:t>
            </w:r>
          </w:p>
        </w:tc>
      </w:tr>
      <w:tr w:rsidR="00D20008" w:rsidRPr="002B7E1B" w14:paraId="71ACA1F1" w14:textId="77777777" w:rsidTr="00D20008">
        <w:trPr>
          <w:trHeight w:val="255"/>
          <w:jc w:val="center"/>
        </w:trPr>
        <w:tc>
          <w:tcPr>
            <w:tcW w:w="0" w:type="auto"/>
            <w:shd w:val="clear" w:color="auto" w:fill="FFC000"/>
            <w:tcMar>
              <w:left w:w="57" w:type="dxa"/>
              <w:right w:w="57" w:type="dxa"/>
            </w:tcMar>
            <w:vAlign w:val="center"/>
          </w:tcPr>
          <w:p w14:paraId="05669230" w14:textId="18B027FF" w:rsidR="00D20008" w:rsidRPr="00D20008" w:rsidRDefault="00D20008" w:rsidP="00D20008">
            <w:pPr>
              <w:spacing w:before="40" w:after="40" w:line="240" w:lineRule="auto"/>
              <w:rPr>
                <w:rFonts w:cs="Arial"/>
                <w:szCs w:val="24"/>
              </w:rPr>
            </w:pPr>
            <w:r>
              <w:rPr>
                <w:rFonts w:cs="Arial"/>
                <w:szCs w:val="24"/>
              </w:rPr>
              <w:t>20</w:t>
            </w:r>
          </w:p>
        </w:tc>
        <w:tc>
          <w:tcPr>
            <w:tcW w:w="4786" w:type="dxa"/>
            <w:shd w:val="clear" w:color="auto" w:fill="FFC000"/>
            <w:noWrap/>
            <w:tcMar>
              <w:left w:w="57" w:type="dxa"/>
              <w:right w:w="57" w:type="dxa"/>
            </w:tcMar>
            <w:vAlign w:val="center"/>
          </w:tcPr>
          <w:p w14:paraId="4B02E10D" w14:textId="1DC6DEA0" w:rsidR="00D20008" w:rsidRPr="00D20008" w:rsidRDefault="00D20008" w:rsidP="00D20008">
            <w:pPr>
              <w:spacing w:before="40" w:after="40" w:line="240" w:lineRule="auto"/>
              <w:rPr>
                <w:rFonts w:cs="Arial"/>
                <w:szCs w:val="24"/>
              </w:rPr>
            </w:pPr>
            <w:r w:rsidRPr="00227B6C">
              <w:rPr>
                <w:rFonts w:cs="Arial"/>
                <w:color w:val="000000"/>
                <w:szCs w:val="24"/>
              </w:rPr>
              <w:t>Removal of People from Objects</w:t>
            </w:r>
          </w:p>
        </w:tc>
        <w:tc>
          <w:tcPr>
            <w:tcW w:w="928" w:type="dxa"/>
            <w:shd w:val="clear" w:color="auto" w:fill="FFC000"/>
            <w:tcMar>
              <w:left w:w="57" w:type="dxa"/>
              <w:right w:w="57" w:type="dxa"/>
            </w:tcMar>
            <w:vAlign w:val="center"/>
          </w:tcPr>
          <w:p w14:paraId="4880909B" w14:textId="7157747E" w:rsidR="00D20008" w:rsidRPr="00D20008" w:rsidRDefault="00D20008" w:rsidP="00D20008">
            <w:pPr>
              <w:spacing w:before="40" w:after="40" w:line="240" w:lineRule="auto"/>
              <w:jc w:val="right"/>
              <w:rPr>
                <w:rFonts w:cs="Arial"/>
                <w:szCs w:val="24"/>
              </w:rPr>
            </w:pPr>
            <w:r w:rsidRPr="00227B6C">
              <w:rPr>
                <w:rFonts w:cs="Arial"/>
                <w:color w:val="000000"/>
                <w:szCs w:val="24"/>
              </w:rPr>
              <w:t>7.17</w:t>
            </w:r>
          </w:p>
        </w:tc>
        <w:tc>
          <w:tcPr>
            <w:tcW w:w="1269" w:type="dxa"/>
            <w:shd w:val="clear" w:color="auto" w:fill="FFC000"/>
            <w:tcMar>
              <w:left w:w="57" w:type="dxa"/>
              <w:right w:w="57" w:type="dxa"/>
            </w:tcMar>
            <w:vAlign w:val="center"/>
          </w:tcPr>
          <w:p w14:paraId="07385ED5" w14:textId="431CF3D8" w:rsidR="00D20008" w:rsidRPr="00D20008" w:rsidRDefault="00D20008" w:rsidP="00D20008">
            <w:pPr>
              <w:spacing w:before="40" w:after="40" w:line="240" w:lineRule="auto"/>
              <w:rPr>
                <w:rFonts w:cs="Arial"/>
                <w:szCs w:val="24"/>
              </w:rPr>
            </w:pPr>
            <w:r w:rsidRPr="00227B6C">
              <w:rPr>
                <w:rFonts w:cs="Arial"/>
                <w:color w:val="000000"/>
                <w:szCs w:val="24"/>
              </w:rPr>
              <w:t>High</w:t>
            </w:r>
          </w:p>
        </w:tc>
        <w:tc>
          <w:tcPr>
            <w:tcW w:w="0" w:type="auto"/>
            <w:shd w:val="clear" w:color="auto" w:fill="FFC000"/>
            <w:tcMar>
              <w:left w:w="57" w:type="dxa"/>
              <w:right w:w="57" w:type="dxa"/>
            </w:tcMar>
          </w:tcPr>
          <w:p w14:paraId="189AC0A9" w14:textId="40644690" w:rsidR="00D20008" w:rsidRPr="00D20008" w:rsidRDefault="00D20008" w:rsidP="00D20008">
            <w:pPr>
              <w:spacing w:before="40" w:after="40" w:line="240" w:lineRule="auto"/>
              <w:jc w:val="center"/>
              <w:rPr>
                <w:rFonts w:ascii="Wingdings 3" w:hAnsi="Wingdings 3" w:cs="Arial"/>
                <w:b/>
                <w:bCs/>
                <w:szCs w:val="24"/>
              </w:rPr>
            </w:pPr>
            <w:r w:rsidRPr="00D20008">
              <w:rPr>
                <w:rFonts w:ascii="Wingdings 3" w:hAnsi="Wingdings 3" w:cs="Arial" w:hint="eastAsia"/>
                <w:b/>
                <w:bCs/>
                <w:szCs w:val="24"/>
              </w:rPr>
              <w:t> </w:t>
            </w:r>
          </w:p>
        </w:tc>
        <w:tc>
          <w:tcPr>
            <w:tcW w:w="0" w:type="auto"/>
            <w:shd w:val="clear" w:color="auto" w:fill="FFC000"/>
            <w:vAlign w:val="center"/>
          </w:tcPr>
          <w:p w14:paraId="03DDDE7A" w14:textId="0E00967F" w:rsidR="00D20008" w:rsidRPr="00D20008" w:rsidRDefault="00D20008" w:rsidP="00D20008">
            <w:pPr>
              <w:spacing w:before="40" w:after="40" w:line="240" w:lineRule="auto"/>
              <w:jc w:val="center"/>
            </w:pPr>
            <w:r w:rsidRPr="008B726B">
              <w:t>19</w:t>
            </w:r>
          </w:p>
        </w:tc>
      </w:tr>
      <w:tr w:rsidR="00D20008" w:rsidRPr="002B7E1B" w14:paraId="362AE389" w14:textId="1C8FB6EE" w:rsidTr="00227B6C">
        <w:trPr>
          <w:trHeight w:val="255"/>
          <w:jc w:val="center"/>
        </w:trPr>
        <w:tc>
          <w:tcPr>
            <w:tcW w:w="0" w:type="auto"/>
            <w:shd w:val="clear" w:color="auto" w:fill="FFC000"/>
            <w:tcMar>
              <w:left w:w="57" w:type="dxa"/>
              <w:right w:w="57" w:type="dxa"/>
            </w:tcMar>
            <w:vAlign w:val="center"/>
          </w:tcPr>
          <w:p w14:paraId="0E409739" w14:textId="57D04352" w:rsidR="00D20008" w:rsidRPr="00227B6C" w:rsidRDefault="00D20008" w:rsidP="00D20008">
            <w:pPr>
              <w:spacing w:before="40" w:after="40" w:line="240" w:lineRule="auto"/>
              <w:rPr>
                <w:rFonts w:eastAsia="Times New Roman" w:cs="Arial"/>
                <w:szCs w:val="24"/>
                <w:lang w:eastAsia="en-GB"/>
              </w:rPr>
            </w:pPr>
            <w:r w:rsidRPr="00227B6C">
              <w:rPr>
                <w:rFonts w:cs="Arial"/>
                <w:color w:val="000000"/>
                <w:szCs w:val="24"/>
              </w:rPr>
              <w:t>2</w:t>
            </w:r>
            <w:r>
              <w:rPr>
                <w:rFonts w:cs="Arial"/>
                <w:color w:val="000000"/>
                <w:szCs w:val="24"/>
              </w:rPr>
              <w:t>1</w:t>
            </w:r>
          </w:p>
        </w:tc>
        <w:tc>
          <w:tcPr>
            <w:tcW w:w="4786" w:type="dxa"/>
            <w:shd w:val="clear" w:color="auto" w:fill="FFC000"/>
            <w:noWrap/>
            <w:tcMar>
              <w:left w:w="57" w:type="dxa"/>
              <w:right w:w="57" w:type="dxa"/>
            </w:tcMar>
            <w:vAlign w:val="center"/>
          </w:tcPr>
          <w:p w14:paraId="5EF62219" w14:textId="77777777" w:rsidR="00D20008" w:rsidRPr="00227B6C" w:rsidRDefault="00D20008" w:rsidP="00D20008">
            <w:pPr>
              <w:spacing w:before="40" w:after="40" w:line="240" w:lineRule="auto"/>
              <w:rPr>
                <w:rFonts w:eastAsia="Times New Roman" w:cs="Arial"/>
                <w:szCs w:val="24"/>
                <w:lang w:eastAsia="en-GB"/>
              </w:rPr>
            </w:pPr>
            <w:r w:rsidRPr="00227B6C">
              <w:rPr>
                <w:rFonts w:cs="Arial"/>
                <w:color w:val="000000"/>
                <w:szCs w:val="24"/>
              </w:rPr>
              <w:t>Animal Rescue</w:t>
            </w:r>
          </w:p>
        </w:tc>
        <w:tc>
          <w:tcPr>
            <w:tcW w:w="928" w:type="dxa"/>
            <w:shd w:val="clear" w:color="auto" w:fill="FFC000"/>
            <w:tcMar>
              <w:left w:w="57" w:type="dxa"/>
              <w:right w:w="57" w:type="dxa"/>
            </w:tcMar>
            <w:vAlign w:val="center"/>
          </w:tcPr>
          <w:p w14:paraId="2387025C" w14:textId="77777777" w:rsidR="00D20008" w:rsidRPr="00227B6C" w:rsidRDefault="00D20008" w:rsidP="00D20008">
            <w:pPr>
              <w:spacing w:before="40" w:after="40" w:line="240" w:lineRule="auto"/>
              <w:jc w:val="right"/>
              <w:rPr>
                <w:rFonts w:eastAsia="Times New Roman" w:cs="Arial"/>
                <w:szCs w:val="24"/>
                <w:lang w:eastAsia="en-GB"/>
              </w:rPr>
            </w:pPr>
            <w:r w:rsidRPr="00227B6C">
              <w:rPr>
                <w:rFonts w:cs="Arial"/>
                <w:color w:val="000000"/>
                <w:szCs w:val="24"/>
              </w:rPr>
              <w:t>7.17</w:t>
            </w:r>
          </w:p>
        </w:tc>
        <w:tc>
          <w:tcPr>
            <w:tcW w:w="1269" w:type="dxa"/>
            <w:shd w:val="clear" w:color="auto" w:fill="FFC000"/>
            <w:tcMar>
              <w:left w:w="57" w:type="dxa"/>
              <w:right w:w="57" w:type="dxa"/>
            </w:tcMar>
            <w:vAlign w:val="center"/>
          </w:tcPr>
          <w:p w14:paraId="0D723EC5" w14:textId="77777777" w:rsidR="00D20008" w:rsidRPr="00227B6C" w:rsidRDefault="00D20008" w:rsidP="00D20008">
            <w:pPr>
              <w:spacing w:before="40" w:after="40" w:line="240" w:lineRule="auto"/>
              <w:rPr>
                <w:rFonts w:cs="Arial"/>
                <w:color w:val="000000"/>
                <w:szCs w:val="24"/>
              </w:rPr>
            </w:pPr>
            <w:r w:rsidRPr="00227B6C">
              <w:rPr>
                <w:rFonts w:cs="Arial"/>
                <w:color w:val="000000"/>
                <w:szCs w:val="24"/>
              </w:rPr>
              <w:t>High</w:t>
            </w:r>
          </w:p>
        </w:tc>
        <w:tc>
          <w:tcPr>
            <w:tcW w:w="0" w:type="auto"/>
            <w:shd w:val="clear" w:color="auto" w:fill="FFC000"/>
            <w:tcMar>
              <w:left w:w="57" w:type="dxa"/>
              <w:right w:w="57" w:type="dxa"/>
            </w:tcMar>
          </w:tcPr>
          <w:p w14:paraId="72DEB9A5" w14:textId="0A64E2A0" w:rsidR="00D20008" w:rsidRPr="00227B6C" w:rsidRDefault="00D20008" w:rsidP="00D20008">
            <w:pPr>
              <w:autoSpaceDE w:val="0"/>
              <w:autoSpaceDN w:val="0"/>
              <w:adjustRightInd w:val="0"/>
              <w:spacing w:before="40" w:after="40" w:line="240" w:lineRule="auto"/>
              <w:jc w:val="center"/>
              <w:rPr>
                <w:rFonts w:ascii="Wingdings 3" w:hAnsi="Wingdings 3" w:cs="Arial"/>
                <w:b/>
                <w:bCs/>
                <w:color w:val="000000"/>
                <w:szCs w:val="24"/>
              </w:rPr>
            </w:pPr>
            <w:r w:rsidRPr="00D20008">
              <w:rPr>
                <w:rFonts w:ascii="Wingdings 3" w:hAnsi="Wingdings 3" w:cs="Arial" w:hint="eastAsia"/>
                <w:b/>
                <w:bCs/>
                <w:szCs w:val="24"/>
              </w:rPr>
              <w:t> </w:t>
            </w:r>
          </w:p>
        </w:tc>
        <w:tc>
          <w:tcPr>
            <w:tcW w:w="0" w:type="auto"/>
            <w:shd w:val="clear" w:color="auto" w:fill="FFC000"/>
            <w:vAlign w:val="center"/>
          </w:tcPr>
          <w:p w14:paraId="50699855" w14:textId="335EA5E9" w:rsidR="00D20008" w:rsidRPr="00227B6C" w:rsidRDefault="00D20008" w:rsidP="00D20008">
            <w:pPr>
              <w:autoSpaceDE w:val="0"/>
              <w:autoSpaceDN w:val="0"/>
              <w:adjustRightInd w:val="0"/>
              <w:spacing w:before="40" w:after="40" w:line="240" w:lineRule="auto"/>
              <w:jc w:val="center"/>
              <w:rPr>
                <w:rFonts w:cs="Arial"/>
                <w:color w:val="000000"/>
                <w:szCs w:val="24"/>
              </w:rPr>
            </w:pPr>
            <w:r w:rsidRPr="008B726B">
              <w:t>20</w:t>
            </w:r>
          </w:p>
        </w:tc>
      </w:tr>
      <w:tr w:rsidR="00D20008" w:rsidRPr="002B7E1B" w14:paraId="7756FCA9" w14:textId="7E05E6D7" w:rsidTr="00227B6C">
        <w:trPr>
          <w:trHeight w:val="255"/>
          <w:jc w:val="center"/>
        </w:trPr>
        <w:tc>
          <w:tcPr>
            <w:tcW w:w="0" w:type="auto"/>
            <w:shd w:val="clear" w:color="auto" w:fill="FFC000"/>
            <w:tcMar>
              <w:left w:w="57" w:type="dxa"/>
              <w:right w:w="57" w:type="dxa"/>
            </w:tcMar>
            <w:vAlign w:val="center"/>
          </w:tcPr>
          <w:p w14:paraId="2667BFF6" w14:textId="7F85F83A" w:rsidR="00D20008" w:rsidRPr="00227B6C" w:rsidRDefault="00D20008" w:rsidP="00D20008">
            <w:pPr>
              <w:spacing w:before="40" w:after="40" w:line="240" w:lineRule="auto"/>
              <w:rPr>
                <w:rFonts w:eastAsia="Times New Roman" w:cs="Arial"/>
                <w:szCs w:val="24"/>
                <w:lang w:eastAsia="en-GB"/>
              </w:rPr>
            </w:pPr>
            <w:r w:rsidRPr="00227B6C">
              <w:rPr>
                <w:rFonts w:cs="Arial"/>
                <w:color w:val="000000"/>
                <w:szCs w:val="24"/>
              </w:rPr>
              <w:t>2</w:t>
            </w:r>
            <w:r>
              <w:rPr>
                <w:rFonts w:cs="Arial"/>
                <w:color w:val="000000"/>
                <w:szCs w:val="24"/>
              </w:rPr>
              <w:t>2</w:t>
            </w:r>
          </w:p>
        </w:tc>
        <w:tc>
          <w:tcPr>
            <w:tcW w:w="4786" w:type="dxa"/>
            <w:shd w:val="clear" w:color="auto" w:fill="FFC000"/>
            <w:noWrap/>
            <w:tcMar>
              <w:left w:w="57" w:type="dxa"/>
              <w:right w:w="57" w:type="dxa"/>
            </w:tcMar>
            <w:vAlign w:val="center"/>
          </w:tcPr>
          <w:p w14:paraId="753BF4E4" w14:textId="77777777" w:rsidR="00D20008" w:rsidRPr="00227B6C" w:rsidRDefault="00D20008" w:rsidP="00D20008">
            <w:pPr>
              <w:spacing w:before="40" w:after="40" w:line="240" w:lineRule="auto"/>
              <w:rPr>
                <w:rFonts w:eastAsia="Times New Roman" w:cs="Arial"/>
                <w:szCs w:val="24"/>
                <w:lang w:eastAsia="en-GB"/>
              </w:rPr>
            </w:pPr>
            <w:r w:rsidRPr="00227B6C">
              <w:rPr>
                <w:rFonts w:cs="Arial"/>
                <w:color w:val="000000"/>
                <w:szCs w:val="24"/>
              </w:rPr>
              <w:t>Other Transport Fires (Air, Boat, Train)</w:t>
            </w:r>
          </w:p>
        </w:tc>
        <w:tc>
          <w:tcPr>
            <w:tcW w:w="928" w:type="dxa"/>
            <w:shd w:val="clear" w:color="auto" w:fill="FFC000"/>
            <w:tcMar>
              <w:left w:w="57" w:type="dxa"/>
              <w:right w:w="57" w:type="dxa"/>
            </w:tcMar>
            <w:vAlign w:val="center"/>
          </w:tcPr>
          <w:p w14:paraId="182EB555" w14:textId="77777777" w:rsidR="00D20008" w:rsidRPr="00227B6C" w:rsidRDefault="00D20008" w:rsidP="00D20008">
            <w:pPr>
              <w:spacing w:before="40" w:after="40" w:line="240" w:lineRule="auto"/>
              <w:jc w:val="right"/>
              <w:rPr>
                <w:rFonts w:eastAsia="Times New Roman" w:cs="Arial"/>
                <w:szCs w:val="24"/>
                <w:lang w:eastAsia="en-GB"/>
              </w:rPr>
            </w:pPr>
            <w:r w:rsidRPr="00227B6C">
              <w:rPr>
                <w:rFonts w:cs="Arial"/>
                <w:color w:val="000000"/>
                <w:szCs w:val="24"/>
              </w:rPr>
              <w:t>7.11</w:t>
            </w:r>
          </w:p>
        </w:tc>
        <w:tc>
          <w:tcPr>
            <w:tcW w:w="1269" w:type="dxa"/>
            <w:shd w:val="clear" w:color="auto" w:fill="FFC000"/>
            <w:tcMar>
              <w:left w:w="57" w:type="dxa"/>
              <w:right w:w="57" w:type="dxa"/>
            </w:tcMar>
            <w:vAlign w:val="center"/>
          </w:tcPr>
          <w:p w14:paraId="52EF43F0" w14:textId="77777777" w:rsidR="00D20008" w:rsidRPr="00227B6C" w:rsidRDefault="00D20008" w:rsidP="00D20008">
            <w:pPr>
              <w:spacing w:before="40" w:after="40" w:line="240" w:lineRule="auto"/>
              <w:rPr>
                <w:rFonts w:cs="Arial"/>
                <w:color w:val="000000"/>
                <w:szCs w:val="24"/>
              </w:rPr>
            </w:pPr>
            <w:r w:rsidRPr="00227B6C">
              <w:rPr>
                <w:rFonts w:cs="Arial"/>
                <w:color w:val="000000"/>
                <w:szCs w:val="24"/>
              </w:rPr>
              <w:t>High</w:t>
            </w:r>
          </w:p>
        </w:tc>
        <w:tc>
          <w:tcPr>
            <w:tcW w:w="0" w:type="auto"/>
            <w:shd w:val="clear" w:color="auto" w:fill="FFC000"/>
            <w:tcMar>
              <w:left w:w="57" w:type="dxa"/>
              <w:right w:w="57" w:type="dxa"/>
            </w:tcMar>
          </w:tcPr>
          <w:p w14:paraId="400E21A8" w14:textId="39FEED40" w:rsidR="00D20008" w:rsidRPr="00227B6C" w:rsidRDefault="00D20008" w:rsidP="00D20008">
            <w:pPr>
              <w:spacing w:before="40" w:after="40" w:line="240" w:lineRule="auto"/>
              <w:jc w:val="center"/>
              <w:rPr>
                <w:rFonts w:ascii="Wingdings 3" w:hAnsi="Wingdings 3" w:cs="Arial"/>
                <w:b/>
                <w:bCs/>
                <w:color w:val="000000"/>
                <w:szCs w:val="24"/>
              </w:rPr>
            </w:pPr>
            <w:r w:rsidRPr="00D20008">
              <w:rPr>
                <w:rFonts w:ascii="Wingdings 3" w:hAnsi="Wingdings 3" w:cs="Arial" w:hint="eastAsia"/>
                <w:b/>
                <w:bCs/>
                <w:szCs w:val="24"/>
              </w:rPr>
              <w:t> </w:t>
            </w:r>
          </w:p>
        </w:tc>
        <w:tc>
          <w:tcPr>
            <w:tcW w:w="0" w:type="auto"/>
            <w:shd w:val="clear" w:color="auto" w:fill="FFC000"/>
            <w:vAlign w:val="center"/>
          </w:tcPr>
          <w:p w14:paraId="4375D0DF" w14:textId="510FB063" w:rsidR="00D20008" w:rsidRPr="00227B6C" w:rsidRDefault="00D20008" w:rsidP="00D20008">
            <w:pPr>
              <w:spacing w:before="40" w:after="40" w:line="240" w:lineRule="auto"/>
              <w:jc w:val="center"/>
              <w:rPr>
                <w:rFonts w:cs="Arial"/>
                <w:color w:val="000000"/>
                <w:szCs w:val="24"/>
              </w:rPr>
            </w:pPr>
            <w:r w:rsidRPr="008B726B">
              <w:t>21</w:t>
            </w:r>
          </w:p>
        </w:tc>
      </w:tr>
      <w:tr w:rsidR="00D20008" w:rsidRPr="002B7E1B" w14:paraId="0D36DEE4" w14:textId="19DAE424" w:rsidTr="00227B6C">
        <w:trPr>
          <w:trHeight w:val="255"/>
          <w:jc w:val="center"/>
        </w:trPr>
        <w:tc>
          <w:tcPr>
            <w:tcW w:w="0" w:type="auto"/>
            <w:shd w:val="clear" w:color="auto" w:fill="FFC000"/>
            <w:tcMar>
              <w:left w:w="57" w:type="dxa"/>
              <w:right w:w="57" w:type="dxa"/>
            </w:tcMar>
            <w:vAlign w:val="center"/>
          </w:tcPr>
          <w:p w14:paraId="5F27DA80" w14:textId="16DBBF61" w:rsidR="00D20008" w:rsidRPr="00227B6C" w:rsidRDefault="00D20008" w:rsidP="00D20008">
            <w:pPr>
              <w:spacing w:before="40" w:after="40" w:line="240" w:lineRule="auto"/>
              <w:rPr>
                <w:rFonts w:eastAsia="Times New Roman" w:cs="Arial"/>
                <w:szCs w:val="24"/>
                <w:lang w:eastAsia="en-GB"/>
              </w:rPr>
            </w:pPr>
            <w:r w:rsidRPr="00227B6C">
              <w:rPr>
                <w:rFonts w:cs="Arial"/>
                <w:color w:val="000000"/>
                <w:szCs w:val="24"/>
              </w:rPr>
              <w:t>2</w:t>
            </w:r>
            <w:r>
              <w:rPr>
                <w:rFonts w:cs="Arial"/>
                <w:color w:val="000000"/>
                <w:szCs w:val="24"/>
              </w:rPr>
              <w:t>3</w:t>
            </w:r>
          </w:p>
        </w:tc>
        <w:tc>
          <w:tcPr>
            <w:tcW w:w="4786" w:type="dxa"/>
            <w:shd w:val="clear" w:color="auto" w:fill="FFC000"/>
            <w:noWrap/>
            <w:tcMar>
              <w:left w:w="57" w:type="dxa"/>
              <w:right w:w="57" w:type="dxa"/>
            </w:tcMar>
            <w:vAlign w:val="center"/>
          </w:tcPr>
          <w:p w14:paraId="16F64B20" w14:textId="77777777" w:rsidR="00D20008" w:rsidRPr="00227B6C" w:rsidRDefault="00D20008" w:rsidP="00D20008">
            <w:pPr>
              <w:spacing w:before="40" w:after="40" w:line="240" w:lineRule="auto"/>
              <w:rPr>
                <w:rFonts w:eastAsia="Times New Roman" w:cs="Arial"/>
                <w:szCs w:val="24"/>
                <w:lang w:eastAsia="en-GB"/>
              </w:rPr>
            </w:pPr>
            <w:r w:rsidRPr="00227B6C">
              <w:rPr>
                <w:rFonts w:cs="Arial"/>
                <w:color w:val="000000"/>
                <w:szCs w:val="24"/>
              </w:rPr>
              <w:t>Secondary Fires (ASB)</w:t>
            </w:r>
          </w:p>
        </w:tc>
        <w:tc>
          <w:tcPr>
            <w:tcW w:w="928" w:type="dxa"/>
            <w:shd w:val="clear" w:color="auto" w:fill="FFC000"/>
            <w:tcMar>
              <w:left w:w="57" w:type="dxa"/>
              <w:right w:w="57" w:type="dxa"/>
            </w:tcMar>
            <w:vAlign w:val="center"/>
          </w:tcPr>
          <w:p w14:paraId="01ACD050" w14:textId="77777777" w:rsidR="00D20008" w:rsidRPr="00227B6C" w:rsidRDefault="00D20008" w:rsidP="00D20008">
            <w:pPr>
              <w:spacing w:before="40" w:after="40" w:line="240" w:lineRule="auto"/>
              <w:jc w:val="right"/>
              <w:rPr>
                <w:rFonts w:eastAsia="Times New Roman" w:cs="Arial"/>
                <w:szCs w:val="24"/>
                <w:lang w:eastAsia="en-GB"/>
              </w:rPr>
            </w:pPr>
            <w:r w:rsidRPr="00227B6C">
              <w:rPr>
                <w:rFonts w:cs="Arial"/>
                <w:color w:val="000000"/>
                <w:szCs w:val="24"/>
              </w:rPr>
              <w:t>7.06</w:t>
            </w:r>
          </w:p>
        </w:tc>
        <w:tc>
          <w:tcPr>
            <w:tcW w:w="1269" w:type="dxa"/>
            <w:shd w:val="clear" w:color="auto" w:fill="FFC000"/>
            <w:tcMar>
              <w:left w:w="57" w:type="dxa"/>
              <w:right w:w="57" w:type="dxa"/>
            </w:tcMar>
            <w:vAlign w:val="center"/>
          </w:tcPr>
          <w:p w14:paraId="5DC03DB1" w14:textId="77777777" w:rsidR="00D20008" w:rsidRPr="00227B6C" w:rsidRDefault="00D20008" w:rsidP="00D20008">
            <w:pPr>
              <w:spacing w:before="40" w:after="40" w:line="240" w:lineRule="auto"/>
              <w:rPr>
                <w:rFonts w:cs="Arial"/>
                <w:color w:val="000000"/>
                <w:szCs w:val="24"/>
              </w:rPr>
            </w:pPr>
            <w:r w:rsidRPr="00227B6C">
              <w:rPr>
                <w:rFonts w:cs="Arial"/>
                <w:color w:val="000000"/>
                <w:szCs w:val="24"/>
              </w:rPr>
              <w:t>High</w:t>
            </w:r>
          </w:p>
        </w:tc>
        <w:tc>
          <w:tcPr>
            <w:tcW w:w="0" w:type="auto"/>
            <w:shd w:val="clear" w:color="auto" w:fill="FFC000"/>
            <w:tcMar>
              <w:left w:w="57" w:type="dxa"/>
              <w:right w:w="57" w:type="dxa"/>
            </w:tcMar>
          </w:tcPr>
          <w:p w14:paraId="330B84B9" w14:textId="311A2F4E" w:rsidR="00D20008" w:rsidRPr="00227B6C" w:rsidRDefault="00D20008" w:rsidP="00D20008">
            <w:pPr>
              <w:spacing w:before="40" w:after="40" w:line="240" w:lineRule="auto"/>
              <w:jc w:val="center"/>
              <w:rPr>
                <w:rFonts w:ascii="Wingdings 3" w:hAnsi="Wingdings 3" w:cs="Arial"/>
                <w:b/>
                <w:bCs/>
                <w:color w:val="000000"/>
                <w:szCs w:val="24"/>
              </w:rPr>
            </w:pPr>
            <w:r w:rsidRPr="00D20008">
              <w:rPr>
                <w:rFonts w:ascii="Wingdings 3" w:hAnsi="Wingdings 3" w:cs="Arial" w:hint="eastAsia"/>
                <w:b/>
                <w:bCs/>
                <w:szCs w:val="24"/>
              </w:rPr>
              <w:t> </w:t>
            </w:r>
          </w:p>
        </w:tc>
        <w:tc>
          <w:tcPr>
            <w:tcW w:w="0" w:type="auto"/>
            <w:shd w:val="clear" w:color="auto" w:fill="FFC000"/>
            <w:vAlign w:val="center"/>
          </w:tcPr>
          <w:p w14:paraId="7D6EE67B" w14:textId="61EEB083" w:rsidR="00D20008" w:rsidRPr="00227B6C" w:rsidRDefault="00D20008" w:rsidP="00D20008">
            <w:pPr>
              <w:spacing w:before="40" w:after="40" w:line="240" w:lineRule="auto"/>
              <w:jc w:val="center"/>
              <w:rPr>
                <w:rFonts w:cs="Arial"/>
                <w:color w:val="000000"/>
                <w:szCs w:val="24"/>
              </w:rPr>
            </w:pPr>
            <w:r w:rsidRPr="008B726B">
              <w:t>22</w:t>
            </w:r>
          </w:p>
        </w:tc>
      </w:tr>
      <w:tr w:rsidR="00D20008" w:rsidRPr="002B7E1B" w14:paraId="5BAB88DB" w14:textId="77777777" w:rsidTr="008046D5">
        <w:trPr>
          <w:trHeight w:val="255"/>
          <w:jc w:val="center"/>
        </w:trPr>
        <w:tc>
          <w:tcPr>
            <w:tcW w:w="0" w:type="auto"/>
            <w:shd w:val="clear" w:color="auto" w:fill="FFC000"/>
            <w:tcMar>
              <w:left w:w="57" w:type="dxa"/>
              <w:right w:w="57" w:type="dxa"/>
            </w:tcMar>
            <w:vAlign w:val="center"/>
          </w:tcPr>
          <w:p w14:paraId="44F3CF5A" w14:textId="1EAC98FF" w:rsidR="00D20008" w:rsidRPr="00227B6C" w:rsidRDefault="00D20008" w:rsidP="00D20008">
            <w:pPr>
              <w:spacing w:before="40" w:after="40" w:line="240" w:lineRule="auto"/>
              <w:rPr>
                <w:rFonts w:cs="Arial"/>
                <w:color w:val="000000"/>
                <w:szCs w:val="24"/>
              </w:rPr>
            </w:pPr>
            <w:r w:rsidRPr="00227B6C">
              <w:rPr>
                <w:rFonts w:cs="Arial"/>
                <w:color w:val="000000"/>
                <w:szCs w:val="24"/>
              </w:rPr>
              <w:t>2</w:t>
            </w:r>
            <w:r>
              <w:rPr>
                <w:rFonts w:cs="Arial"/>
                <w:color w:val="000000"/>
                <w:szCs w:val="24"/>
              </w:rPr>
              <w:t>4</w:t>
            </w:r>
          </w:p>
        </w:tc>
        <w:tc>
          <w:tcPr>
            <w:tcW w:w="4786" w:type="dxa"/>
            <w:shd w:val="clear" w:color="auto" w:fill="FFC000"/>
            <w:noWrap/>
            <w:tcMar>
              <w:left w:w="57" w:type="dxa"/>
              <w:right w:w="57" w:type="dxa"/>
            </w:tcMar>
            <w:vAlign w:val="bottom"/>
          </w:tcPr>
          <w:p w14:paraId="58668B08" w14:textId="2D7C6426" w:rsidR="00D20008" w:rsidRPr="00227B6C" w:rsidRDefault="00D20008" w:rsidP="00D20008">
            <w:pPr>
              <w:spacing w:before="40" w:after="40" w:line="240" w:lineRule="auto"/>
              <w:rPr>
                <w:rFonts w:cs="Arial"/>
                <w:color w:val="000000"/>
                <w:szCs w:val="24"/>
              </w:rPr>
            </w:pPr>
            <w:r w:rsidRPr="00227B6C">
              <w:rPr>
                <w:rFonts w:cs="Arial"/>
                <w:color w:val="000000"/>
                <w:szCs w:val="24"/>
              </w:rPr>
              <w:t>Heritage Fires</w:t>
            </w:r>
          </w:p>
        </w:tc>
        <w:tc>
          <w:tcPr>
            <w:tcW w:w="928" w:type="dxa"/>
            <w:shd w:val="clear" w:color="auto" w:fill="FFC000"/>
            <w:tcMar>
              <w:left w:w="57" w:type="dxa"/>
              <w:right w:w="57" w:type="dxa"/>
            </w:tcMar>
            <w:vAlign w:val="center"/>
          </w:tcPr>
          <w:p w14:paraId="70F09BDA" w14:textId="181AE33E" w:rsidR="00D20008" w:rsidRPr="00227B6C" w:rsidRDefault="00D20008" w:rsidP="00D20008">
            <w:pPr>
              <w:spacing w:before="40" w:after="40" w:line="240" w:lineRule="auto"/>
              <w:jc w:val="right"/>
              <w:rPr>
                <w:rFonts w:cs="Arial"/>
                <w:color w:val="000000"/>
                <w:szCs w:val="24"/>
              </w:rPr>
            </w:pPr>
            <w:r w:rsidRPr="00227B6C">
              <w:rPr>
                <w:rFonts w:cs="Arial"/>
                <w:color w:val="000000"/>
                <w:szCs w:val="24"/>
              </w:rPr>
              <w:t>6.57</w:t>
            </w:r>
          </w:p>
        </w:tc>
        <w:tc>
          <w:tcPr>
            <w:tcW w:w="1269" w:type="dxa"/>
            <w:shd w:val="clear" w:color="auto" w:fill="FFC000"/>
            <w:tcMar>
              <w:left w:w="57" w:type="dxa"/>
              <w:right w:w="57" w:type="dxa"/>
            </w:tcMar>
            <w:vAlign w:val="center"/>
          </w:tcPr>
          <w:p w14:paraId="5997F441" w14:textId="5A8C8868" w:rsidR="00D20008" w:rsidRPr="00227B6C" w:rsidRDefault="00D20008" w:rsidP="00D20008">
            <w:pPr>
              <w:spacing w:before="40" w:after="40" w:line="240" w:lineRule="auto"/>
              <w:rPr>
                <w:rFonts w:cs="Arial"/>
                <w:color w:val="000000"/>
                <w:szCs w:val="24"/>
              </w:rPr>
            </w:pPr>
            <w:r w:rsidRPr="00227B6C">
              <w:rPr>
                <w:rFonts w:cs="Arial"/>
                <w:color w:val="000000"/>
                <w:szCs w:val="24"/>
              </w:rPr>
              <w:t>High</w:t>
            </w:r>
          </w:p>
        </w:tc>
        <w:tc>
          <w:tcPr>
            <w:tcW w:w="0" w:type="auto"/>
            <w:shd w:val="clear" w:color="auto" w:fill="FFC000"/>
            <w:tcMar>
              <w:left w:w="57" w:type="dxa"/>
              <w:right w:w="57" w:type="dxa"/>
            </w:tcMar>
          </w:tcPr>
          <w:p w14:paraId="35823768" w14:textId="5C59D12D" w:rsidR="00D20008" w:rsidRPr="00D20008" w:rsidRDefault="00D20008" w:rsidP="00D20008">
            <w:pPr>
              <w:spacing w:before="40" w:after="40" w:line="240" w:lineRule="auto"/>
              <w:jc w:val="center"/>
              <w:rPr>
                <w:rFonts w:ascii="Wingdings 3" w:hAnsi="Wingdings 3" w:cs="Arial"/>
                <w:b/>
                <w:bCs/>
                <w:szCs w:val="24"/>
              </w:rPr>
            </w:pPr>
            <w:r w:rsidRPr="00227B6C">
              <w:rPr>
                <w:rFonts w:ascii="Wingdings 3" w:hAnsi="Wingdings 3" w:cs="Arial"/>
                <w:b/>
                <w:bCs/>
                <w:szCs w:val="24"/>
              </w:rPr>
              <w:t></w:t>
            </w:r>
          </w:p>
        </w:tc>
        <w:tc>
          <w:tcPr>
            <w:tcW w:w="0" w:type="auto"/>
            <w:shd w:val="clear" w:color="auto" w:fill="FFC000"/>
            <w:vAlign w:val="center"/>
          </w:tcPr>
          <w:p w14:paraId="5F9469CB" w14:textId="7CBA8B8D" w:rsidR="00D20008" w:rsidRPr="008B726B" w:rsidRDefault="00D20008" w:rsidP="00D20008">
            <w:pPr>
              <w:spacing w:before="40" w:after="40" w:line="240" w:lineRule="auto"/>
              <w:jc w:val="center"/>
            </w:pPr>
            <w:r w:rsidRPr="008B726B">
              <w:t>25</w:t>
            </w:r>
          </w:p>
        </w:tc>
      </w:tr>
      <w:tr w:rsidR="00D20008" w:rsidRPr="002B7E1B" w14:paraId="7643D8F8" w14:textId="77777777" w:rsidTr="00227B6C">
        <w:trPr>
          <w:trHeight w:val="255"/>
          <w:jc w:val="center"/>
        </w:trPr>
        <w:tc>
          <w:tcPr>
            <w:tcW w:w="0" w:type="auto"/>
            <w:shd w:val="clear" w:color="auto" w:fill="FFC000"/>
            <w:tcMar>
              <w:left w:w="57" w:type="dxa"/>
              <w:right w:w="57" w:type="dxa"/>
            </w:tcMar>
            <w:vAlign w:val="center"/>
          </w:tcPr>
          <w:p w14:paraId="7BEAA46F" w14:textId="4A57EDBB" w:rsidR="00D20008" w:rsidRPr="00227B6C" w:rsidRDefault="00D20008" w:rsidP="00D20008">
            <w:pPr>
              <w:spacing w:before="40" w:after="40" w:line="240" w:lineRule="auto"/>
              <w:rPr>
                <w:rFonts w:cs="Arial"/>
                <w:color w:val="000000"/>
                <w:szCs w:val="24"/>
              </w:rPr>
            </w:pPr>
            <w:r w:rsidRPr="00227B6C">
              <w:rPr>
                <w:rFonts w:cs="Arial"/>
                <w:color w:val="000000"/>
                <w:szCs w:val="24"/>
              </w:rPr>
              <w:t>2</w:t>
            </w:r>
            <w:r>
              <w:rPr>
                <w:rFonts w:cs="Arial"/>
                <w:color w:val="000000"/>
                <w:szCs w:val="24"/>
              </w:rPr>
              <w:t>5</w:t>
            </w:r>
          </w:p>
        </w:tc>
        <w:tc>
          <w:tcPr>
            <w:tcW w:w="4786" w:type="dxa"/>
            <w:shd w:val="clear" w:color="auto" w:fill="FFC000"/>
            <w:noWrap/>
            <w:tcMar>
              <w:left w:w="57" w:type="dxa"/>
              <w:right w:w="57" w:type="dxa"/>
            </w:tcMar>
            <w:vAlign w:val="center"/>
          </w:tcPr>
          <w:p w14:paraId="73B32D62" w14:textId="012538CB" w:rsidR="00D20008" w:rsidRPr="00227B6C" w:rsidRDefault="00D20008" w:rsidP="00D20008">
            <w:pPr>
              <w:spacing w:before="40" w:after="40" w:line="240" w:lineRule="auto"/>
              <w:rPr>
                <w:rFonts w:cs="Arial"/>
                <w:color w:val="000000"/>
                <w:szCs w:val="24"/>
              </w:rPr>
            </w:pPr>
            <w:r w:rsidRPr="00227B6C">
              <w:rPr>
                <w:rFonts w:cs="Arial"/>
                <w:color w:val="000000"/>
                <w:szCs w:val="24"/>
              </w:rPr>
              <w:t>Lift Release</w:t>
            </w:r>
          </w:p>
        </w:tc>
        <w:tc>
          <w:tcPr>
            <w:tcW w:w="928" w:type="dxa"/>
            <w:shd w:val="clear" w:color="auto" w:fill="FFC000"/>
            <w:tcMar>
              <w:left w:w="57" w:type="dxa"/>
              <w:right w:w="57" w:type="dxa"/>
            </w:tcMar>
            <w:vAlign w:val="center"/>
          </w:tcPr>
          <w:p w14:paraId="3BE0FA91" w14:textId="757567BE" w:rsidR="00D20008" w:rsidRPr="00227B6C" w:rsidRDefault="00DB6A4C" w:rsidP="00D20008">
            <w:pPr>
              <w:spacing w:before="40" w:after="40" w:line="240" w:lineRule="auto"/>
              <w:jc w:val="right"/>
              <w:rPr>
                <w:rFonts w:cs="Arial"/>
                <w:color w:val="000000"/>
                <w:szCs w:val="24"/>
              </w:rPr>
            </w:pPr>
            <w:r>
              <w:rPr>
                <w:rFonts w:cs="Arial"/>
                <w:color w:val="000000"/>
                <w:szCs w:val="24"/>
              </w:rPr>
              <w:t>6.57</w:t>
            </w:r>
          </w:p>
        </w:tc>
        <w:tc>
          <w:tcPr>
            <w:tcW w:w="1269" w:type="dxa"/>
            <w:shd w:val="clear" w:color="auto" w:fill="FFC000"/>
            <w:tcMar>
              <w:left w:w="57" w:type="dxa"/>
              <w:right w:w="57" w:type="dxa"/>
            </w:tcMar>
            <w:vAlign w:val="center"/>
          </w:tcPr>
          <w:p w14:paraId="40F97128" w14:textId="09F30B7C" w:rsidR="00D20008" w:rsidRPr="00227B6C" w:rsidRDefault="00D20008" w:rsidP="00D20008">
            <w:pPr>
              <w:spacing w:before="40" w:after="40" w:line="240" w:lineRule="auto"/>
              <w:rPr>
                <w:rFonts w:cs="Arial"/>
                <w:color w:val="000000"/>
                <w:szCs w:val="24"/>
              </w:rPr>
            </w:pPr>
            <w:r w:rsidRPr="00227B6C">
              <w:rPr>
                <w:rFonts w:cs="Arial"/>
                <w:color w:val="000000"/>
                <w:szCs w:val="24"/>
              </w:rPr>
              <w:t>High</w:t>
            </w:r>
          </w:p>
        </w:tc>
        <w:tc>
          <w:tcPr>
            <w:tcW w:w="0" w:type="auto"/>
            <w:shd w:val="clear" w:color="auto" w:fill="FFC000"/>
            <w:tcMar>
              <w:left w:w="57" w:type="dxa"/>
              <w:right w:w="57" w:type="dxa"/>
            </w:tcMar>
          </w:tcPr>
          <w:p w14:paraId="3C76D543" w14:textId="4C0C5712" w:rsidR="00D20008" w:rsidRPr="00D20008" w:rsidRDefault="00D20008" w:rsidP="00D20008">
            <w:pPr>
              <w:spacing w:before="40" w:after="40" w:line="240" w:lineRule="auto"/>
              <w:jc w:val="center"/>
              <w:rPr>
                <w:rFonts w:ascii="Wingdings 3" w:hAnsi="Wingdings 3" w:cs="Arial"/>
                <w:b/>
                <w:bCs/>
                <w:szCs w:val="24"/>
              </w:rPr>
            </w:pPr>
            <w:r w:rsidRPr="00227B6C">
              <w:rPr>
                <w:rFonts w:ascii="Wingdings 3" w:hAnsi="Wingdings 3" w:cs="Arial"/>
                <w:b/>
                <w:bCs/>
                <w:szCs w:val="24"/>
              </w:rPr>
              <w:t></w:t>
            </w:r>
          </w:p>
        </w:tc>
        <w:tc>
          <w:tcPr>
            <w:tcW w:w="0" w:type="auto"/>
            <w:shd w:val="clear" w:color="auto" w:fill="FFC000"/>
            <w:vAlign w:val="center"/>
          </w:tcPr>
          <w:p w14:paraId="35E03AFD" w14:textId="10752685" w:rsidR="00D20008" w:rsidRPr="008B726B" w:rsidRDefault="00D20008" w:rsidP="00D20008">
            <w:pPr>
              <w:spacing w:before="40" w:after="40" w:line="240" w:lineRule="auto"/>
              <w:jc w:val="center"/>
            </w:pPr>
            <w:r w:rsidRPr="008B726B">
              <w:t>28</w:t>
            </w:r>
          </w:p>
        </w:tc>
      </w:tr>
      <w:tr w:rsidR="00D20008" w:rsidRPr="002B7E1B" w14:paraId="1E8DB4F9" w14:textId="77777777" w:rsidTr="00EC487F">
        <w:trPr>
          <w:trHeight w:val="255"/>
          <w:jc w:val="center"/>
        </w:trPr>
        <w:tc>
          <w:tcPr>
            <w:tcW w:w="0" w:type="auto"/>
            <w:shd w:val="clear" w:color="auto" w:fill="FFC000"/>
            <w:tcMar>
              <w:left w:w="57" w:type="dxa"/>
              <w:right w:w="57" w:type="dxa"/>
            </w:tcMar>
            <w:vAlign w:val="center"/>
          </w:tcPr>
          <w:p w14:paraId="3299149A" w14:textId="5F6BFE62" w:rsidR="00D20008" w:rsidRPr="00227B6C" w:rsidRDefault="00D20008" w:rsidP="00D20008">
            <w:pPr>
              <w:spacing w:before="40" w:after="40" w:line="240" w:lineRule="auto"/>
              <w:rPr>
                <w:rFonts w:cs="Arial"/>
                <w:color w:val="000000"/>
                <w:szCs w:val="24"/>
              </w:rPr>
            </w:pPr>
            <w:r w:rsidRPr="00227B6C">
              <w:rPr>
                <w:rFonts w:cs="Arial"/>
                <w:color w:val="000000"/>
                <w:szCs w:val="24"/>
              </w:rPr>
              <w:t>2</w:t>
            </w:r>
            <w:r>
              <w:rPr>
                <w:rFonts w:cs="Arial"/>
                <w:color w:val="000000"/>
                <w:szCs w:val="24"/>
              </w:rPr>
              <w:t>6</w:t>
            </w:r>
          </w:p>
        </w:tc>
        <w:tc>
          <w:tcPr>
            <w:tcW w:w="4786" w:type="dxa"/>
            <w:shd w:val="clear" w:color="auto" w:fill="FFC000"/>
            <w:noWrap/>
            <w:tcMar>
              <w:left w:w="57" w:type="dxa"/>
              <w:right w:w="57" w:type="dxa"/>
            </w:tcMar>
            <w:vAlign w:val="center"/>
          </w:tcPr>
          <w:p w14:paraId="35B82F63" w14:textId="65754DCF" w:rsidR="00D20008" w:rsidRPr="00227B6C" w:rsidRDefault="00D20008" w:rsidP="00D20008">
            <w:pPr>
              <w:spacing w:before="40" w:after="40" w:line="240" w:lineRule="auto"/>
              <w:rPr>
                <w:rFonts w:cs="Arial"/>
                <w:color w:val="000000"/>
                <w:szCs w:val="24"/>
              </w:rPr>
            </w:pPr>
            <w:r w:rsidRPr="00227B6C">
              <w:rPr>
                <w:rFonts w:cs="Arial"/>
                <w:color w:val="000000"/>
                <w:szCs w:val="24"/>
              </w:rPr>
              <w:t>Effecting Entry/Exit</w:t>
            </w:r>
          </w:p>
        </w:tc>
        <w:tc>
          <w:tcPr>
            <w:tcW w:w="928" w:type="dxa"/>
            <w:shd w:val="clear" w:color="auto" w:fill="FFC000"/>
            <w:tcMar>
              <w:left w:w="57" w:type="dxa"/>
              <w:right w:w="57" w:type="dxa"/>
            </w:tcMar>
            <w:vAlign w:val="center"/>
          </w:tcPr>
          <w:p w14:paraId="75FEC1D4" w14:textId="6036EA52" w:rsidR="00D20008" w:rsidRPr="00227B6C" w:rsidRDefault="00D20008" w:rsidP="00D20008">
            <w:pPr>
              <w:spacing w:before="40" w:after="40" w:line="240" w:lineRule="auto"/>
              <w:jc w:val="right"/>
              <w:rPr>
                <w:rFonts w:cs="Arial"/>
                <w:color w:val="000000"/>
                <w:szCs w:val="24"/>
              </w:rPr>
            </w:pPr>
            <w:r w:rsidRPr="00227B6C">
              <w:rPr>
                <w:rFonts w:cs="Arial"/>
                <w:color w:val="000000"/>
                <w:szCs w:val="24"/>
              </w:rPr>
              <w:t>6.03</w:t>
            </w:r>
          </w:p>
        </w:tc>
        <w:tc>
          <w:tcPr>
            <w:tcW w:w="1269" w:type="dxa"/>
            <w:shd w:val="clear" w:color="auto" w:fill="FFC000"/>
            <w:tcMar>
              <w:left w:w="57" w:type="dxa"/>
              <w:right w:w="57" w:type="dxa"/>
            </w:tcMar>
            <w:vAlign w:val="center"/>
          </w:tcPr>
          <w:p w14:paraId="495ECC30" w14:textId="35C829C0" w:rsidR="00D20008" w:rsidRPr="00227B6C" w:rsidRDefault="00D20008" w:rsidP="00D20008">
            <w:pPr>
              <w:spacing w:before="40" w:after="40" w:line="240" w:lineRule="auto"/>
              <w:rPr>
                <w:rFonts w:cs="Arial"/>
                <w:color w:val="000000"/>
                <w:szCs w:val="24"/>
              </w:rPr>
            </w:pPr>
            <w:r w:rsidRPr="00227B6C">
              <w:rPr>
                <w:rFonts w:cs="Arial"/>
                <w:color w:val="000000"/>
                <w:szCs w:val="24"/>
              </w:rPr>
              <w:t>High</w:t>
            </w:r>
          </w:p>
        </w:tc>
        <w:tc>
          <w:tcPr>
            <w:tcW w:w="0" w:type="auto"/>
            <w:shd w:val="clear" w:color="auto" w:fill="FFC000"/>
            <w:tcMar>
              <w:left w:w="57" w:type="dxa"/>
              <w:right w:w="57" w:type="dxa"/>
            </w:tcMar>
            <w:vAlign w:val="center"/>
          </w:tcPr>
          <w:p w14:paraId="54CC361D" w14:textId="1645E7E2" w:rsidR="00D20008" w:rsidRPr="00D20008" w:rsidRDefault="00D20008" w:rsidP="00D20008">
            <w:pPr>
              <w:spacing w:before="40" w:after="40" w:line="240" w:lineRule="auto"/>
              <w:jc w:val="center"/>
              <w:rPr>
                <w:rFonts w:ascii="Wingdings 3" w:hAnsi="Wingdings 3" w:cs="Arial"/>
                <w:b/>
                <w:bCs/>
                <w:szCs w:val="24"/>
              </w:rPr>
            </w:pPr>
            <w:r w:rsidRPr="00394179">
              <w:rPr>
                <w:rFonts w:ascii="Wingdings 3" w:hAnsi="Wingdings 3" w:cs="Arial" w:hint="eastAsia"/>
                <w:b/>
                <w:bCs/>
                <w:szCs w:val="24"/>
              </w:rPr>
              <w:t>¬</w:t>
            </w:r>
          </w:p>
        </w:tc>
        <w:tc>
          <w:tcPr>
            <w:tcW w:w="0" w:type="auto"/>
            <w:shd w:val="clear" w:color="auto" w:fill="FFC000"/>
            <w:vAlign w:val="center"/>
          </w:tcPr>
          <w:p w14:paraId="3944C6DC" w14:textId="3D01B545" w:rsidR="00D20008" w:rsidRPr="008B726B" w:rsidRDefault="00D20008" w:rsidP="00D20008">
            <w:pPr>
              <w:spacing w:before="40" w:after="40" w:line="240" w:lineRule="auto"/>
              <w:jc w:val="center"/>
            </w:pPr>
            <w:r w:rsidRPr="008B726B">
              <w:t>26</w:t>
            </w:r>
          </w:p>
        </w:tc>
      </w:tr>
      <w:tr w:rsidR="00D20008" w:rsidRPr="002B7E1B" w14:paraId="7BB9E037" w14:textId="643A613F" w:rsidTr="003A798A">
        <w:trPr>
          <w:trHeight w:val="255"/>
          <w:jc w:val="center"/>
        </w:trPr>
        <w:tc>
          <w:tcPr>
            <w:tcW w:w="0" w:type="auto"/>
            <w:shd w:val="clear" w:color="auto" w:fill="FFC000"/>
            <w:tcMar>
              <w:left w:w="57" w:type="dxa"/>
              <w:right w:w="57" w:type="dxa"/>
            </w:tcMar>
            <w:vAlign w:val="center"/>
          </w:tcPr>
          <w:p w14:paraId="50CB37F1" w14:textId="74CC8E8F" w:rsidR="00D20008" w:rsidRPr="00227B6C" w:rsidRDefault="00D20008" w:rsidP="00D20008">
            <w:pPr>
              <w:spacing w:before="40" w:after="40" w:line="240" w:lineRule="auto"/>
              <w:rPr>
                <w:rFonts w:eastAsia="Times New Roman" w:cs="Arial"/>
                <w:szCs w:val="24"/>
                <w:lang w:eastAsia="en-GB"/>
              </w:rPr>
            </w:pPr>
            <w:r w:rsidRPr="00227B6C">
              <w:rPr>
                <w:rFonts w:cs="Arial"/>
                <w:color w:val="000000"/>
                <w:szCs w:val="24"/>
              </w:rPr>
              <w:t>2</w:t>
            </w:r>
            <w:r>
              <w:rPr>
                <w:rFonts w:cs="Arial"/>
                <w:color w:val="000000"/>
                <w:szCs w:val="24"/>
              </w:rPr>
              <w:t>7</w:t>
            </w:r>
          </w:p>
        </w:tc>
        <w:tc>
          <w:tcPr>
            <w:tcW w:w="4786" w:type="dxa"/>
            <w:shd w:val="clear" w:color="auto" w:fill="FFC000"/>
            <w:noWrap/>
            <w:tcMar>
              <w:left w:w="57" w:type="dxa"/>
              <w:right w:w="57" w:type="dxa"/>
            </w:tcMar>
            <w:vAlign w:val="center"/>
          </w:tcPr>
          <w:p w14:paraId="1F2DEAAD" w14:textId="47358A97" w:rsidR="00D20008" w:rsidRPr="00227B6C" w:rsidRDefault="00D20008" w:rsidP="00D20008">
            <w:pPr>
              <w:spacing w:before="40" w:after="40" w:line="240" w:lineRule="auto"/>
              <w:rPr>
                <w:rFonts w:eastAsia="Times New Roman" w:cs="Arial"/>
                <w:szCs w:val="24"/>
                <w:lang w:eastAsia="en-GB"/>
              </w:rPr>
            </w:pPr>
            <w:r w:rsidRPr="00227B6C">
              <w:rPr>
                <w:rFonts w:cs="Arial"/>
                <w:color w:val="000000"/>
                <w:szCs w:val="24"/>
              </w:rPr>
              <w:t>Secondary Fires (Accidental)</w:t>
            </w:r>
          </w:p>
        </w:tc>
        <w:tc>
          <w:tcPr>
            <w:tcW w:w="928" w:type="dxa"/>
            <w:shd w:val="clear" w:color="auto" w:fill="FFC000"/>
            <w:tcMar>
              <w:left w:w="57" w:type="dxa"/>
              <w:right w:w="57" w:type="dxa"/>
            </w:tcMar>
            <w:vAlign w:val="center"/>
          </w:tcPr>
          <w:p w14:paraId="3F90A552" w14:textId="29780294" w:rsidR="00D20008" w:rsidRPr="00227B6C" w:rsidRDefault="00DB6A4C" w:rsidP="00D20008">
            <w:pPr>
              <w:spacing w:before="40" w:after="40" w:line="240" w:lineRule="auto"/>
              <w:jc w:val="right"/>
              <w:rPr>
                <w:rFonts w:eastAsia="Times New Roman" w:cs="Arial"/>
                <w:szCs w:val="24"/>
                <w:lang w:eastAsia="en-GB"/>
              </w:rPr>
            </w:pPr>
            <w:r>
              <w:rPr>
                <w:rFonts w:cs="Arial"/>
                <w:color w:val="000000"/>
                <w:szCs w:val="24"/>
              </w:rPr>
              <w:t>5.94</w:t>
            </w:r>
          </w:p>
        </w:tc>
        <w:tc>
          <w:tcPr>
            <w:tcW w:w="1269" w:type="dxa"/>
            <w:shd w:val="clear" w:color="auto" w:fill="FFC000"/>
            <w:tcMar>
              <w:left w:w="57" w:type="dxa"/>
              <w:right w:w="57" w:type="dxa"/>
            </w:tcMar>
            <w:vAlign w:val="center"/>
          </w:tcPr>
          <w:p w14:paraId="2B2316A7" w14:textId="1E7FF36B" w:rsidR="00D20008" w:rsidRPr="00227B6C" w:rsidRDefault="00D20008" w:rsidP="00D20008">
            <w:pPr>
              <w:spacing w:before="40" w:after="40" w:line="240" w:lineRule="auto"/>
              <w:rPr>
                <w:rFonts w:cs="Arial"/>
                <w:color w:val="000000"/>
                <w:szCs w:val="24"/>
              </w:rPr>
            </w:pPr>
            <w:r w:rsidRPr="00227B6C">
              <w:rPr>
                <w:rFonts w:cs="Arial"/>
                <w:color w:val="000000"/>
                <w:szCs w:val="24"/>
              </w:rPr>
              <w:t>High</w:t>
            </w:r>
          </w:p>
        </w:tc>
        <w:tc>
          <w:tcPr>
            <w:tcW w:w="0" w:type="auto"/>
            <w:shd w:val="clear" w:color="auto" w:fill="FFC000"/>
            <w:tcMar>
              <w:left w:w="57" w:type="dxa"/>
              <w:right w:w="57" w:type="dxa"/>
            </w:tcMar>
          </w:tcPr>
          <w:p w14:paraId="7C28D2AA" w14:textId="2DAA1209" w:rsidR="00D20008" w:rsidRPr="00227B6C" w:rsidRDefault="00D20008" w:rsidP="00D20008">
            <w:pPr>
              <w:spacing w:before="40" w:after="40" w:line="240" w:lineRule="auto"/>
              <w:jc w:val="center"/>
              <w:rPr>
                <w:rFonts w:ascii="Wingdings 3" w:hAnsi="Wingdings 3" w:cs="Arial"/>
                <w:b/>
                <w:bCs/>
                <w:color w:val="000000"/>
                <w:szCs w:val="24"/>
              </w:rPr>
            </w:pPr>
            <w:r w:rsidRPr="00D20008">
              <w:rPr>
                <w:rFonts w:ascii="Wingdings 3" w:hAnsi="Wingdings 3" w:cs="Arial" w:hint="eastAsia"/>
                <w:b/>
                <w:bCs/>
                <w:szCs w:val="24"/>
              </w:rPr>
              <w:t> </w:t>
            </w:r>
          </w:p>
        </w:tc>
        <w:tc>
          <w:tcPr>
            <w:tcW w:w="0" w:type="auto"/>
            <w:shd w:val="clear" w:color="auto" w:fill="FFC000"/>
            <w:vAlign w:val="center"/>
          </w:tcPr>
          <w:p w14:paraId="2EB18CF9" w14:textId="7082A5A7" w:rsidR="00D20008" w:rsidRPr="00227B6C" w:rsidRDefault="00D20008" w:rsidP="00D20008">
            <w:pPr>
              <w:spacing w:before="40" w:after="40" w:line="240" w:lineRule="auto"/>
              <w:jc w:val="center"/>
              <w:rPr>
                <w:rFonts w:cs="Arial"/>
                <w:color w:val="000000"/>
                <w:szCs w:val="24"/>
              </w:rPr>
            </w:pPr>
            <w:r w:rsidRPr="008B726B">
              <w:t>23</w:t>
            </w:r>
          </w:p>
        </w:tc>
      </w:tr>
      <w:tr w:rsidR="00F96090" w:rsidRPr="002B7E1B" w14:paraId="646A7CEC" w14:textId="6C79F330" w:rsidTr="00F96090">
        <w:trPr>
          <w:trHeight w:val="255"/>
          <w:jc w:val="center"/>
        </w:trPr>
        <w:tc>
          <w:tcPr>
            <w:tcW w:w="0" w:type="auto"/>
            <w:shd w:val="clear" w:color="auto" w:fill="FFC000"/>
            <w:tcMar>
              <w:left w:w="57" w:type="dxa"/>
              <w:right w:w="57" w:type="dxa"/>
            </w:tcMar>
            <w:vAlign w:val="center"/>
          </w:tcPr>
          <w:p w14:paraId="24DBA41B" w14:textId="07A35D50" w:rsidR="00F96090" w:rsidRPr="00227B6C" w:rsidRDefault="00F96090" w:rsidP="00F96090">
            <w:pPr>
              <w:spacing w:before="40" w:after="40" w:line="240" w:lineRule="auto"/>
              <w:rPr>
                <w:rFonts w:eastAsia="Times New Roman" w:cs="Arial"/>
                <w:szCs w:val="24"/>
                <w:lang w:eastAsia="en-GB"/>
              </w:rPr>
            </w:pPr>
            <w:r w:rsidRPr="00227B6C">
              <w:rPr>
                <w:rFonts w:cs="Arial"/>
                <w:color w:val="000000"/>
                <w:szCs w:val="24"/>
              </w:rPr>
              <w:t>2</w:t>
            </w:r>
            <w:r>
              <w:rPr>
                <w:rFonts w:cs="Arial"/>
                <w:color w:val="000000"/>
                <w:szCs w:val="24"/>
              </w:rPr>
              <w:t>8</w:t>
            </w:r>
          </w:p>
        </w:tc>
        <w:tc>
          <w:tcPr>
            <w:tcW w:w="4786" w:type="dxa"/>
            <w:shd w:val="clear" w:color="auto" w:fill="FFC000"/>
            <w:noWrap/>
            <w:tcMar>
              <w:left w:w="57" w:type="dxa"/>
              <w:right w:w="57" w:type="dxa"/>
            </w:tcMar>
            <w:vAlign w:val="center"/>
          </w:tcPr>
          <w:p w14:paraId="193358AF" w14:textId="1A285355" w:rsidR="00F96090" w:rsidRPr="00227B6C" w:rsidRDefault="00F96090" w:rsidP="00F96090">
            <w:pPr>
              <w:spacing w:before="40" w:after="40" w:line="240" w:lineRule="auto"/>
              <w:rPr>
                <w:rFonts w:eastAsia="Times New Roman" w:cs="Arial"/>
                <w:szCs w:val="24"/>
                <w:lang w:eastAsia="en-GB"/>
              </w:rPr>
            </w:pPr>
            <w:r w:rsidRPr="00227B6C">
              <w:rPr>
                <w:rFonts w:cs="Arial"/>
                <w:color w:val="000000"/>
                <w:szCs w:val="24"/>
              </w:rPr>
              <w:t>Rescue from water</w:t>
            </w:r>
          </w:p>
        </w:tc>
        <w:tc>
          <w:tcPr>
            <w:tcW w:w="928" w:type="dxa"/>
            <w:shd w:val="clear" w:color="auto" w:fill="FFC000"/>
            <w:tcMar>
              <w:left w:w="57" w:type="dxa"/>
              <w:right w:w="57" w:type="dxa"/>
            </w:tcMar>
            <w:vAlign w:val="center"/>
          </w:tcPr>
          <w:p w14:paraId="61DDDFE1" w14:textId="324FB55A" w:rsidR="00F96090" w:rsidRPr="00227B6C" w:rsidRDefault="00DB6A4C" w:rsidP="00F96090">
            <w:pPr>
              <w:spacing w:before="40" w:after="40" w:line="240" w:lineRule="auto"/>
              <w:jc w:val="right"/>
              <w:rPr>
                <w:rFonts w:eastAsia="Times New Roman" w:cs="Arial"/>
                <w:szCs w:val="24"/>
                <w:lang w:eastAsia="en-GB"/>
              </w:rPr>
            </w:pPr>
            <w:r>
              <w:rPr>
                <w:rFonts w:eastAsia="Times New Roman" w:cs="Arial"/>
                <w:szCs w:val="24"/>
                <w:lang w:eastAsia="en-GB"/>
              </w:rPr>
              <w:t>5.86</w:t>
            </w:r>
          </w:p>
        </w:tc>
        <w:tc>
          <w:tcPr>
            <w:tcW w:w="1269" w:type="dxa"/>
            <w:shd w:val="clear" w:color="auto" w:fill="FFC000"/>
            <w:tcMar>
              <w:left w:w="57" w:type="dxa"/>
              <w:right w:w="57" w:type="dxa"/>
            </w:tcMar>
            <w:vAlign w:val="center"/>
          </w:tcPr>
          <w:p w14:paraId="17E29E52" w14:textId="79B6C3E3" w:rsidR="00F96090" w:rsidRPr="00227B6C" w:rsidRDefault="00F96090" w:rsidP="00F96090">
            <w:pPr>
              <w:spacing w:before="40" w:after="40" w:line="240" w:lineRule="auto"/>
              <w:rPr>
                <w:rFonts w:cs="Arial"/>
                <w:color w:val="000000"/>
                <w:szCs w:val="24"/>
              </w:rPr>
            </w:pPr>
            <w:r w:rsidRPr="00227B6C">
              <w:rPr>
                <w:rFonts w:cs="Arial"/>
                <w:color w:val="000000"/>
                <w:szCs w:val="24"/>
              </w:rPr>
              <w:t>High</w:t>
            </w:r>
          </w:p>
        </w:tc>
        <w:tc>
          <w:tcPr>
            <w:tcW w:w="0" w:type="auto"/>
            <w:shd w:val="clear" w:color="auto" w:fill="FFC000"/>
            <w:tcMar>
              <w:left w:w="57" w:type="dxa"/>
              <w:right w:w="57" w:type="dxa"/>
            </w:tcMar>
          </w:tcPr>
          <w:p w14:paraId="6BE0729F" w14:textId="713A07FA" w:rsidR="00F96090" w:rsidRPr="00227B6C" w:rsidRDefault="00F96090" w:rsidP="00F96090">
            <w:pPr>
              <w:spacing w:before="40" w:after="40" w:line="240" w:lineRule="auto"/>
              <w:jc w:val="center"/>
              <w:rPr>
                <w:rFonts w:ascii="Wingdings 3" w:hAnsi="Wingdings 3" w:cs="Arial"/>
                <w:b/>
                <w:bCs/>
                <w:color w:val="000000"/>
                <w:szCs w:val="24"/>
              </w:rPr>
            </w:pPr>
            <w:r w:rsidRPr="00227B6C">
              <w:rPr>
                <w:rFonts w:ascii="Wingdings 3" w:hAnsi="Wingdings 3" w:cs="Arial"/>
                <w:b/>
                <w:bCs/>
                <w:szCs w:val="24"/>
              </w:rPr>
              <w:t></w:t>
            </w:r>
          </w:p>
        </w:tc>
        <w:tc>
          <w:tcPr>
            <w:tcW w:w="0" w:type="auto"/>
            <w:shd w:val="clear" w:color="auto" w:fill="FFC000"/>
            <w:vAlign w:val="center"/>
          </w:tcPr>
          <w:p w14:paraId="1D736443" w14:textId="6ED37D1D" w:rsidR="00F96090" w:rsidRPr="00227B6C" w:rsidRDefault="00F96090" w:rsidP="00F96090">
            <w:pPr>
              <w:spacing w:before="40" w:after="40" w:line="240" w:lineRule="auto"/>
              <w:jc w:val="center"/>
              <w:rPr>
                <w:rFonts w:cs="Arial"/>
                <w:color w:val="000000"/>
                <w:szCs w:val="24"/>
              </w:rPr>
            </w:pPr>
            <w:r w:rsidRPr="008B726B">
              <w:t>29</w:t>
            </w:r>
          </w:p>
        </w:tc>
      </w:tr>
      <w:tr w:rsidR="00F96090" w:rsidRPr="002B7E1B" w14:paraId="729D9742" w14:textId="6EDA2080" w:rsidTr="00227B6C">
        <w:trPr>
          <w:trHeight w:val="255"/>
          <w:jc w:val="center"/>
        </w:trPr>
        <w:tc>
          <w:tcPr>
            <w:tcW w:w="0" w:type="auto"/>
            <w:shd w:val="clear" w:color="auto" w:fill="FFC000"/>
            <w:tcMar>
              <w:left w:w="57" w:type="dxa"/>
              <w:right w:w="57" w:type="dxa"/>
            </w:tcMar>
            <w:vAlign w:val="center"/>
          </w:tcPr>
          <w:p w14:paraId="6447655D" w14:textId="54862379" w:rsidR="00F96090" w:rsidRPr="00227B6C" w:rsidRDefault="00F96090" w:rsidP="00F96090">
            <w:pPr>
              <w:spacing w:before="40" w:after="40" w:line="240" w:lineRule="auto"/>
              <w:rPr>
                <w:rFonts w:eastAsia="Times New Roman" w:cs="Arial"/>
                <w:szCs w:val="24"/>
                <w:lang w:eastAsia="en-GB"/>
              </w:rPr>
            </w:pPr>
            <w:r w:rsidRPr="00227B6C">
              <w:rPr>
                <w:rFonts w:cs="Arial"/>
                <w:color w:val="000000"/>
                <w:szCs w:val="24"/>
              </w:rPr>
              <w:t>2</w:t>
            </w:r>
            <w:r>
              <w:rPr>
                <w:rFonts w:cs="Arial"/>
                <w:color w:val="000000"/>
                <w:szCs w:val="24"/>
              </w:rPr>
              <w:t>9</w:t>
            </w:r>
          </w:p>
        </w:tc>
        <w:tc>
          <w:tcPr>
            <w:tcW w:w="4786" w:type="dxa"/>
            <w:shd w:val="clear" w:color="auto" w:fill="FFC000"/>
            <w:noWrap/>
            <w:tcMar>
              <w:left w:w="57" w:type="dxa"/>
              <w:right w:w="57" w:type="dxa"/>
            </w:tcMar>
            <w:vAlign w:val="center"/>
          </w:tcPr>
          <w:p w14:paraId="220895C0" w14:textId="77777777" w:rsidR="00F96090" w:rsidRPr="00227B6C" w:rsidRDefault="00F96090" w:rsidP="00F96090">
            <w:pPr>
              <w:spacing w:before="40" w:after="40" w:line="240" w:lineRule="auto"/>
              <w:rPr>
                <w:rFonts w:eastAsia="Times New Roman" w:cs="Arial"/>
                <w:szCs w:val="24"/>
                <w:lang w:eastAsia="en-GB"/>
              </w:rPr>
            </w:pPr>
            <w:r w:rsidRPr="00227B6C">
              <w:rPr>
                <w:rFonts w:cs="Arial"/>
                <w:color w:val="000000"/>
                <w:szCs w:val="24"/>
              </w:rPr>
              <w:t>Other Transport or Making Safe (Not Fire)</w:t>
            </w:r>
          </w:p>
        </w:tc>
        <w:tc>
          <w:tcPr>
            <w:tcW w:w="928" w:type="dxa"/>
            <w:shd w:val="clear" w:color="auto" w:fill="FFC000"/>
            <w:tcMar>
              <w:left w:w="57" w:type="dxa"/>
              <w:right w:w="57" w:type="dxa"/>
            </w:tcMar>
            <w:vAlign w:val="center"/>
          </w:tcPr>
          <w:p w14:paraId="3E65AEFB" w14:textId="77777777" w:rsidR="00F96090" w:rsidRPr="00227B6C" w:rsidRDefault="00F96090" w:rsidP="00F96090">
            <w:pPr>
              <w:spacing w:before="40" w:after="40" w:line="240" w:lineRule="auto"/>
              <w:jc w:val="right"/>
              <w:rPr>
                <w:rFonts w:eastAsia="Times New Roman" w:cs="Arial"/>
                <w:szCs w:val="24"/>
                <w:lang w:eastAsia="en-GB"/>
              </w:rPr>
            </w:pPr>
            <w:r w:rsidRPr="00227B6C">
              <w:rPr>
                <w:rFonts w:cs="Arial"/>
                <w:color w:val="000000"/>
                <w:szCs w:val="24"/>
              </w:rPr>
              <w:t>5.78</w:t>
            </w:r>
          </w:p>
        </w:tc>
        <w:tc>
          <w:tcPr>
            <w:tcW w:w="1269" w:type="dxa"/>
            <w:shd w:val="clear" w:color="auto" w:fill="FFC000"/>
            <w:tcMar>
              <w:left w:w="57" w:type="dxa"/>
              <w:right w:w="57" w:type="dxa"/>
            </w:tcMar>
            <w:vAlign w:val="center"/>
          </w:tcPr>
          <w:p w14:paraId="5DF6B0EB" w14:textId="77777777" w:rsidR="00F96090" w:rsidRPr="00227B6C" w:rsidRDefault="00F96090" w:rsidP="00F96090">
            <w:pPr>
              <w:spacing w:before="40" w:after="40" w:line="240" w:lineRule="auto"/>
              <w:rPr>
                <w:rFonts w:cs="Arial"/>
                <w:color w:val="000000"/>
                <w:szCs w:val="24"/>
              </w:rPr>
            </w:pPr>
            <w:r w:rsidRPr="00227B6C">
              <w:rPr>
                <w:rFonts w:cs="Arial"/>
                <w:color w:val="000000"/>
                <w:szCs w:val="24"/>
              </w:rPr>
              <w:t>High</w:t>
            </w:r>
          </w:p>
        </w:tc>
        <w:tc>
          <w:tcPr>
            <w:tcW w:w="0" w:type="auto"/>
            <w:shd w:val="clear" w:color="auto" w:fill="FFC000"/>
            <w:tcMar>
              <w:left w:w="57" w:type="dxa"/>
              <w:right w:w="57" w:type="dxa"/>
            </w:tcMar>
          </w:tcPr>
          <w:p w14:paraId="5BEE0A20" w14:textId="32FD78B9" w:rsidR="00F96090" w:rsidRPr="00227B6C" w:rsidRDefault="00F96090" w:rsidP="00F96090">
            <w:pPr>
              <w:spacing w:before="40" w:after="40" w:line="240" w:lineRule="auto"/>
              <w:jc w:val="center"/>
              <w:rPr>
                <w:rFonts w:ascii="Wingdings 3" w:hAnsi="Wingdings 3" w:cs="Arial"/>
                <w:b/>
                <w:bCs/>
                <w:color w:val="000000"/>
                <w:szCs w:val="24"/>
              </w:rPr>
            </w:pPr>
            <w:r w:rsidRPr="00D20008">
              <w:rPr>
                <w:rFonts w:ascii="Wingdings 3" w:hAnsi="Wingdings 3" w:cs="Arial" w:hint="eastAsia"/>
                <w:b/>
                <w:bCs/>
                <w:szCs w:val="24"/>
              </w:rPr>
              <w:t> </w:t>
            </w:r>
          </w:p>
        </w:tc>
        <w:tc>
          <w:tcPr>
            <w:tcW w:w="0" w:type="auto"/>
            <w:shd w:val="clear" w:color="auto" w:fill="FFC000"/>
            <w:vAlign w:val="center"/>
          </w:tcPr>
          <w:p w14:paraId="411DB740" w14:textId="41B97700" w:rsidR="00F96090" w:rsidRPr="00227B6C" w:rsidRDefault="00F96090" w:rsidP="00F96090">
            <w:pPr>
              <w:spacing w:before="40" w:after="40" w:line="240" w:lineRule="auto"/>
              <w:jc w:val="center"/>
              <w:rPr>
                <w:rFonts w:cs="Arial"/>
                <w:color w:val="000000"/>
                <w:szCs w:val="24"/>
              </w:rPr>
            </w:pPr>
            <w:r w:rsidRPr="008B726B">
              <w:t>27</w:t>
            </w:r>
          </w:p>
        </w:tc>
      </w:tr>
      <w:tr w:rsidR="00F96090" w:rsidRPr="002B7E1B" w14:paraId="5B75E963" w14:textId="445262AB" w:rsidTr="00227B6C">
        <w:trPr>
          <w:trHeight w:val="255"/>
          <w:jc w:val="center"/>
        </w:trPr>
        <w:tc>
          <w:tcPr>
            <w:tcW w:w="0" w:type="auto"/>
            <w:shd w:val="clear" w:color="auto" w:fill="FFFF00"/>
            <w:tcMar>
              <w:left w:w="57" w:type="dxa"/>
              <w:right w:w="57" w:type="dxa"/>
            </w:tcMar>
            <w:vAlign w:val="center"/>
          </w:tcPr>
          <w:p w14:paraId="63217103" w14:textId="77777777" w:rsidR="00F96090" w:rsidRPr="00227B6C" w:rsidRDefault="00F96090" w:rsidP="00F96090">
            <w:pPr>
              <w:spacing w:before="40" w:after="40" w:line="240" w:lineRule="auto"/>
              <w:rPr>
                <w:rFonts w:eastAsia="Times New Roman" w:cs="Arial"/>
                <w:szCs w:val="24"/>
                <w:lang w:eastAsia="en-GB"/>
              </w:rPr>
            </w:pPr>
            <w:r w:rsidRPr="00227B6C">
              <w:rPr>
                <w:rFonts w:cs="Arial"/>
                <w:color w:val="000000"/>
                <w:szCs w:val="24"/>
              </w:rPr>
              <w:t>30</w:t>
            </w:r>
          </w:p>
        </w:tc>
        <w:tc>
          <w:tcPr>
            <w:tcW w:w="4786" w:type="dxa"/>
            <w:shd w:val="clear" w:color="auto" w:fill="FFFF00"/>
            <w:noWrap/>
            <w:tcMar>
              <w:left w:w="57" w:type="dxa"/>
              <w:right w:w="57" w:type="dxa"/>
            </w:tcMar>
            <w:vAlign w:val="center"/>
          </w:tcPr>
          <w:p w14:paraId="14F96ED6" w14:textId="77777777" w:rsidR="00F96090" w:rsidRPr="00227B6C" w:rsidRDefault="00F96090" w:rsidP="00F96090">
            <w:pPr>
              <w:spacing w:before="40" w:after="40" w:line="240" w:lineRule="auto"/>
              <w:rPr>
                <w:rFonts w:eastAsia="Times New Roman" w:cs="Arial"/>
                <w:szCs w:val="24"/>
                <w:lang w:eastAsia="en-GB"/>
              </w:rPr>
            </w:pPr>
            <w:r w:rsidRPr="00227B6C">
              <w:rPr>
                <w:rFonts w:cs="Arial"/>
                <w:szCs w:val="24"/>
              </w:rPr>
              <w:t>Malicious Attacks/Terrorist Incidents</w:t>
            </w:r>
          </w:p>
        </w:tc>
        <w:tc>
          <w:tcPr>
            <w:tcW w:w="928" w:type="dxa"/>
            <w:shd w:val="clear" w:color="auto" w:fill="FFFF00"/>
            <w:tcMar>
              <w:left w:w="57" w:type="dxa"/>
              <w:right w:w="57" w:type="dxa"/>
            </w:tcMar>
            <w:vAlign w:val="center"/>
          </w:tcPr>
          <w:p w14:paraId="401DCD0D" w14:textId="77777777" w:rsidR="00F96090" w:rsidRPr="00227B6C" w:rsidRDefault="00F96090" w:rsidP="00F96090">
            <w:pPr>
              <w:spacing w:before="40" w:after="40" w:line="240" w:lineRule="auto"/>
              <w:jc w:val="right"/>
              <w:rPr>
                <w:rFonts w:eastAsia="Times New Roman" w:cs="Arial"/>
                <w:szCs w:val="24"/>
                <w:lang w:eastAsia="en-GB"/>
              </w:rPr>
            </w:pPr>
            <w:r w:rsidRPr="00227B6C">
              <w:rPr>
                <w:rFonts w:cs="Arial"/>
                <w:color w:val="000000"/>
                <w:szCs w:val="24"/>
              </w:rPr>
              <w:t>4.79</w:t>
            </w:r>
          </w:p>
        </w:tc>
        <w:tc>
          <w:tcPr>
            <w:tcW w:w="1269" w:type="dxa"/>
            <w:shd w:val="clear" w:color="auto" w:fill="FFFF00"/>
            <w:tcMar>
              <w:left w:w="57" w:type="dxa"/>
              <w:right w:w="57" w:type="dxa"/>
            </w:tcMar>
            <w:vAlign w:val="center"/>
          </w:tcPr>
          <w:p w14:paraId="5250463C" w14:textId="77777777" w:rsidR="00F96090" w:rsidRPr="00227B6C" w:rsidRDefault="00F96090" w:rsidP="00F96090">
            <w:pPr>
              <w:spacing w:before="40" w:after="40" w:line="240" w:lineRule="auto"/>
              <w:rPr>
                <w:rFonts w:cs="Arial"/>
                <w:color w:val="000000"/>
                <w:szCs w:val="24"/>
              </w:rPr>
            </w:pPr>
            <w:r w:rsidRPr="00227B6C">
              <w:rPr>
                <w:rFonts w:cs="Arial"/>
                <w:color w:val="000000"/>
                <w:szCs w:val="24"/>
              </w:rPr>
              <w:t>Medium</w:t>
            </w:r>
          </w:p>
        </w:tc>
        <w:tc>
          <w:tcPr>
            <w:tcW w:w="0" w:type="auto"/>
            <w:shd w:val="clear" w:color="auto" w:fill="FFFF00"/>
            <w:tcMar>
              <w:left w:w="57" w:type="dxa"/>
              <w:right w:w="57" w:type="dxa"/>
            </w:tcMar>
          </w:tcPr>
          <w:p w14:paraId="6CA355D1" w14:textId="77777777" w:rsidR="00F96090" w:rsidRPr="00227B6C" w:rsidRDefault="00F96090" w:rsidP="00F96090">
            <w:pPr>
              <w:spacing w:before="40" w:after="40" w:line="240" w:lineRule="auto"/>
              <w:jc w:val="center"/>
              <w:rPr>
                <w:rFonts w:ascii="Wingdings 3" w:hAnsi="Wingdings 3" w:cs="Arial"/>
                <w:b/>
                <w:bCs/>
                <w:color w:val="000000"/>
                <w:szCs w:val="24"/>
              </w:rPr>
            </w:pPr>
            <w:r w:rsidRPr="00227B6C">
              <w:rPr>
                <w:rFonts w:ascii="Wingdings 3" w:hAnsi="Wingdings 3" w:cs="Arial" w:hint="eastAsia"/>
                <w:b/>
                <w:bCs/>
                <w:szCs w:val="24"/>
              </w:rPr>
              <w:t>¬</w:t>
            </w:r>
          </w:p>
        </w:tc>
        <w:tc>
          <w:tcPr>
            <w:tcW w:w="0" w:type="auto"/>
            <w:shd w:val="clear" w:color="auto" w:fill="FFFF00"/>
            <w:vAlign w:val="center"/>
          </w:tcPr>
          <w:p w14:paraId="27A00D4B" w14:textId="1C15E24E" w:rsidR="00F96090" w:rsidRPr="00227B6C" w:rsidRDefault="00F96090" w:rsidP="00F96090">
            <w:pPr>
              <w:spacing w:before="40" w:after="40" w:line="240" w:lineRule="auto"/>
              <w:jc w:val="center"/>
              <w:rPr>
                <w:rFonts w:cs="Arial"/>
                <w:color w:val="000000"/>
                <w:szCs w:val="24"/>
              </w:rPr>
            </w:pPr>
            <w:r w:rsidRPr="008B726B">
              <w:t>30</w:t>
            </w:r>
          </w:p>
        </w:tc>
      </w:tr>
      <w:tr w:rsidR="00F96090" w:rsidRPr="002B7E1B" w14:paraId="0604FDE1" w14:textId="422AC18D" w:rsidTr="00227B6C">
        <w:trPr>
          <w:trHeight w:val="255"/>
          <w:jc w:val="center"/>
        </w:trPr>
        <w:tc>
          <w:tcPr>
            <w:tcW w:w="0" w:type="auto"/>
            <w:shd w:val="clear" w:color="auto" w:fill="92D050"/>
            <w:tcMar>
              <w:left w:w="57" w:type="dxa"/>
              <w:right w:w="57" w:type="dxa"/>
            </w:tcMar>
            <w:vAlign w:val="center"/>
          </w:tcPr>
          <w:p w14:paraId="55875B52" w14:textId="77777777" w:rsidR="00F96090" w:rsidRPr="00227B6C" w:rsidRDefault="00F96090" w:rsidP="00F96090">
            <w:pPr>
              <w:spacing w:before="40" w:after="40" w:line="240" w:lineRule="auto"/>
              <w:rPr>
                <w:rFonts w:eastAsia="Times New Roman" w:cs="Arial"/>
                <w:szCs w:val="24"/>
                <w:lang w:eastAsia="en-GB"/>
              </w:rPr>
            </w:pPr>
            <w:r w:rsidRPr="00227B6C">
              <w:rPr>
                <w:rFonts w:cs="Arial"/>
                <w:color w:val="000000"/>
                <w:szCs w:val="24"/>
              </w:rPr>
              <w:t>= 31</w:t>
            </w:r>
          </w:p>
        </w:tc>
        <w:tc>
          <w:tcPr>
            <w:tcW w:w="4786" w:type="dxa"/>
            <w:shd w:val="clear" w:color="auto" w:fill="92D050"/>
            <w:noWrap/>
            <w:tcMar>
              <w:left w:w="57" w:type="dxa"/>
              <w:right w:w="57" w:type="dxa"/>
            </w:tcMar>
            <w:vAlign w:val="center"/>
          </w:tcPr>
          <w:p w14:paraId="44C74942" w14:textId="77777777" w:rsidR="00F96090" w:rsidRPr="00227B6C" w:rsidRDefault="00F96090" w:rsidP="00F96090">
            <w:pPr>
              <w:spacing w:before="40" w:after="40" w:line="240" w:lineRule="auto"/>
              <w:rPr>
                <w:rFonts w:eastAsia="Times New Roman" w:cs="Arial"/>
                <w:szCs w:val="24"/>
                <w:lang w:eastAsia="en-GB"/>
              </w:rPr>
            </w:pPr>
            <w:r w:rsidRPr="00227B6C">
              <w:rPr>
                <w:rFonts w:cs="Arial"/>
                <w:color w:val="000000"/>
                <w:szCs w:val="24"/>
              </w:rPr>
              <w:t>Rescue from Depth</w:t>
            </w:r>
          </w:p>
        </w:tc>
        <w:tc>
          <w:tcPr>
            <w:tcW w:w="928" w:type="dxa"/>
            <w:shd w:val="clear" w:color="auto" w:fill="92D050"/>
            <w:tcMar>
              <w:left w:w="57" w:type="dxa"/>
              <w:right w:w="57" w:type="dxa"/>
            </w:tcMar>
            <w:vAlign w:val="center"/>
          </w:tcPr>
          <w:p w14:paraId="2C52351B" w14:textId="77777777" w:rsidR="00F96090" w:rsidRPr="00227B6C" w:rsidRDefault="00F96090" w:rsidP="00F96090">
            <w:pPr>
              <w:spacing w:before="40" w:after="40" w:line="240" w:lineRule="auto"/>
              <w:jc w:val="right"/>
              <w:rPr>
                <w:rFonts w:eastAsia="Times New Roman" w:cs="Arial"/>
                <w:szCs w:val="24"/>
                <w:lang w:eastAsia="en-GB"/>
              </w:rPr>
            </w:pPr>
            <w:r w:rsidRPr="00227B6C">
              <w:rPr>
                <w:rFonts w:cs="Arial"/>
                <w:color w:val="000000"/>
                <w:szCs w:val="24"/>
              </w:rPr>
              <w:t>3.84</w:t>
            </w:r>
          </w:p>
        </w:tc>
        <w:tc>
          <w:tcPr>
            <w:tcW w:w="1269" w:type="dxa"/>
            <w:shd w:val="clear" w:color="auto" w:fill="92D050"/>
            <w:tcMar>
              <w:left w:w="57" w:type="dxa"/>
              <w:right w:w="57" w:type="dxa"/>
            </w:tcMar>
            <w:vAlign w:val="center"/>
          </w:tcPr>
          <w:p w14:paraId="68CC1543" w14:textId="77777777" w:rsidR="00F96090" w:rsidRPr="00227B6C" w:rsidRDefault="00F96090" w:rsidP="00F96090">
            <w:pPr>
              <w:spacing w:before="40" w:after="40" w:line="240" w:lineRule="auto"/>
              <w:rPr>
                <w:rFonts w:cs="Arial"/>
                <w:color w:val="000000"/>
                <w:szCs w:val="24"/>
              </w:rPr>
            </w:pPr>
            <w:r w:rsidRPr="00227B6C">
              <w:rPr>
                <w:rFonts w:cs="Arial"/>
                <w:color w:val="000000"/>
                <w:szCs w:val="24"/>
              </w:rPr>
              <w:t>Low</w:t>
            </w:r>
          </w:p>
        </w:tc>
        <w:tc>
          <w:tcPr>
            <w:tcW w:w="0" w:type="auto"/>
            <w:shd w:val="clear" w:color="auto" w:fill="92D050"/>
            <w:tcMar>
              <w:left w:w="57" w:type="dxa"/>
              <w:right w:w="57" w:type="dxa"/>
            </w:tcMar>
          </w:tcPr>
          <w:p w14:paraId="78589DFA" w14:textId="77777777" w:rsidR="00F96090" w:rsidRPr="00227B6C" w:rsidRDefault="00F96090" w:rsidP="00F96090">
            <w:pPr>
              <w:spacing w:before="40" w:after="40" w:line="240" w:lineRule="auto"/>
              <w:jc w:val="center"/>
              <w:rPr>
                <w:rFonts w:ascii="Wingdings 3" w:hAnsi="Wingdings 3" w:cs="Arial"/>
                <w:b/>
                <w:bCs/>
                <w:color w:val="000000"/>
                <w:szCs w:val="24"/>
              </w:rPr>
            </w:pPr>
            <w:r w:rsidRPr="00227B6C">
              <w:rPr>
                <w:rFonts w:ascii="Wingdings 3" w:hAnsi="Wingdings 3" w:cs="Arial" w:hint="eastAsia"/>
                <w:b/>
                <w:bCs/>
                <w:szCs w:val="24"/>
              </w:rPr>
              <w:t>¬</w:t>
            </w:r>
          </w:p>
        </w:tc>
        <w:tc>
          <w:tcPr>
            <w:tcW w:w="0" w:type="auto"/>
            <w:shd w:val="clear" w:color="auto" w:fill="92D050"/>
            <w:vAlign w:val="center"/>
          </w:tcPr>
          <w:p w14:paraId="7D5006C0" w14:textId="0E979006" w:rsidR="00F96090" w:rsidRPr="00227B6C" w:rsidRDefault="00F96090" w:rsidP="00F96090">
            <w:pPr>
              <w:spacing w:before="40" w:after="40" w:line="240" w:lineRule="auto"/>
              <w:jc w:val="center"/>
              <w:rPr>
                <w:rFonts w:cs="Arial"/>
                <w:color w:val="000000"/>
                <w:szCs w:val="24"/>
              </w:rPr>
            </w:pPr>
            <w:r w:rsidRPr="008B726B">
              <w:t>= 31</w:t>
            </w:r>
          </w:p>
        </w:tc>
      </w:tr>
      <w:tr w:rsidR="00F96090" w:rsidRPr="002B7E1B" w14:paraId="7D3A7A92" w14:textId="021FED5D" w:rsidTr="00227B6C">
        <w:trPr>
          <w:trHeight w:val="255"/>
          <w:jc w:val="center"/>
        </w:trPr>
        <w:tc>
          <w:tcPr>
            <w:tcW w:w="0" w:type="auto"/>
            <w:shd w:val="clear" w:color="auto" w:fill="92D050"/>
            <w:tcMar>
              <w:left w:w="57" w:type="dxa"/>
              <w:right w:w="57" w:type="dxa"/>
            </w:tcMar>
            <w:vAlign w:val="center"/>
          </w:tcPr>
          <w:p w14:paraId="088C5890" w14:textId="77777777" w:rsidR="00F96090" w:rsidRPr="00227B6C" w:rsidRDefault="00F96090" w:rsidP="00F96090">
            <w:pPr>
              <w:spacing w:before="40" w:after="40" w:line="240" w:lineRule="auto"/>
              <w:rPr>
                <w:rFonts w:eastAsia="Times New Roman" w:cs="Arial"/>
                <w:szCs w:val="24"/>
                <w:lang w:eastAsia="en-GB"/>
              </w:rPr>
            </w:pPr>
            <w:r w:rsidRPr="00227B6C">
              <w:rPr>
                <w:rFonts w:cs="Arial"/>
                <w:color w:val="000000"/>
                <w:szCs w:val="24"/>
              </w:rPr>
              <w:t>= 31</w:t>
            </w:r>
          </w:p>
        </w:tc>
        <w:tc>
          <w:tcPr>
            <w:tcW w:w="4786" w:type="dxa"/>
            <w:shd w:val="clear" w:color="auto" w:fill="92D050"/>
            <w:noWrap/>
            <w:tcMar>
              <w:left w:w="57" w:type="dxa"/>
              <w:right w:w="57" w:type="dxa"/>
            </w:tcMar>
            <w:vAlign w:val="center"/>
          </w:tcPr>
          <w:p w14:paraId="0B2E4C28" w14:textId="7E18C842" w:rsidR="00F96090" w:rsidRPr="00227B6C" w:rsidRDefault="00F96090" w:rsidP="00F96090">
            <w:pPr>
              <w:spacing w:before="40" w:after="40" w:line="240" w:lineRule="auto"/>
              <w:rPr>
                <w:rFonts w:eastAsia="Times New Roman" w:cs="Arial"/>
                <w:szCs w:val="24"/>
                <w:lang w:eastAsia="en-GB"/>
              </w:rPr>
            </w:pPr>
            <w:r w:rsidRPr="00227B6C">
              <w:rPr>
                <w:rFonts w:cs="Arial"/>
                <w:color w:val="000000"/>
                <w:szCs w:val="24"/>
              </w:rPr>
              <w:t>Rescue from Mud</w:t>
            </w:r>
          </w:p>
        </w:tc>
        <w:tc>
          <w:tcPr>
            <w:tcW w:w="928" w:type="dxa"/>
            <w:shd w:val="clear" w:color="auto" w:fill="92D050"/>
            <w:tcMar>
              <w:left w:w="57" w:type="dxa"/>
              <w:right w:w="57" w:type="dxa"/>
            </w:tcMar>
            <w:vAlign w:val="center"/>
          </w:tcPr>
          <w:p w14:paraId="0A2C44B8" w14:textId="77777777" w:rsidR="00F96090" w:rsidRPr="00227B6C" w:rsidRDefault="00F96090" w:rsidP="00F96090">
            <w:pPr>
              <w:spacing w:before="40" w:after="40" w:line="240" w:lineRule="auto"/>
              <w:jc w:val="right"/>
              <w:rPr>
                <w:rFonts w:eastAsia="Times New Roman" w:cs="Arial"/>
                <w:szCs w:val="24"/>
                <w:lang w:eastAsia="en-GB"/>
              </w:rPr>
            </w:pPr>
            <w:r w:rsidRPr="00227B6C">
              <w:rPr>
                <w:rFonts w:cs="Arial"/>
                <w:color w:val="000000"/>
                <w:szCs w:val="24"/>
              </w:rPr>
              <w:t>3.84</w:t>
            </w:r>
          </w:p>
        </w:tc>
        <w:tc>
          <w:tcPr>
            <w:tcW w:w="1269" w:type="dxa"/>
            <w:shd w:val="clear" w:color="auto" w:fill="92D050"/>
            <w:tcMar>
              <w:left w:w="57" w:type="dxa"/>
              <w:right w:w="57" w:type="dxa"/>
            </w:tcMar>
            <w:vAlign w:val="center"/>
          </w:tcPr>
          <w:p w14:paraId="5F55046F" w14:textId="77777777" w:rsidR="00F96090" w:rsidRPr="00227B6C" w:rsidRDefault="00F96090" w:rsidP="00F96090">
            <w:pPr>
              <w:spacing w:before="40" w:after="40" w:line="240" w:lineRule="auto"/>
              <w:rPr>
                <w:rFonts w:cs="Arial"/>
                <w:color w:val="000000"/>
                <w:szCs w:val="24"/>
              </w:rPr>
            </w:pPr>
            <w:r w:rsidRPr="00227B6C">
              <w:rPr>
                <w:rFonts w:cs="Arial"/>
                <w:color w:val="000000"/>
                <w:szCs w:val="24"/>
              </w:rPr>
              <w:t>Low</w:t>
            </w:r>
          </w:p>
        </w:tc>
        <w:tc>
          <w:tcPr>
            <w:tcW w:w="0" w:type="auto"/>
            <w:shd w:val="clear" w:color="auto" w:fill="92D050"/>
            <w:tcMar>
              <w:left w:w="57" w:type="dxa"/>
              <w:right w:w="57" w:type="dxa"/>
            </w:tcMar>
          </w:tcPr>
          <w:p w14:paraId="5B97FC00" w14:textId="77777777" w:rsidR="00F96090" w:rsidRPr="00227B6C" w:rsidRDefault="00F96090" w:rsidP="00F96090">
            <w:pPr>
              <w:spacing w:before="40" w:after="40" w:line="240" w:lineRule="auto"/>
              <w:jc w:val="center"/>
              <w:rPr>
                <w:rFonts w:ascii="Wingdings 3" w:hAnsi="Wingdings 3" w:cs="Arial"/>
                <w:b/>
                <w:bCs/>
                <w:color w:val="000000"/>
                <w:szCs w:val="24"/>
              </w:rPr>
            </w:pPr>
            <w:r w:rsidRPr="00227B6C">
              <w:rPr>
                <w:rFonts w:ascii="Wingdings 3" w:hAnsi="Wingdings 3" w:cs="Arial" w:hint="eastAsia"/>
                <w:b/>
                <w:bCs/>
                <w:szCs w:val="24"/>
              </w:rPr>
              <w:t>¬</w:t>
            </w:r>
          </w:p>
        </w:tc>
        <w:tc>
          <w:tcPr>
            <w:tcW w:w="0" w:type="auto"/>
            <w:shd w:val="clear" w:color="auto" w:fill="92D050"/>
            <w:vAlign w:val="center"/>
          </w:tcPr>
          <w:p w14:paraId="1DE1B4C5" w14:textId="677CE6CE" w:rsidR="00F96090" w:rsidRPr="00227B6C" w:rsidRDefault="00F96090" w:rsidP="00F96090">
            <w:pPr>
              <w:spacing w:before="40" w:after="40" w:line="240" w:lineRule="auto"/>
              <w:jc w:val="center"/>
              <w:rPr>
                <w:rFonts w:cs="Arial"/>
                <w:color w:val="000000"/>
                <w:szCs w:val="24"/>
              </w:rPr>
            </w:pPr>
            <w:r w:rsidRPr="008B726B">
              <w:t>= 31</w:t>
            </w:r>
          </w:p>
        </w:tc>
      </w:tr>
    </w:tbl>
    <w:p w14:paraId="477D3C88" w14:textId="77777777" w:rsidR="005067E2" w:rsidRPr="009D68DC" w:rsidRDefault="005067E2" w:rsidP="009D68DC">
      <w:pPr>
        <w:pStyle w:val="NoSpacing"/>
        <w:rPr>
          <w:highlight w:val="yellow"/>
        </w:rPr>
      </w:pPr>
    </w:p>
    <w:p w14:paraId="1BB94842" w14:textId="1CDA03A5" w:rsidR="000E5042" w:rsidRPr="0085725E" w:rsidRDefault="005067E2" w:rsidP="0085725E">
      <w:pPr>
        <w:rPr>
          <w:rFonts w:eastAsia="Calibri" w:cs="Arial"/>
          <w:b/>
          <w:bCs/>
          <w:szCs w:val="24"/>
          <w:highlight w:val="yellow"/>
        </w:rPr>
      </w:pPr>
      <w:r w:rsidRPr="002E6416">
        <w:lastRenderedPageBreak/>
        <w:t xml:space="preserve">Items within the risk assessment have been linked in the </w:t>
      </w:r>
      <w:r w:rsidR="009D68DC">
        <w:t>Community Risk Management Plan</w:t>
      </w:r>
      <w:r w:rsidRPr="002E6416">
        <w:t xml:space="preserve"> outcomes due to similarities in response *1 have been merged, *2 have been merged, and *3 have been merged.</w:t>
      </w:r>
    </w:p>
    <w:p w14:paraId="4156B8DE" w14:textId="3C8E1473" w:rsidR="005067E2" w:rsidRPr="00005EA4" w:rsidRDefault="005067E2" w:rsidP="00007ED6">
      <w:pPr>
        <w:pStyle w:val="NoSpacing"/>
        <w:keepNext/>
        <w:spacing w:after="120"/>
        <w:rPr>
          <w:rFonts w:eastAsia="Calibri" w:cs="Arial"/>
          <w:b/>
          <w:bCs/>
          <w:sz w:val="24"/>
          <w:szCs w:val="24"/>
        </w:rPr>
      </w:pPr>
      <w:r w:rsidRPr="00005EA4">
        <w:rPr>
          <w:rFonts w:eastAsia="Calibri" w:cs="Arial"/>
          <w:b/>
          <w:bCs/>
          <w:sz w:val="24"/>
          <w:szCs w:val="24"/>
        </w:rPr>
        <w:t>Overall risk rating percentiles</w:t>
      </w:r>
    </w:p>
    <w:p w14:paraId="36FEEED8" w14:textId="77777777" w:rsidR="005067E2" w:rsidRPr="009D68DC" w:rsidRDefault="005067E2" w:rsidP="00007ED6">
      <w:pPr>
        <w:pStyle w:val="NoSpacing"/>
        <w:keepNext/>
      </w:pPr>
    </w:p>
    <w:tbl>
      <w:tblPr>
        <w:tblStyle w:val="TableGrid"/>
        <w:tblW w:w="0" w:type="auto"/>
        <w:jc w:val="center"/>
        <w:tblLayout w:type="fixed"/>
        <w:tblLook w:val="04A0" w:firstRow="1" w:lastRow="0" w:firstColumn="1" w:lastColumn="0" w:noHBand="0" w:noVBand="1"/>
        <w:tblCaption w:val="Overall risk rating percentiles"/>
        <w:tblDescription w:val="A table providing guidance on the score and percentile for very high, high, medium and low risks"/>
      </w:tblPr>
      <w:tblGrid>
        <w:gridCol w:w="3970"/>
        <w:gridCol w:w="1701"/>
        <w:gridCol w:w="1701"/>
      </w:tblGrid>
      <w:tr w:rsidR="005067E2" w:rsidRPr="00005EA4" w14:paraId="3DB4E5FB" w14:textId="77777777" w:rsidTr="005604A2">
        <w:trPr>
          <w:jc w:val="center"/>
        </w:trPr>
        <w:tc>
          <w:tcPr>
            <w:tcW w:w="39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1DB845" w14:textId="77777777" w:rsidR="005067E2" w:rsidRPr="00005EA4" w:rsidRDefault="005067E2" w:rsidP="00007ED6">
            <w:pPr>
              <w:keepNext/>
              <w:spacing w:before="120" w:after="120" w:line="240" w:lineRule="auto"/>
              <w:rPr>
                <w:rFonts w:eastAsia="Calibri" w:cs="Arial"/>
                <w:b/>
                <w:bCs/>
                <w:color w:val="000000" w:themeColor="text1"/>
                <w:szCs w:val="24"/>
              </w:rPr>
            </w:pPr>
            <w:r w:rsidRPr="00005EA4">
              <w:rPr>
                <w:rFonts w:eastAsia="Calibri" w:cs="Arial"/>
                <w:b/>
                <w:bCs/>
                <w:color w:val="000000" w:themeColor="text1"/>
                <w:szCs w:val="24"/>
              </w:rPr>
              <w:t>Rating</w:t>
            </w:r>
          </w:p>
        </w:tc>
        <w:tc>
          <w:tcPr>
            <w:tcW w:w="1701" w:type="dxa"/>
            <w:tcBorders>
              <w:top w:val="single" w:sz="4" w:space="0" w:color="auto"/>
              <w:left w:val="nil"/>
              <w:bottom w:val="single" w:sz="8" w:space="0" w:color="auto"/>
              <w:right w:val="single" w:sz="8" w:space="0" w:color="auto"/>
            </w:tcBorders>
            <w:shd w:val="clear" w:color="auto" w:fill="D9D9D9" w:themeFill="background1" w:themeFillShade="D9"/>
          </w:tcPr>
          <w:p w14:paraId="28332D2C" w14:textId="77777777" w:rsidR="005067E2" w:rsidRPr="00005EA4" w:rsidRDefault="005067E2" w:rsidP="005604A2">
            <w:pPr>
              <w:spacing w:before="120" w:after="120" w:line="240" w:lineRule="auto"/>
              <w:rPr>
                <w:rFonts w:eastAsia="Calibri" w:cs="Arial"/>
                <w:b/>
                <w:bCs/>
                <w:szCs w:val="24"/>
              </w:rPr>
            </w:pPr>
            <w:r w:rsidRPr="00005EA4">
              <w:rPr>
                <w:rFonts w:eastAsia="Calibri" w:cs="Arial"/>
                <w:b/>
                <w:bCs/>
                <w:szCs w:val="24"/>
              </w:rPr>
              <w:t>Score</w:t>
            </w:r>
          </w:p>
        </w:tc>
        <w:tc>
          <w:tcPr>
            <w:tcW w:w="1701" w:type="dxa"/>
            <w:tcBorders>
              <w:top w:val="single" w:sz="4" w:space="0" w:color="auto"/>
              <w:left w:val="nil"/>
              <w:bottom w:val="single" w:sz="8" w:space="0" w:color="auto"/>
              <w:right w:val="single" w:sz="8" w:space="0" w:color="auto"/>
            </w:tcBorders>
            <w:shd w:val="clear" w:color="auto" w:fill="D9D9D9" w:themeFill="background1" w:themeFillShade="D9"/>
          </w:tcPr>
          <w:p w14:paraId="4E58BF6F" w14:textId="77777777" w:rsidR="005067E2" w:rsidRPr="00005EA4" w:rsidRDefault="005067E2" w:rsidP="005604A2">
            <w:pPr>
              <w:spacing w:before="120" w:after="120" w:line="240" w:lineRule="auto"/>
              <w:rPr>
                <w:rFonts w:eastAsia="Calibri" w:cs="Arial"/>
                <w:b/>
                <w:bCs/>
                <w:szCs w:val="24"/>
              </w:rPr>
            </w:pPr>
            <w:r w:rsidRPr="00005EA4">
              <w:rPr>
                <w:rFonts w:eastAsia="Calibri" w:cs="Arial"/>
                <w:b/>
                <w:bCs/>
                <w:szCs w:val="24"/>
              </w:rPr>
              <w:t>Percentile</w:t>
            </w:r>
          </w:p>
        </w:tc>
      </w:tr>
      <w:tr w:rsidR="005067E2" w:rsidRPr="00005EA4" w14:paraId="0C34F492" w14:textId="77777777" w:rsidTr="005604A2">
        <w:trPr>
          <w:jc w:val="center"/>
        </w:trPr>
        <w:tc>
          <w:tcPr>
            <w:tcW w:w="3970" w:type="dxa"/>
            <w:tcBorders>
              <w:top w:val="single" w:sz="8" w:space="0" w:color="auto"/>
              <w:left w:val="single" w:sz="8" w:space="0" w:color="auto"/>
              <w:bottom w:val="single" w:sz="8" w:space="0" w:color="auto"/>
              <w:right w:val="single" w:sz="8" w:space="0" w:color="auto"/>
            </w:tcBorders>
            <w:shd w:val="clear" w:color="auto" w:fill="E60000"/>
          </w:tcPr>
          <w:p w14:paraId="5FE7B429" w14:textId="77777777" w:rsidR="005067E2" w:rsidRPr="00005EA4" w:rsidRDefault="005067E2" w:rsidP="00007ED6">
            <w:pPr>
              <w:keepNext/>
              <w:spacing w:before="120" w:after="120" w:line="240" w:lineRule="auto"/>
              <w:rPr>
                <w:rFonts w:eastAsia="Calibri" w:cs="Arial"/>
                <w:b/>
                <w:bCs/>
                <w:color w:val="000000" w:themeColor="text1"/>
                <w:szCs w:val="24"/>
              </w:rPr>
            </w:pPr>
            <w:r w:rsidRPr="00005EA4">
              <w:rPr>
                <w:rFonts w:eastAsia="Calibri" w:cs="Arial"/>
                <w:b/>
                <w:bCs/>
                <w:color w:val="FFFFFF" w:themeColor="background1"/>
                <w:szCs w:val="24"/>
              </w:rPr>
              <w:t>Very High</w:t>
            </w:r>
          </w:p>
        </w:tc>
        <w:tc>
          <w:tcPr>
            <w:tcW w:w="1701" w:type="dxa"/>
            <w:tcBorders>
              <w:top w:val="nil"/>
              <w:left w:val="nil"/>
              <w:bottom w:val="single" w:sz="8" w:space="0" w:color="auto"/>
              <w:right w:val="single" w:sz="8" w:space="0" w:color="auto"/>
            </w:tcBorders>
          </w:tcPr>
          <w:p w14:paraId="56F76AE6" w14:textId="520FDCD6" w:rsidR="005067E2" w:rsidRPr="005C18A2" w:rsidRDefault="005067E2" w:rsidP="005604A2">
            <w:pPr>
              <w:spacing w:before="120" w:after="120" w:line="240" w:lineRule="auto"/>
              <w:rPr>
                <w:rFonts w:eastAsia="Calibri" w:cs="Arial"/>
                <w:szCs w:val="24"/>
              </w:rPr>
            </w:pPr>
            <w:r w:rsidRPr="005C18A2">
              <w:rPr>
                <w:rFonts w:eastAsia="Calibri" w:cs="Arial"/>
                <w:szCs w:val="24"/>
              </w:rPr>
              <w:t xml:space="preserve">&gt; </w:t>
            </w:r>
            <w:r w:rsidR="00E4742F" w:rsidRPr="0085725E">
              <w:rPr>
                <w:rFonts w:eastAsia="Calibri" w:cs="Arial"/>
                <w:szCs w:val="24"/>
              </w:rPr>
              <w:t>8.70</w:t>
            </w:r>
          </w:p>
        </w:tc>
        <w:tc>
          <w:tcPr>
            <w:tcW w:w="1701" w:type="dxa"/>
            <w:tcBorders>
              <w:top w:val="nil"/>
              <w:left w:val="nil"/>
              <w:bottom w:val="single" w:sz="8" w:space="0" w:color="auto"/>
              <w:right w:val="single" w:sz="8" w:space="0" w:color="auto"/>
            </w:tcBorders>
          </w:tcPr>
          <w:p w14:paraId="6CCCE9DF" w14:textId="77777777" w:rsidR="005067E2" w:rsidRPr="00005EA4" w:rsidRDefault="005067E2" w:rsidP="005604A2">
            <w:pPr>
              <w:spacing w:before="120" w:after="120" w:line="240" w:lineRule="auto"/>
              <w:rPr>
                <w:rFonts w:eastAsia="Calibri" w:cs="Arial"/>
                <w:szCs w:val="24"/>
              </w:rPr>
            </w:pPr>
            <w:r w:rsidRPr="00005EA4">
              <w:rPr>
                <w:rFonts w:eastAsia="Calibri" w:cs="Arial"/>
                <w:szCs w:val="24"/>
              </w:rPr>
              <w:t>&gt; 60%</w:t>
            </w:r>
          </w:p>
        </w:tc>
      </w:tr>
      <w:tr w:rsidR="005067E2" w:rsidRPr="00005EA4" w14:paraId="344EDDD9" w14:textId="77777777" w:rsidTr="005604A2">
        <w:trPr>
          <w:jc w:val="center"/>
        </w:trPr>
        <w:tc>
          <w:tcPr>
            <w:tcW w:w="3970" w:type="dxa"/>
            <w:tcBorders>
              <w:top w:val="single" w:sz="8" w:space="0" w:color="auto"/>
              <w:left w:val="single" w:sz="8" w:space="0" w:color="auto"/>
              <w:bottom w:val="single" w:sz="8" w:space="0" w:color="auto"/>
              <w:right w:val="single" w:sz="8" w:space="0" w:color="auto"/>
            </w:tcBorders>
            <w:shd w:val="clear" w:color="auto" w:fill="FFC000"/>
          </w:tcPr>
          <w:p w14:paraId="66972F85" w14:textId="77777777" w:rsidR="005067E2" w:rsidRPr="00005EA4" w:rsidRDefault="005067E2" w:rsidP="00007ED6">
            <w:pPr>
              <w:keepNext/>
              <w:spacing w:before="120" w:after="120" w:line="240" w:lineRule="auto"/>
              <w:rPr>
                <w:rFonts w:eastAsia="Calibri" w:cs="Arial"/>
                <w:b/>
                <w:bCs/>
                <w:color w:val="000000" w:themeColor="text1"/>
                <w:szCs w:val="24"/>
              </w:rPr>
            </w:pPr>
            <w:r w:rsidRPr="00005EA4">
              <w:rPr>
                <w:rFonts w:eastAsia="Calibri" w:cs="Arial"/>
                <w:b/>
                <w:bCs/>
                <w:color w:val="000000" w:themeColor="text1"/>
                <w:szCs w:val="24"/>
              </w:rPr>
              <w:t>High</w:t>
            </w:r>
          </w:p>
        </w:tc>
        <w:tc>
          <w:tcPr>
            <w:tcW w:w="1701" w:type="dxa"/>
            <w:tcBorders>
              <w:top w:val="single" w:sz="8" w:space="0" w:color="auto"/>
              <w:left w:val="nil"/>
              <w:bottom w:val="single" w:sz="8" w:space="0" w:color="auto"/>
              <w:right w:val="single" w:sz="8" w:space="0" w:color="auto"/>
            </w:tcBorders>
          </w:tcPr>
          <w:p w14:paraId="51070125" w14:textId="44CB8CD3" w:rsidR="005067E2" w:rsidRPr="005C18A2" w:rsidRDefault="00E4742F" w:rsidP="005604A2">
            <w:pPr>
              <w:spacing w:before="120" w:after="120" w:line="240" w:lineRule="auto"/>
              <w:rPr>
                <w:rFonts w:eastAsia="Calibri" w:cs="Arial"/>
                <w:szCs w:val="24"/>
              </w:rPr>
            </w:pPr>
            <w:r w:rsidRPr="0085725E">
              <w:rPr>
                <w:rFonts w:eastAsia="Calibri" w:cs="Arial"/>
                <w:szCs w:val="24"/>
              </w:rPr>
              <w:t>8.25</w:t>
            </w:r>
            <w:r w:rsidR="005067E2" w:rsidRPr="005C18A2">
              <w:rPr>
                <w:rFonts w:eastAsia="Calibri" w:cs="Arial"/>
                <w:szCs w:val="24"/>
              </w:rPr>
              <w:t xml:space="preserve"> to </w:t>
            </w:r>
            <w:r w:rsidRPr="0085725E">
              <w:rPr>
                <w:rFonts w:eastAsia="Calibri" w:cs="Arial"/>
                <w:szCs w:val="24"/>
              </w:rPr>
              <w:t>5.78</w:t>
            </w:r>
          </w:p>
        </w:tc>
        <w:tc>
          <w:tcPr>
            <w:tcW w:w="1701" w:type="dxa"/>
            <w:tcBorders>
              <w:top w:val="single" w:sz="8" w:space="0" w:color="auto"/>
              <w:left w:val="nil"/>
              <w:bottom w:val="single" w:sz="8" w:space="0" w:color="auto"/>
              <w:right w:val="single" w:sz="8" w:space="0" w:color="auto"/>
            </w:tcBorders>
          </w:tcPr>
          <w:p w14:paraId="14C3BDA3" w14:textId="77777777" w:rsidR="005067E2" w:rsidRPr="00005EA4" w:rsidRDefault="005067E2" w:rsidP="005604A2">
            <w:pPr>
              <w:spacing w:before="120" w:after="120" w:line="240" w:lineRule="auto"/>
              <w:rPr>
                <w:rFonts w:eastAsia="Calibri" w:cs="Arial"/>
                <w:szCs w:val="24"/>
              </w:rPr>
            </w:pPr>
            <w:r w:rsidRPr="00005EA4">
              <w:rPr>
                <w:rFonts w:eastAsia="Calibri" w:cs="Arial"/>
                <w:szCs w:val="24"/>
              </w:rPr>
              <w:t>40% - 59%</w:t>
            </w:r>
          </w:p>
        </w:tc>
      </w:tr>
      <w:tr w:rsidR="005067E2" w:rsidRPr="00005EA4" w14:paraId="256F7D77" w14:textId="77777777" w:rsidTr="005604A2">
        <w:trPr>
          <w:jc w:val="center"/>
        </w:trPr>
        <w:tc>
          <w:tcPr>
            <w:tcW w:w="3970" w:type="dxa"/>
            <w:tcBorders>
              <w:top w:val="single" w:sz="8" w:space="0" w:color="auto"/>
              <w:left w:val="single" w:sz="8" w:space="0" w:color="auto"/>
              <w:bottom w:val="single" w:sz="8" w:space="0" w:color="auto"/>
              <w:right w:val="single" w:sz="8" w:space="0" w:color="auto"/>
            </w:tcBorders>
            <w:shd w:val="clear" w:color="auto" w:fill="FFFF00"/>
          </w:tcPr>
          <w:p w14:paraId="50A19A2F" w14:textId="77777777" w:rsidR="005067E2" w:rsidRPr="00005EA4" w:rsidRDefault="005067E2" w:rsidP="00007ED6">
            <w:pPr>
              <w:keepNext/>
              <w:spacing w:before="120" w:after="120" w:line="240" w:lineRule="auto"/>
              <w:rPr>
                <w:rFonts w:eastAsia="Calibri" w:cs="Arial"/>
                <w:b/>
                <w:bCs/>
                <w:color w:val="000000" w:themeColor="text1"/>
                <w:szCs w:val="24"/>
              </w:rPr>
            </w:pPr>
            <w:r w:rsidRPr="00005EA4">
              <w:rPr>
                <w:rFonts w:eastAsia="Calibri" w:cs="Arial"/>
                <w:b/>
                <w:bCs/>
                <w:color w:val="000000" w:themeColor="text1"/>
                <w:szCs w:val="24"/>
              </w:rPr>
              <w:t>Medium</w:t>
            </w:r>
          </w:p>
        </w:tc>
        <w:tc>
          <w:tcPr>
            <w:tcW w:w="1701" w:type="dxa"/>
            <w:tcBorders>
              <w:top w:val="single" w:sz="8" w:space="0" w:color="auto"/>
              <w:left w:val="nil"/>
              <w:bottom w:val="single" w:sz="8" w:space="0" w:color="auto"/>
              <w:right w:val="single" w:sz="8" w:space="0" w:color="auto"/>
            </w:tcBorders>
          </w:tcPr>
          <w:p w14:paraId="62A4DA6F" w14:textId="427E6C1E" w:rsidR="005067E2" w:rsidRPr="005C18A2" w:rsidRDefault="00E4742F" w:rsidP="005604A2">
            <w:pPr>
              <w:spacing w:before="120" w:after="120" w:line="240" w:lineRule="auto"/>
              <w:rPr>
                <w:rFonts w:eastAsia="Calibri" w:cs="Arial"/>
                <w:szCs w:val="24"/>
              </w:rPr>
            </w:pPr>
            <w:r w:rsidRPr="0085725E">
              <w:rPr>
                <w:rFonts w:eastAsia="Calibri" w:cs="Arial"/>
                <w:szCs w:val="24"/>
              </w:rPr>
              <w:t>5.77</w:t>
            </w:r>
            <w:r w:rsidR="005067E2" w:rsidRPr="005C18A2">
              <w:rPr>
                <w:rFonts w:eastAsia="Calibri" w:cs="Arial"/>
                <w:szCs w:val="24"/>
              </w:rPr>
              <w:t xml:space="preserve"> to </w:t>
            </w:r>
            <w:r w:rsidRPr="0085725E">
              <w:rPr>
                <w:rFonts w:eastAsia="Calibri" w:cs="Arial"/>
                <w:szCs w:val="24"/>
              </w:rPr>
              <w:t>4.79</w:t>
            </w:r>
          </w:p>
        </w:tc>
        <w:tc>
          <w:tcPr>
            <w:tcW w:w="1701" w:type="dxa"/>
            <w:tcBorders>
              <w:top w:val="single" w:sz="8" w:space="0" w:color="auto"/>
              <w:left w:val="nil"/>
              <w:bottom w:val="single" w:sz="8" w:space="0" w:color="auto"/>
              <w:right w:val="single" w:sz="8" w:space="0" w:color="auto"/>
            </w:tcBorders>
          </w:tcPr>
          <w:p w14:paraId="695CBA99" w14:textId="77777777" w:rsidR="005067E2" w:rsidRPr="00005EA4" w:rsidRDefault="005067E2" w:rsidP="005604A2">
            <w:pPr>
              <w:spacing w:before="120" w:after="120" w:line="240" w:lineRule="auto"/>
              <w:rPr>
                <w:rFonts w:eastAsia="Calibri" w:cs="Arial"/>
                <w:szCs w:val="24"/>
              </w:rPr>
            </w:pPr>
            <w:r w:rsidRPr="00005EA4">
              <w:rPr>
                <w:rFonts w:eastAsia="Calibri" w:cs="Arial"/>
                <w:szCs w:val="24"/>
              </w:rPr>
              <w:t>30% - 39%</w:t>
            </w:r>
          </w:p>
        </w:tc>
      </w:tr>
      <w:tr w:rsidR="005067E2" w:rsidRPr="002B7E1B" w14:paraId="74EB6C6E" w14:textId="77777777" w:rsidTr="005604A2">
        <w:trPr>
          <w:jc w:val="center"/>
        </w:trPr>
        <w:tc>
          <w:tcPr>
            <w:tcW w:w="3970" w:type="dxa"/>
            <w:tcBorders>
              <w:top w:val="single" w:sz="8" w:space="0" w:color="auto"/>
              <w:left w:val="single" w:sz="8" w:space="0" w:color="auto"/>
              <w:bottom w:val="single" w:sz="8" w:space="0" w:color="auto"/>
              <w:right w:val="single" w:sz="8" w:space="0" w:color="auto"/>
            </w:tcBorders>
            <w:shd w:val="clear" w:color="auto" w:fill="92D050"/>
          </w:tcPr>
          <w:p w14:paraId="412CF7B3" w14:textId="77777777" w:rsidR="005067E2" w:rsidRPr="00005EA4" w:rsidRDefault="005067E2" w:rsidP="005604A2">
            <w:pPr>
              <w:spacing w:before="120" w:after="120" w:line="240" w:lineRule="auto"/>
              <w:rPr>
                <w:rFonts w:eastAsia="Calibri" w:cs="Arial"/>
                <w:b/>
                <w:bCs/>
                <w:color w:val="000000" w:themeColor="text1"/>
                <w:szCs w:val="24"/>
              </w:rPr>
            </w:pPr>
            <w:r w:rsidRPr="00005EA4">
              <w:rPr>
                <w:rFonts w:eastAsia="Calibri" w:cs="Arial"/>
                <w:b/>
                <w:bCs/>
                <w:color w:val="000000" w:themeColor="text1"/>
                <w:szCs w:val="24"/>
              </w:rPr>
              <w:t>Low</w:t>
            </w:r>
          </w:p>
        </w:tc>
        <w:tc>
          <w:tcPr>
            <w:tcW w:w="1701" w:type="dxa"/>
            <w:tcBorders>
              <w:top w:val="single" w:sz="8" w:space="0" w:color="auto"/>
              <w:left w:val="nil"/>
              <w:bottom w:val="single" w:sz="8" w:space="0" w:color="auto"/>
              <w:right w:val="single" w:sz="8" w:space="0" w:color="auto"/>
            </w:tcBorders>
          </w:tcPr>
          <w:p w14:paraId="75277414" w14:textId="103B2DB0" w:rsidR="005067E2" w:rsidRPr="005C18A2" w:rsidRDefault="005067E2" w:rsidP="005604A2">
            <w:pPr>
              <w:spacing w:before="120" w:after="120" w:line="240" w:lineRule="auto"/>
              <w:rPr>
                <w:rFonts w:eastAsia="Calibri" w:cs="Arial"/>
                <w:szCs w:val="24"/>
              </w:rPr>
            </w:pPr>
            <w:r w:rsidRPr="005C18A2">
              <w:rPr>
                <w:rFonts w:eastAsia="Calibri" w:cs="Arial"/>
                <w:szCs w:val="24"/>
              </w:rPr>
              <w:t xml:space="preserve">&lt; </w:t>
            </w:r>
            <w:r w:rsidR="00E4742F" w:rsidRPr="0085725E">
              <w:rPr>
                <w:rFonts w:eastAsia="Calibri" w:cs="Arial"/>
                <w:szCs w:val="24"/>
              </w:rPr>
              <w:t>4.79</w:t>
            </w:r>
          </w:p>
        </w:tc>
        <w:tc>
          <w:tcPr>
            <w:tcW w:w="1701" w:type="dxa"/>
            <w:tcBorders>
              <w:top w:val="single" w:sz="8" w:space="0" w:color="auto"/>
              <w:left w:val="nil"/>
              <w:bottom w:val="single" w:sz="8" w:space="0" w:color="auto"/>
              <w:right w:val="single" w:sz="8" w:space="0" w:color="auto"/>
            </w:tcBorders>
          </w:tcPr>
          <w:p w14:paraId="059D0C3E" w14:textId="77777777" w:rsidR="005067E2" w:rsidRPr="00005EA4" w:rsidRDefault="005067E2" w:rsidP="005604A2">
            <w:pPr>
              <w:spacing w:before="120" w:after="120" w:line="240" w:lineRule="auto"/>
              <w:rPr>
                <w:rFonts w:eastAsia="Calibri" w:cs="Arial"/>
                <w:szCs w:val="24"/>
              </w:rPr>
            </w:pPr>
            <w:r w:rsidRPr="00005EA4">
              <w:rPr>
                <w:rFonts w:eastAsia="Calibri" w:cs="Arial"/>
                <w:szCs w:val="24"/>
              </w:rPr>
              <w:t>&lt; 30%</w:t>
            </w:r>
          </w:p>
        </w:tc>
      </w:tr>
    </w:tbl>
    <w:p w14:paraId="06ABA3DD" w14:textId="77777777" w:rsidR="005067E2" w:rsidRPr="009D68DC" w:rsidRDefault="005067E2" w:rsidP="009D68DC">
      <w:pPr>
        <w:pStyle w:val="NoSpacing"/>
        <w:rPr>
          <w:highlight w:val="yellow"/>
        </w:rPr>
      </w:pPr>
    </w:p>
    <w:p w14:paraId="01B9F7FB" w14:textId="77777777" w:rsidR="005067E2" w:rsidRPr="00B06574" w:rsidRDefault="005067E2" w:rsidP="005067E2">
      <w:pPr>
        <w:pStyle w:val="Heading2"/>
        <w:rPr>
          <w:b w:val="0"/>
        </w:rPr>
      </w:pPr>
      <w:bookmarkStart w:id="73" w:name="_Toc208329951"/>
      <w:r w:rsidRPr="00B06574">
        <w:t>Commercial property fires</w:t>
      </w:r>
      <w:bookmarkEnd w:id="73"/>
    </w:p>
    <w:p w14:paraId="566B0F7B" w14:textId="77777777" w:rsidR="005067E2" w:rsidRPr="00B06574" w:rsidRDefault="005067E2" w:rsidP="005067E2">
      <w:r w:rsidRPr="00B06574">
        <w:t xml:space="preserve">Commercial property accounts for </w:t>
      </w:r>
      <w:r w:rsidRPr="0037598D">
        <w:t xml:space="preserve">roughly 13% of the value of all buildings across the UK and is worth almost £900bn, according to the </w:t>
      </w:r>
      <w:hyperlink r:id="rId22" w:tgtFrame="_blank" w:history="1">
        <w:r w:rsidRPr="0037598D">
          <w:rPr>
            <w:rStyle w:val="Hyperlink"/>
            <w:rFonts w:cs="Arial"/>
            <w:color w:val="000000" w:themeColor="text1"/>
            <w:szCs w:val="24"/>
            <w:u w:val="none"/>
          </w:rPr>
          <w:t>British Property Federation</w:t>
        </w:r>
      </w:hyperlink>
      <w:r w:rsidRPr="0037598D">
        <w:t>.  Commercial property comprises a diverse range of property</w:t>
      </w:r>
      <w:r w:rsidRPr="00B06574">
        <w:t xml:space="preserve"> types including office space and retail establishments, from high street shops to large out-of-town complexes.  It also refers to leisure establishments, such as restaurants, pubs, hotels, and gyms, and even car parking.</w:t>
      </w:r>
    </w:p>
    <w:p w14:paraId="643DBD79" w14:textId="68FAD3EB" w:rsidR="005067E2" w:rsidRPr="00B06574" w:rsidRDefault="005067E2" w:rsidP="005067E2">
      <w:r w:rsidRPr="00B06574">
        <w:t xml:space="preserve">As with most counties throughout England, Lancashire boasts thousands of commercial premises, all of which must comply with the Regulatory Reform (Fire Safety) Order 2005.  Fire and rescue services are responsible for enforcing this legislation and </w:t>
      </w:r>
      <w:r w:rsidR="003D2C08" w:rsidRPr="00B06574">
        <w:rPr>
          <w:lang w:eastAsia="en-GB"/>
        </w:rPr>
        <w:t xml:space="preserve">Lancashire </w:t>
      </w:r>
      <w:r w:rsidR="00C77080" w:rsidRPr="00B06574">
        <w:rPr>
          <w:lang w:eastAsia="en-GB"/>
        </w:rPr>
        <w:t>F</w:t>
      </w:r>
      <w:r w:rsidR="003D2C08" w:rsidRPr="00B06574">
        <w:rPr>
          <w:lang w:eastAsia="en-GB"/>
        </w:rPr>
        <w:t xml:space="preserve">ire and </w:t>
      </w:r>
      <w:r w:rsidR="00C77080" w:rsidRPr="00B06574">
        <w:rPr>
          <w:lang w:eastAsia="en-GB"/>
        </w:rPr>
        <w:t>R</w:t>
      </w:r>
      <w:r w:rsidR="003D2C08" w:rsidRPr="00B06574">
        <w:rPr>
          <w:lang w:eastAsia="en-GB"/>
        </w:rPr>
        <w:t xml:space="preserve">escue </w:t>
      </w:r>
      <w:r w:rsidR="00C77080" w:rsidRPr="00B06574">
        <w:rPr>
          <w:lang w:eastAsia="en-GB"/>
        </w:rPr>
        <w:t>S</w:t>
      </w:r>
      <w:r w:rsidR="003D2C08" w:rsidRPr="00B06574">
        <w:rPr>
          <w:lang w:eastAsia="en-GB"/>
        </w:rPr>
        <w:t>ervice</w:t>
      </w:r>
      <w:r w:rsidRPr="00B06574">
        <w:t xml:space="preserve"> has a robust inspection programme in place for those premises deemed to be high risk.  Fire inspection forms the basis of our protection programme designed to reduce the risk and impact of fire upon communities, businesses, and our environment, and safeguard firefighters who respond to incidents involving them.</w:t>
      </w:r>
    </w:p>
    <w:p w14:paraId="2F9AA8FE" w14:textId="4F67188C" w:rsidR="005067E2" w:rsidRPr="00526E60" w:rsidRDefault="005067E2" w:rsidP="005067E2">
      <w:r w:rsidRPr="00526E60">
        <w:t>Over the past five years, we have attended an average of 24</w:t>
      </w:r>
      <w:r w:rsidR="00526E60" w:rsidRPr="00526E60">
        <w:t>5</w:t>
      </w:r>
      <w:r w:rsidRPr="00526E60">
        <w:t xml:space="preserve"> incidents a year which have involved commercial premises where the cause has been recorded as accidental or unknown.  This equates to a five-year total of 1,2</w:t>
      </w:r>
      <w:r w:rsidR="00526E60" w:rsidRPr="00526E60">
        <w:t>24</w:t>
      </w:r>
      <w:r w:rsidRPr="00526E60">
        <w:t xml:space="preserve"> incidents.</w:t>
      </w:r>
    </w:p>
    <w:p w14:paraId="5B51F08A" w14:textId="76FB13CA" w:rsidR="005067E2" w:rsidRPr="005C18A2" w:rsidRDefault="005067E2" w:rsidP="005067E2">
      <w:r w:rsidRPr="005C18A2">
        <w:t xml:space="preserve">Non-residential properties accounted for </w:t>
      </w:r>
      <w:r w:rsidR="00E853DD" w:rsidRPr="0085725E">
        <w:t>86</w:t>
      </w:r>
      <w:r w:rsidRPr="005C18A2">
        <w:t xml:space="preserve">% of the incidents, of </w:t>
      </w:r>
      <w:r w:rsidRPr="005C18A2">
        <w:rPr>
          <w:rFonts w:cs="Arial"/>
          <w:color w:val="000000" w:themeColor="text1"/>
          <w:szCs w:val="24"/>
        </w:rPr>
        <w:t xml:space="preserve">which food and drink establishments </w:t>
      </w:r>
      <w:r w:rsidRPr="005C18A2">
        <w:t xml:space="preserve">accounted for </w:t>
      </w:r>
      <w:r w:rsidR="00E853DD" w:rsidRPr="0085725E">
        <w:t>18</w:t>
      </w:r>
      <w:r w:rsidRPr="005C18A2">
        <w:t xml:space="preserve">%, with </w:t>
      </w:r>
      <w:r w:rsidRPr="005C18A2">
        <w:rPr>
          <w:rFonts w:cs="Arial"/>
          <w:color w:val="000000" w:themeColor="text1"/>
          <w:szCs w:val="24"/>
        </w:rPr>
        <w:t>retail outlets</w:t>
      </w:r>
      <w:r w:rsidRPr="005C18A2">
        <w:t xml:space="preserve"> with </w:t>
      </w:r>
      <w:r w:rsidR="00E853DD" w:rsidRPr="0085725E">
        <w:t>17</w:t>
      </w:r>
      <w:r w:rsidRPr="005C18A2">
        <w:t xml:space="preserve">%, and industrial manufacturing </w:t>
      </w:r>
      <w:r w:rsidR="00E853DD" w:rsidRPr="0085725E">
        <w:t>14</w:t>
      </w:r>
      <w:r w:rsidRPr="005C18A2">
        <w:t>%.</w:t>
      </w:r>
    </w:p>
    <w:p w14:paraId="7185B6EC" w14:textId="3F49273F" w:rsidR="005067E2" w:rsidRPr="005C18A2" w:rsidRDefault="005067E2" w:rsidP="005067E2">
      <w:r w:rsidRPr="005C18A2">
        <w:t xml:space="preserve">Other residential properties accounted for the other </w:t>
      </w:r>
      <w:r w:rsidR="00E25089" w:rsidRPr="0085725E">
        <w:t>14</w:t>
      </w:r>
      <w:r w:rsidRPr="005C18A2">
        <w:t xml:space="preserve">% of the total number of incidents, of which residential homes accounted for </w:t>
      </w:r>
      <w:r w:rsidR="00E25089" w:rsidRPr="0085725E">
        <w:t>34</w:t>
      </w:r>
      <w:r w:rsidRPr="005C18A2">
        <w:t xml:space="preserve">%, hotel/motel </w:t>
      </w:r>
      <w:r w:rsidR="00E25089" w:rsidRPr="0085725E">
        <w:t>29</w:t>
      </w:r>
      <w:r w:rsidRPr="005C18A2">
        <w:t xml:space="preserve">%, and student hall of residence </w:t>
      </w:r>
      <w:r w:rsidR="00E25089" w:rsidRPr="0085725E">
        <w:t>16</w:t>
      </w:r>
      <w:r w:rsidRPr="005C18A2">
        <w:t>%.</w:t>
      </w:r>
    </w:p>
    <w:p w14:paraId="31C75EF1" w14:textId="6ADCE249" w:rsidR="005067E2" w:rsidRPr="005C18A2" w:rsidRDefault="005067E2" w:rsidP="005067E2">
      <w:r w:rsidRPr="005C18A2">
        <w:lastRenderedPageBreak/>
        <w:t xml:space="preserve">Fires at commercial property types resulted in </w:t>
      </w:r>
      <w:r w:rsidR="009F59F6">
        <w:t>2</w:t>
      </w:r>
      <w:r w:rsidR="009F59F6" w:rsidRPr="005C18A2">
        <w:t xml:space="preserve"> </w:t>
      </w:r>
      <w:r w:rsidRPr="005C18A2">
        <w:t xml:space="preserve">fatalities, </w:t>
      </w:r>
      <w:r w:rsidR="009F59F6">
        <w:t>3</w:t>
      </w:r>
      <w:r w:rsidR="009F59F6" w:rsidRPr="005C18A2">
        <w:t xml:space="preserve"> </w:t>
      </w:r>
      <w:r w:rsidRPr="005C18A2">
        <w:t xml:space="preserve">serious injuries and </w:t>
      </w:r>
      <w:r w:rsidR="009F59F6">
        <w:t>11</w:t>
      </w:r>
      <w:r w:rsidR="009F59F6" w:rsidRPr="005C18A2">
        <w:t xml:space="preserve"> </w:t>
      </w:r>
      <w:r w:rsidRPr="005C18A2">
        <w:t>minor injuries over the previous five years.</w:t>
      </w:r>
    </w:p>
    <w:p w14:paraId="489209E9" w14:textId="77777777" w:rsidR="005067E2" w:rsidRPr="0085725E" w:rsidRDefault="005067E2" w:rsidP="005067E2">
      <w:pPr>
        <w:pStyle w:val="NoSpacing"/>
        <w:rPr>
          <w:szCs w:val="16"/>
          <w:highlight w:val="yellow"/>
        </w:rPr>
      </w:pPr>
    </w:p>
    <w:tbl>
      <w:tblPr>
        <w:tblStyle w:val="TableGrid"/>
        <w:tblW w:w="0" w:type="auto"/>
        <w:jc w:val="center"/>
        <w:tblLayout w:type="fixed"/>
        <w:tblLook w:val="04A0" w:firstRow="1" w:lastRow="0" w:firstColumn="1" w:lastColumn="0" w:noHBand="0" w:noVBand="1"/>
        <w:tblCaption w:val="Risk - commercial building fires"/>
        <w:tblDescription w:val="A table detailing the likelihood, consequence, risk score and overall assessment"/>
      </w:tblPr>
      <w:tblGrid>
        <w:gridCol w:w="4526"/>
        <w:gridCol w:w="1701"/>
      </w:tblGrid>
      <w:tr w:rsidR="005067E2" w:rsidRPr="002B7E1B" w14:paraId="77E879D5" w14:textId="77777777" w:rsidTr="005604A2">
        <w:trPr>
          <w:tblHeade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592F8A0" w14:textId="77777777" w:rsidR="005067E2" w:rsidRPr="002E6416" w:rsidRDefault="005067E2" w:rsidP="009D68DC">
            <w:pPr>
              <w:pStyle w:val="NoSpacing"/>
              <w:keepNext/>
              <w:spacing w:before="120" w:after="120"/>
              <w:rPr>
                <w:b/>
                <w:sz w:val="24"/>
                <w:szCs w:val="24"/>
              </w:rPr>
            </w:pPr>
            <w:r w:rsidRPr="002E6416">
              <w:rPr>
                <w:b/>
                <w:sz w:val="24"/>
                <w:szCs w:val="24"/>
              </w:rPr>
              <w:t>Risk – Commercial building fires</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58E8D2" w14:textId="77777777" w:rsidR="005067E2" w:rsidRPr="002E6416" w:rsidRDefault="005067E2" w:rsidP="005604A2">
            <w:pPr>
              <w:pStyle w:val="NoSpacing"/>
              <w:spacing w:before="120" w:after="120"/>
              <w:rPr>
                <w:b/>
                <w:sz w:val="24"/>
                <w:szCs w:val="24"/>
              </w:rPr>
            </w:pPr>
            <w:r w:rsidRPr="002E6416">
              <w:rPr>
                <w:b/>
                <w:sz w:val="24"/>
                <w:szCs w:val="24"/>
              </w:rPr>
              <w:t>Rating</w:t>
            </w:r>
          </w:p>
        </w:tc>
      </w:tr>
      <w:tr w:rsidR="005067E2" w:rsidRPr="002B7E1B" w14:paraId="6DDCDEB8" w14:textId="77777777" w:rsidTr="005604A2">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C96CD67" w14:textId="77777777" w:rsidR="005067E2" w:rsidRPr="002E6416" w:rsidRDefault="005067E2" w:rsidP="009D68DC">
            <w:pPr>
              <w:pStyle w:val="Tabletext"/>
              <w:keepNext/>
              <w:rPr>
                <w:b/>
                <w:bCs w:val="0"/>
                <w:sz w:val="24"/>
              </w:rPr>
            </w:pPr>
            <w:r w:rsidRPr="002E6416">
              <w:rPr>
                <w:b/>
                <w:bCs w:val="0"/>
                <w:sz w:val="24"/>
              </w:rPr>
              <w:t>Likelihood</w:t>
            </w:r>
          </w:p>
        </w:tc>
        <w:tc>
          <w:tcPr>
            <w:tcW w:w="1701" w:type="dxa"/>
            <w:tcBorders>
              <w:top w:val="nil"/>
              <w:left w:val="nil"/>
              <w:bottom w:val="single" w:sz="8" w:space="0" w:color="auto"/>
              <w:right w:val="single" w:sz="8" w:space="0" w:color="auto"/>
            </w:tcBorders>
          </w:tcPr>
          <w:p w14:paraId="3052A6FC" w14:textId="77777777" w:rsidR="005067E2" w:rsidRPr="002E6416" w:rsidRDefault="005067E2" w:rsidP="005604A2">
            <w:pPr>
              <w:pStyle w:val="Tabletext"/>
              <w:rPr>
                <w:sz w:val="24"/>
              </w:rPr>
            </w:pPr>
            <w:r w:rsidRPr="002E6416">
              <w:rPr>
                <w:sz w:val="24"/>
              </w:rPr>
              <w:t>Medium High</w:t>
            </w:r>
          </w:p>
        </w:tc>
      </w:tr>
      <w:tr w:rsidR="005067E2" w:rsidRPr="002B7E1B" w14:paraId="0C9E1A24" w14:textId="77777777" w:rsidTr="005604A2">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D593C7E" w14:textId="77777777" w:rsidR="005067E2" w:rsidRPr="002E6416" w:rsidRDefault="005067E2" w:rsidP="009D68DC">
            <w:pPr>
              <w:pStyle w:val="Tabletext"/>
              <w:keepNext/>
              <w:rPr>
                <w:b/>
                <w:bCs w:val="0"/>
                <w:sz w:val="24"/>
              </w:rPr>
            </w:pPr>
            <w:r w:rsidRPr="002E6416">
              <w:rPr>
                <w:b/>
                <w:bCs w:val="0"/>
                <w:sz w:val="24"/>
              </w:rPr>
              <w:t>Consequence</w:t>
            </w:r>
          </w:p>
        </w:tc>
        <w:tc>
          <w:tcPr>
            <w:tcW w:w="1701" w:type="dxa"/>
            <w:tcBorders>
              <w:top w:val="single" w:sz="8" w:space="0" w:color="auto"/>
              <w:left w:val="nil"/>
              <w:bottom w:val="single" w:sz="8" w:space="0" w:color="auto"/>
              <w:right w:val="single" w:sz="8" w:space="0" w:color="auto"/>
            </w:tcBorders>
          </w:tcPr>
          <w:p w14:paraId="73728D28" w14:textId="0A6429A5" w:rsidR="005067E2" w:rsidRPr="002E6416" w:rsidRDefault="00B06574" w:rsidP="005604A2">
            <w:pPr>
              <w:pStyle w:val="Tabletext"/>
              <w:rPr>
                <w:sz w:val="24"/>
              </w:rPr>
            </w:pPr>
            <w:r>
              <w:rPr>
                <w:sz w:val="24"/>
              </w:rPr>
              <w:t>Moderate</w:t>
            </w:r>
          </w:p>
        </w:tc>
      </w:tr>
      <w:tr w:rsidR="005067E2" w:rsidRPr="002B7E1B" w14:paraId="5A03722E" w14:textId="77777777" w:rsidTr="005604A2">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5D8C0E" w14:textId="77777777" w:rsidR="005067E2" w:rsidRPr="002E6416" w:rsidRDefault="005067E2" w:rsidP="009D68DC">
            <w:pPr>
              <w:pStyle w:val="Tabletext"/>
              <w:keepNext/>
              <w:rPr>
                <w:b/>
                <w:bCs w:val="0"/>
                <w:sz w:val="24"/>
              </w:rPr>
            </w:pPr>
            <w:r w:rsidRPr="002E6416">
              <w:rPr>
                <w:b/>
                <w:bCs w:val="0"/>
                <w:sz w:val="24"/>
              </w:rPr>
              <w:t>Risk score</w:t>
            </w:r>
          </w:p>
        </w:tc>
        <w:tc>
          <w:tcPr>
            <w:tcW w:w="1701" w:type="dxa"/>
            <w:tcBorders>
              <w:top w:val="single" w:sz="8" w:space="0" w:color="auto"/>
              <w:left w:val="nil"/>
              <w:bottom w:val="single" w:sz="8" w:space="0" w:color="auto"/>
              <w:right w:val="single" w:sz="8" w:space="0" w:color="auto"/>
            </w:tcBorders>
          </w:tcPr>
          <w:p w14:paraId="27D2B8AC" w14:textId="77777777" w:rsidR="005067E2" w:rsidRPr="002E6416" w:rsidRDefault="005067E2" w:rsidP="005604A2">
            <w:pPr>
              <w:pStyle w:val="Tabletext"/>
              <w:rPr>
                <w:sz w:val="24"/>
              </w:rPr>
            </w:pPr>
            <w:r w:rsidRPr="002E6416">
              <w:rPr>
                <w:sz w:val="24"/>
              </w:rPr>
              <w:t>14.10</w:t>
            </w:r>
          </w:p>
        </w:tc>
      </w:tr>
      <w:tr w:rsidR="005067E2" w:rsidRPr="002B7E1B" w14:paraId="5036BC98" w14:textId="77777777" w:rsidTr="005604A2">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140246E" w14:textId="77777777" w:rsidR="005067E2" w:rsidRPr="002E6416" w:rsidRDefault="005067E2" w:rsidP="005604A2">
            <w:pPr>
              <w:pStyle w:val="Tabletext"/>
              <w:rPr>
                <w:b/>
                <w:bCs w:val="0"/>
                <w:sz w:val="24"/>
              </w:rPr>
            </w:pPr>
            <w:r w:rsidRPr="002E6416">
              <w:rPr>
                <w:b/>
                <w:bCs w:val="0"/>
                <w:sz w:val="24"/>
              </w:rPr>
              <w:t>Overall assessment</w:t>
            </w:r>
          </w:p>
        </w:tc>
        <w:tc>
          <w:tcPr>
            <w:tcW w:w="1701" w:type="dxa"/>
            <w:tcBorders>
              <w:top w:val="single" w:sz="8" w:space="0" w:color="auto"/>
              <w:left w:val="nil"/>
              <w:bottom w:val="single" w:sz="8" w:space="0" w:color="auto"/>
              <w:right w:val="single" w:sz="8" w:space="0" w:color="auto"/>
            </w:tcBorders>
            <w:shd w:val="clear" w:color="auto" w:fill="E60000"/>
          </w:tcPr>
          <w:p w14:paraId="24C26202" w14:textId="77777777" w:rsidR="005067E2" w:rsidRPr="002E6416" w:rsidRDefault="005067E2" w:rsidP="005604A2">
            <w:pPr>
              <w:pStyle w:val="Tabletext"/>
              <w:rPr>
                <w:color w:val="FFFFFF" w:themeColor="background1"/>
                <w:sz w:val="24"/>
              </w:rPr>
            </w:pPr>
            <w:r w:rsidRPr="002E6416">
              <w:rPr>
                <w:color w:val="FFFFFF" w:themeColor="background1"/>
                <w:sz w:val="24"/>
              </w:rPr>
              <w:t>Very High</w:t>
            </w:r>
          </w:p>
        </w:tc>
      </w:tr>
    </w:tbl>
    <w:p w14:paraId="5EEDF333" w14:textId="77777777" w:rsidR="005067E2" w:rsidRPr="0085725E" w:rsidRDefault="005067E2" w:rsidP="005067E2">
      <w:pPr>
        <w:pStyle w:val="NoSpacing"/>
        <w:rPr>
          <w:highlight w:val="yellow"/>
        </w:rPr>
      </w:pPr>
    </w:p>
    <w:p w14:paraId="6997DF84" w14:textId="77777777" w:rsidR="005067E2" w:rsidRPr="00B06574" w:rsidRDefault="005067E2" w:rsidP="005067E2">
      <w:pPr>
        <w:pStyle w:val="Heading2"/>
        <w:rPr>
          <w:b w:val="0"/>
        </w:rPr>
      </w:pPr>
      <w:bookmarkStart w:id="74" w:name="_Toc208329952"/>
      <w:r w:rsidRPr="00B06574">
        <w:t>Wildfire</w:t>
      </w:r>
      <w:bookmarkEnd w:id="74"/>
    </w:p>
    <w:p w14:paraId="0266ABB1" w14:textId="77777777" w:rsidR="005067E2" w:rsidRPr="00B06574" w:rsidRDefault="005067E2" w:rsidP="005067E2">
      <w:pPr>
        <w:rPr>
          <w:lang w:val="en-US"/>
        </w:rPr>
      </w:pPr>
      <w:r w:rsidRPr="00B06574">
        <w:rPr>
          <w:lang w:val="en-US"/>
        </w:rPr>
        <w:t>The wildfire season, severity and size of wildfires is increasing in duration, this could be attributed to climate change and other factors that have sustained or increased the fuel layer on the moors such as changes in land management, reduced animal grazing and competing priorities for moorland management.</w:t>
      </w:r>
    </w:p>
    <w:p w14:paraId="37D54585" w14:textId="77777777" w:rsidR="005067E2" w:rsidRPr="00B06574" w:rsidRDefault="005067E2" w:rsidP="005067E2">
      <w:pPr>
        <w:rPr>
          <w:lang w:val="en-US"/>
        </w:rPr>
      </w:pPr>
      <w:r w:rsidRPr="00B06574">
        <w:rPr>
          <w:lang w:val="en-US"/>
        </w:rPr>
        <w:t>Wildfires have historically occurred in spring and summer months.  The spring fires usually involve surface fine fuel fires such as Molina grass/heather that have been dried out by the wind, sun, and frost.  The fires that occur are also supported by a blanket of dead vegetation on the moors from the previous year.  These types of fires can spread rapidly over large geographic areas.</w:t>
      </w:r>
    </w:p>
    <w:p w14:paraId="0BD8DD35" w14:textId="13E61C73" w:rsidR="005067E2" w:rsidRPr="00B06574" w:rsidRDefault="005067E2" w:rsidP="005067E2">
      <w:pPr>
        <w:rPr>
          <w:lang w:val="en-US"/>
        </w:rPr>
      </w:pPr>
      <w:r w:rsidRPr="00B06574">
        <w:rPr>
          <w:lang w:val="en-US"/>
        </w:rPr>
        <w:t>The summer fires are caused by prolonged periods of drought conditions due to low rainfall and high temperatures.  Ground fuel fires that occur in large and remote geographic areas where water sources are not readily available can be extremely resource intensive, require support from partner agencies and be difficult to extinguish due to being deep seated below ground.  These types of incidents require vast quantities of water far in excess what conventional fire-fighting appliances can deliver.</w:t>
      </w:r>
    </w:p>
    <w:p w14:paraId="19AAF53A" w14:textId="77777777" w:rsidR="005067E2" w:rsidRPr="00B06574" w:rsidRDefault="005067E2" w:rsidP="005067E2">
      <w:r w:rsidRPr="00B06574">
        <w:t>We know that wildfires can start for many reasons, such as mishandled campfires or barbecues, malicious activity such as deliberate fire setting, infrastructure incidents such as sparks from electricity lines or rail transport, and natural phenomena such as lightning (although this is rare).  Hot, dry and windy weather are ideal conditions for wildfires to start and spread.</w:t>
      </w:r>
    </w:p>
    <w:p w14:paraId="4E8E63AC" w14:textId="5CA022B3" w:rsidR="005067E2" w:rsidRPr="0085725E" w:rsidRDefault="005067E2" w:rsidP="005067E2">
      <w:pPr>
        <w:rPr>
          <w:highlight w:val="yellow"/>
        </w:rPr>
      </w:pPr>
      <w:r w:rsidRPr="00526E60">
        <w:t xml:space="preserve">Over the previous five years, we attended </w:t>
      </w:r>
      <w:r w:rsidR="00526E60" w:rsidRPr="0085725E">
        <w:t>582</w:t>
      </w:r>
      <w:r w:rsidRPr="00526E60">
        <w:t xml:space="preserve"> wildfire incidents which is an average of </w:t>
      </w:r>
      <w:r w:rsidR="00526E60" w:rsidRPr="0085725E">
        <w:t>116</w:t>
      </w:r>
      <w:r w:rsidR="00526E60" w:rsidRPr="00526E60">
        <w:t xml:space="preserve"> </w:t>
      </w:r>
      <w:r w:rsidRPr="00526E60">
        <w:t xml:space="preserve">incidents a year.  </w:t>
      </w:r>
      <w:r w:rsidR="005C44B4" w:rsidRPr="0085725E">
        <w:t>82</w:t>
      </w:r>
      <w:r w:rsidRPr="004012CA">
        <w:t xml:space="preserve">% of the incidents only involved 1 pump.  </w:t>
      </w:r>
      <w:r w:rsidR="005C44B4" w:rsidRPr="0085725E">
        <w:t>43</w:t>
      </w:r>
      <w:r w:rsidRPr="004012CA">
        <w:t xml:space="preserve">% of all the wildfire incidents were deliberate, including some large-scale, multi-pump incidents attended by </w:t>
      </w:r>
      <w:r w:rsidR="003D2C08" w:rsidRPr="004012CA">
        <w:rPr>
          <w:lang w:eastAsia="en-GB"/>
        </w:rPr>
        <w:t xml:space="preserve">Lancashire </w:t>
      </w:r>
      <w:r w:rsidR="00C77080" w:rsidRPr="004012CA">
        <w:rPr>
          <w:lang w:eastAsia="en-GB"/>
        </w:rPr>
        <w:t>F</w:t>
      </w:r>
      <w:r w:rsidR="003D2C08" w:rsidRPr="004012CA">
        <w:rPr>
          <w:lang w:eastAsia="en-GB"/>
        </w:rPr>
        <w:t xml:space="preserve">ire and </w:t>
      </w:r>
      <w:r w:rsidR="00C77080" w:rsidRPr="004012CA">
        <w:rPr>
          <w:lang w:eastAsia="en-GB"/>
        </w:rPr>
        <w:t>R</w:t>
      </w:r>
      <w:r w:rsidR="003D2C08" w:rsidRPr="004012CA">
        <w:rPr>
          <w:lang w:eastAsia="en-GB"/>
        </w:rPr>
        <w:t xml:space="preserve">escue </w:t>
      </w:r>
      <w:r w:rsidR="00C77080" w:rsidRPr="004012CA">
        <w:rPr>
          <w:lang w:eastAsia="en-GB"/>
        </w:rPr>
        <w:t>S</w:t>
      </w:r>
      <w:r w:rsidR="003D2C08" w:rsidRPr="004012CA">
        <w:rPr>
          <w:lang w:eastAsia="en-GB"/>
        </w:rPr>
        <w:t>ervice</w:t>
      </w:r>
      <w:r w:rsidRPr="004012CA">
        <w:t>.</w:t>
      </w:r>
    </w:p>
    <w:p w14:paraId="4792A0C4"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wildfire"/>
        <w:tblDescription w:val="A table detailing the likelihood, consequence, risk score and overall assessment"/>
      </w:tblPr>
      <w:tblGrid>
        <w:gridCol w:w="4385"/>
        <w:gridCol w:w="1737"/>
      </w:tblGrid>
      <w:tr w:rsidR="005067E2" w:rsidRPr="002B7E1B" w14:paraId="7F3B81C4" w14:textId="77777777" w:rsidTr="005604A2">
        <w:trPr>
          <w:tblHeade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F2E4C87" w14:textId="77777777" w:rsidR="005067E2" w:rsidRPr="002E6416" w:rsidRDefault="005067E2" w:rsidP="009D68DC">
            <w:pPr>
              <w:pStyle w:val="Tabletext"/>
              <w:keepNext/>
              <w:rPr>
                <w:sz w:val="24"/>
              </w:rPr>
            </w:pPr>
            <w:r w:rsidRPr="002E6416">
              <w:rPr>
                <w:b/>
                <w:bCs w:val="0"/>
                <w:sz w:val="24"/>
              </w:rPr>
              <w:t>Risk - Wildfire</w:t>
            </w:r>
          </w:p>
        </w:tc>
        <w:tc>
          <w:tcPr>
            <w:tcW w:w="17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3AC245" w14:textId="77777777" w:rsidR="005067E2" w:rsidRPr="002E6416" w:rsidRDefault="005067E2" w:rsidP="005604A2">
            <w:pPr>
              <w:pStyle w:val="Tabletext"/>
              <w:rPr>
                <w:sz w:val="24"/>
              </w:rPr>
            </w:pPr>
            <w:r w:rsidRPr="002E6416">
              <w:rPr>
                <w:b/>
                <w:sz w:val="24"/>
              </w:rPr>
              <w:t>Rating</w:t>
            </w:r>
          </w:p>
        </w:tc>
      </w:tr>
      <w:tr w:rsidR="005067E2" w:rsidRPr="002B7E1B" w14:paraId="1A6FB2B0"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EE3EF4" w14:textId="77777777" w:rsidR="005067E2" w:rsidRPr="002E6416" w:rsidRDefault="005067E2" w:rsidP="009D68DC">
            <w:pPr>
              <w:pStyle w:val="Tabletext"/>
              <w:keepNext/>
              <w:rPr>
                <w:b/>
                <w:bCs w:val="0"/>
                <w:sz w:val="24"/>
              </w:rPr>
            </w:pPr>
            <w:r w:rsidRPr="002E6416">
              <w:rPr>
                <w:b/>
                <w:bCs w:val="0"/>
                <w:sz w:val="24"/>
              </w:rPr>
              <w:t>Likelihood</w:t>
            </w:r>
          </w:p>
        </w:tc>
        <w:tc>
          <w:tcPr>
            <w:tcW w:w="1737" w:type="dxa"/>
            <w:tcBorders>
              <w:top w:val="nil"/>
              <w:left w:val="nil"/>
              <w:bottom w:val="single" w:sz="8" w:space="0" w:color="auto"/>
              <w:right w:val="single" w:sz="8" w:space="0" w:color="auto"/>
            </w:tcBorders>
          </w:tcPr>
          <w:p w14:paraId="56F1EF21" w14:textId="77777777" w:rsidR="005067E2" w:rsidRPr="002E6416" w:rsidRDefault="005067E2" w:rsidP="005604A2">
            <w:pPr>
              <w:pStyle w:val="Tabletext"/>
              <w:rPr>
                <w:sz w:val="24"/>
              </w:rPr>
            </w:pPr>
            <w:r w:rsidRPr="002E6416">
              <w:rPr>
                <w:sz w:val="24"/>
              </w:rPr>
              <w:t>Medium High</w:t>
            </w:r>
          </w:p>
        </w:tc>
      </w:tr>
      <w:tr w:rsidR="005067E2" w:rsidRPr="002B7E1B" w14:paraId="512BFB79"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26BA6A" w14:textId="77777777" w:rsidR="005067E2" w:rsidRPr="002E6416" w:rsidRDefault="005067E2" w:rsidP="009D68DC">
            <w:pPr>
              <w:pStyle w:val="Tabletext"/>
              <w:keepNext/>
              <w:rPr>
                <w:b/>
                <w:bCs w:val="0"/>
                <w:sz w:val="24"/>
              </w:rPr>
            </w:pPr>
            <w:r w:rsidRPr="002E6416">
              <w:rPr>
                <w:b/>
                <w:bCs w:val="0"/>
                <w:sz w:val="24"/>
              </w:rPr>
              <w:t>Consequence</w:t>
            </w:r>
          </w:p>
        </w:tc>
        <w:tc>
          <w:tcPr>
            <w:tcW w:w="1737" w:type="dxa"/>
            <w:tcBorders>
              <w:top w:val="single" w:sz="8" w:space="0" w:color="auto"/>
              <w:left w:val="nil"/>
              <w:bottom w:val="single" w:sz="8" w:space="0" w:color="auto"/>
              <w:right w:val="single" w:sz="8" w:space="0" w:color="auto"/>
            </w:tcBorders>
          </w:tcPr>
          <w:p w14:paraId="4ACA625A" w14:textId="77777777" w:rsidR="005067E2" w:rsidRPr="002E6416" w:rsidRDefault="005067E2" w:rsidP="005604A2">
            <w:pPr>
              <w:pStyle w:val="Tabletext"/>
              <w:rPr>
                <w:sz w:val="24"/>
              </w:rPr>
            </w:pPr>
            <w:r w:rsidRPr="002E6416">
              <w:rPr>
                <w:sz w:val="24"/>
              </w:rPr>
              <w:t>Moderate</w:t>
            </w:r>
          </w:p>
        </w:tc>
      </w:tr>
      <w:tr w:rsidR="005067E2" w:rsidRPr="002B7E1B" w14:paraId="4E64B3E1"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F5B3690" w14:textId="77777777" w:rsidR="005067E2" w:rsidRPr="002E6416" w:rsidRDefault="005067E2" w:rsidP="009D68DC">
            <w:pPr>
              <w:pStyle w:val="Tabletext"/>
              <w:keepNext/>
              <w:rPr>
                <w:b/>
                <w:bCs w:val="0"/>
                <w:sz w:val="24"/>
              </w:rPr>
            </w:pPr>
            <w:r w:rsidRPr="002E6416">
              <w:rPr>
                <w:b/>
                <w:bCs w:val="0"/>
                <w:sz w:val="24"/>
              </w:rPr>
              <w:t>Risk score</w:t>
            </w:r>
          </w:p>
        </w:tc>
        <w:tc>
          <w:tcPr>
            <w:tcW w:w="1737" w:type="dxa"/>
            <w:tcBorders>
              <w:top w:val="single" w:sz="8" w:space="0" w:color="auto"/>
              <w:left w:val="nil"/>
              <w:bottom w:val="single" w:sz="8" w:space="0" w:color="auto"/>
              <w:right w:val="single" w:sz="8" w:space="0" w:color="auto"/>
            </w:tcBorders>
          </w:tcPr>
          <w:p w14:paraId="0948F17B" w14:textId="77777777" w:rsidR="005067E2" w:rsidRPr="002E6416" w:rsidRDefault="005067E2" w:rsidP="005604A2">
            <w:pPr>
              <w:pStyle w:val="Tabletext"/>
              <w:rPr>
                <w:sz w:val="24"/>
              </w:rPr>
            </w:pPr>
            <w:r w:rsidRPr="002E6416">
              <w:rPr>
                <w:sz w:val="24"/>
              </w:rPr>
              <w:t>13.65</w:t>
            </w:r>
          </w:p>
        </w:tc>
      </w:tr>
      <w:tr w:rsidR="005067E2" w:rsidRPr="002B7E1B" w14:paraId="218F6C2D"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55A16C" w14:textId="77777777" w:rsidR="005067E2" w:rsidRPr="002E6416" w:rsidRDefault="005067E2" w:rsidP="005604A2">
            <w:pPr>
              <w:pStyle w:val="Tabletext"/>
              <w:rPr>
                <w:b/>
                <w:bCs w:val="0"/>
                <w:sz w:val="24"/>
              </w:rPr>
            </w:pPr>
            <w:r w:rsidRPr="002E6416">
              <w:rPr>
                <w:b/>
                <w:bCs w:val="0"/>
                <w:sz w:val="24"/>
              </w:rPr>
              <w:t>Overall assessment</w:t>
            </w:r>
          </w:p>
        </w:tc>
        <w:tc>
          <w:tcPr>
            <w:tcW w:w="1737" w:type="dxa"/>
            <w:tcBorders>
              <w:top w:val="single" w:sz="8" w:space="0" w:color="auto"/>
              <w:left w:val="nil"/>
              <w:bottom w:val="single" w:sz="8" w:space="0" w:color="auto"/>
              <w:right w:val="single" w:sz="8" w:space="0" w:color="auto"/>
            </w:tcBorders>
            <w:shd w:val="clear" w:color="auto" w:fill="E60000"/>
          </w:tcPr>
          <w:p w14:paraId="581E682D" w14:textId="77777777" w:rsidR="005067E2" w:rsidRPr="002E6416" w:rsidRDefault="005067E2" w:rsidP="005604A2">
            <w:pPr>
              <w:pStyle w:val="Tabletext"/>
              <w:rPr>
                <w:color w:val="FFFFFF" w:themeColor="background1"/>
                <w:sz w:val="24"/>
              </w:rPr>
            </w:pPr>
            <w:r w:rsidRPr="002E6416">
              <w:rPr>
                <w:color w:val="FFFFFF" w:themeColor="background1"/>
                <w:sz w:val="24"/>
              </w:rPr>
              <w:t>Very High</w:t>
            </w:r>
          </w:p>
        </w:tc>
      </w:tr>
    </w:tbl>
    <w:p w14:paraId="1635CE6C" w14:textId="77777777" w:rsidR="005067E2" w:rsidRPr="0085725E" w:rsidRDefault="005067E2" w:rsidP="005067E2">
      <w:pPr>
        <w:pStyle w:val="NoSpacing"/>
        <w:rPr>
          <w:highlight w:val="yellow"/>
        </w:rPr>
      </w:pPr>
    </w:p>
    <w:p w14:paraId="293CB112" w14:textId="77777777" w:rsidR="005067E2" w:rsidRPr="00B06574" w:rsidRDefault="005067E2" w:rsidP="005067E2">
      <w:pPr>
        <w:pStyle w:val="Heading2"/>
        <w:rPr>
          <w:b w:val="0"/>
        </w:rPr>
      </w:pPr>
      <w:bookmarkStart w:id="75" w:name="_Toc208329953"/>
      <w:r w:rsidRPr="00B06574">
        <w:t>Deliberate building fires</w:t>
      </w:r>
      <w:bookmarkEnd w:id="75"/>
    </w:p>
    <w:p w14:paraId="1861BCFC" w14:textId="77777777" w:rsidR="005067E2" w:rsidRPr="00B06574" w:rsidRDefault="005067E2" w:rsidP="005067E2">
      <w:r w:rsidRPr="00B06574">
        <w:t>Inevitably, when thinking of deliberate fires, the term arson is often used.  This is the act of using fire to destroy or damage any property belonging to another.  However, there are many different reasons why individuals or groups display fire-setting behaviour, from curiosity to anti-social behaviour, to mental health issues.  The term ‘deliberate fire setting’ covers a wider proportion of scenarios.</w:t>
      </w:r>
    </w:p>
    <w:p w14:paraId="789BC0EC" w14:textId="3614BD85" w:rsidR="005067E2" w:rsidRPr="00B06574" w:rsidRDefault="005067E2" w:rsidP="005067E2">
      <w:r w:rsidRPr="00B06574">
        <w:t xml:space="preserve">Regardless of the reason, a deliberate fire can cause significant damage to property, communities, the economy and in the worst-case scenarios cause injury or death.  Using our </w:t>
      </w:r>
      <w:r w:rsidR="00F84C42" w:rsidRPr="00B06574">
        <w:t xml:space="preserve">incident recording system </w:t>
      </w:r>
      <w:r w:rsidRPr="00B06574">
        <w:t>and Geographical Information Systems</w:t>
      </w:r>
      <w:r w:rsidR="003D2C08" w:rsidRPr="00B06574">
        <w:t>.</w:t>
      </w:r>
      <w:r w:rsidRPr="00B06574">
        <w:t xml:space="preserve"> </w:t>
      </w:r>
      <w:r w:rsidR="003D2C08" w:rsidRPr="00B06574">
        <w:rPr>
          <w:lang w:eastAsia="en-GB"/>
        </w:rPr>
        <w:t xml:space="preserve">Lancashire </w:t>
      </w:r>
      <w:r w:rsidR="00C77080" w:rsidRPr="00B06574">
        <w:rPr>
          <w:lang w:eastAsia="en-GB"/>
        </w:rPr>
        <w:t>F</w:t>
      </w:r>
      <w:r w:rsidR="003D2C08" w:rsidRPr="00B06574">
        <w:rPr>
          <w:lang w:eastAsia="en-GB"/>
        </w:rPr>
        <w:t xml:space="preserve">ire and </w:t>
      </w:r>
      <w:r w:rsidR="00C77080" w:rsidRPr="00B06574">
        <w:rPr>
          <w:lang w:eastAsia="en-GB"/>
        </w:rPr>
        <w:t>R</w:t>
      </w:r>
      <w:r w:rsidR="003D2C08" w:rsidRPr="00B06574">
        <w:rPr>
          <w:lang w:eastAsia="en-GB"/>
        </w:rPr>
        <w:t xml:space="preserve">escue </w:t>
      </w:r>
      <w:r w:rsidR="00C77080" w:rsidRPr="00B06574">
        <w:rPr>
          <w:lang w:eastAsia="en-GB"/>
        </w:rPr>
        <w:t>S</w:t>
      </w:r>
      <w:r w:rsidR="003D2C08" w:rsidRPr="00B06574">
        <w:rPr>
          <w:lang w:eastAsia="en-GB"/>
        </w:rPr>
        <w:t>ervice</w:t>
      </w:r>
      <w:r w:rsidR="003D2C08" w:rsidRPr="00B06574">
        <w:t xml:space="preserve"> </w:t>
      </w:r>
      <w:r w:rsidRPr="00B06574">
        <w:t>can scan for trends in anti–social and deliberate fire setting.  By doing this, areas can be quickly identified through emerging trends, meaning prevention activities can be planned and undertaken, often with our partners.  Activities can include anything from removal of rubbish to increased youth engagement activities, all with an aim to reduce the incidence of deliberate fires and help our partners build stronger more sustainable communities.</w:t>
      </w:r>
    </w:p>
    <w:p w14:paraId="0A45127A" w14:textId="60184AC4" w:rsidR="005067E2" w:rsidRPr="004012CA" w:rsidRDefault="005067E2" w:rsidP="005067E2">
      <w:r w:rsidRPr="00526E60">
        <w:t xml:space="preserve">Over the previous five years, we have attended an average of </w:t>
      </w:r>
      <w:r w:rsidR="00526E60" w:rsidRPr="0085725E">
        <w:t>218</w:t>
      </w:r>
      <w:r w:rsidR="00526E60" w:rsidRPr="00526E60">
        <w:t xml:space="preserve"> </w:t>
      </w:r>
      <w:r w:rsidRPr="00526E60">
        <w:t xml:space="preserve">deliberate building fires a year.  </w:t>
      </w:r>
      <w:r w:rsidRPr="004012CA">
        <w:t xml:space="preserve">Non-residential buildings accounted for </w:t>
      </w:r>
      <w:r w:rsidR="005C44B4" w:rsidRPr="0085725E">
        <w:t>52</w:t>
      </w:r>
      <w:r w:rsidRPr="004012CA">
        <w:t>% of the fires with public admin, security and safety properties being targeted the most (</w:t>
      </w:r>
      <w:r w:rsidR="00C107C1" w:rsidRPr="0085725E">
        <w:t>32</w:t>
      </w:r>
      <w:r w:rsidRPr="004012CA">
        <w:t xml:space="preserve">% of the non-residential fires).  Deliberate dwelling fires accounted for </w:t>
      </w:r>
      <w:r w:rsidR="005C44B4" w:rsidRPr="0085725E">
        <w:t>42</w:t>
      </w:r>
      <w:r w:rsidRPr="004012CA">
        <w:t xml:space="preserve">% of the total incidents with houses of single occupancy taking a </w:t>
      </w:r>
      <w:r w:rsidR="005C44B4" w:rsidRPr="0085725E">
        <w:t>52</w:t>
      </w:r>
      <w:r w:rsidRPr="004012CA">
        <w:t>% share of these incidents.</w:t>
      </w:r>
    </w:p>
    <w:p w14:paraId="16E285CD" w14:textId="463CDD5A" w:rsidR="000E5042" w:rsidRPr="004012CA" w:rsidRDefault="005067E2" w:rsidP="005067E2">
      <w:r w:rsidRPr="004012CA">
        <w:t xml:space="preserve">Deliberate building fires have been responsible for </w:t>
      </w:r>
      <w:r w:rsidR="00A62EF3" w:rsidRPr="0085725E">
        <w:t>8</w:t>
      </w:r>
      <w:r w:rsidR="00292AB9" w:rsidRPr="004012CA">
        <w:t xml:space="preserve"> </w:t>
      </w:r>
      <w:r w:rsidRPr="004012CA">
        <w:t xml:space="preserve">fatalities, </w:t>
      </w:r>
      <w:r w:rsidR="00A62EF3" w:rsidRPr="0085725E">
        <w:t>10</w:t>
      </w:r>
      <w:r w:rsidR="00292AB9" w:rsidRPr="004012CA">
        <w:t xml:space="preserve"> </w:t>
      </w:r>
      <w:r w:rsidRPr="004012CA">
        <w:t xml:space="preserve">serious injuries and </w:t>
      </w:r>
      <w:r w:rsidR="00A62EF3" w:rsidRPr="0085725E">
        <w:t>20</w:t>
      </w:r>
      <w:r w:rsidR="00292AB9" w:rsidRPr="004012CA">
        <w:t xml:space="preserve"> </w:t>
      </w:r>
      <w:r w:rsidRPr="004012CA">
        <w:t>minor injuries over the last five years.</w:t>
      </w:r>
    </w:p>
    <w:p w14:paraId="0B33B4C9"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deliberate building fires"/>
        <w:tblDescription w:val="A table detailing the likelihood, consequence, risk score and overall assessment"/>
      </w:tblPr>
      <w:tblGrid>
        <w:gridCol w:w="4243"/>
        <w:gridCol w:w="1984"/>
      </w:tblGrid>
      <w:tr w:rsidR="005067E2" w:rsidRPr="002B7E1B" w14:paraId="32989E3F" w14:textId="77777777" w:rsidTr="005604A2">
        <w:trPr>
          <w:tblHeade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AB360B" w14:textId="77777777" w:rsidR="005067E2" w:rsidRPr="002E6416" w:rsidRDefault="005067E2" w:rsidP="009D68DC">
            <w:pPr>
              <w:pStyle w:val="Tabletext"/>
              <w:keepNext/>
              <w:rPr>
                <w:sz w:val="24"/>
              </w:rPr>
            </w:pPr>
            <w:r w:rsidRPr="002E6416">
              <w:rPr>
                <w:b/>
                <w:bCs w:val="0"/>
                <w:sz w:val="24"/>
              </w:rPr>
              <w:lastRenderedPageBreak/>
              <w:t>Risk – Deliberate building fires</w:t>
            </w:r>
          </w:p>
        </w:tc>
        <w:tc>
          <w:tcPr>
            <w:tcW w:w="19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8453896" w14:textId="77777777" w:rsidR="005067E2" w:rsidRPr="002E6416" w:rsidRDefault="005067E2" w:rsidP="005604A2">
            <w:pPr>
              <w:pStyle w:val="Tabletext"/>
              <w:rPr>
                <w:sz w:val="24"/>
              </w:rPr>
            </w:pPr>
            <w:r w:rsidRPr="002E6416">
              <w:rPr>
                <w:b/>
                <w:sz w:val="24"/>
              </w:rPr>
              <w:t>Rating</w:t>
            </w:r>
          </w:p>
        </w:tc>
      </w:tr>
      <w:tr w:rsidR="005067E2" w:rsidRPr="002B7E1B" w14:paraId="33CF1B24"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3FBA2DE" w14:textId="77777777" w:rsidR="005067E2" w:rsidRPr="002E6416" w:rsidRDefault="005067E2" w:rsidP="009D68DC">
            <w:pPr>
              <w:pStyle w:val="Tabletext"/>
              <w:keepNext/>
              <w:rPr>
                <w:b/>
                <w:bCs w:val="0"/>
                <w:sz w:val="24"/>
              </w:rPr>
            </w:pPr>
            <w:r w:rsidRPr="002E6416">
              <w:rPr>
                <w:b/>
                <w:bCs w:val="0"/>
                <w:sz w:val="24"/>
              </w:rPr>
              <w:t>Likelihood</w:t>
            </w:r>
          </w:p>
        </w:tc>
        <w:tc>
          <w:tcPr>
            <w:tcW w:w="1984" w:type="dxa"/>
            <w:tcBorders>
              <w:top w:val="nil"/>
              <w:left w:val="nil"/>
              <w:bottom w:val="single" w:sz="8" w:space="0" w:color="auto"/>
              <w:right w:val="single" w:sz="8" w:space="0" w:color="auto"/>
            </w:tcBorders>
          </w:tcPr>
          <w:p w14:paraId="07A3D92C" w14:textId="77777777" w:rsidR="005067E2" w:rsidRPr="002E6416" w:rsidRDefault="005067E2" w:rsidP="005604A2">
            <w:pPr>
              <w:pStyle w:val="Tabletext"/>
              <w:rPr>
                <w:sz w:val="24"/>
              </w:rPr>
            </w:pPr>
            <w:r w:rsidRPr="002E6416">
              <w:rPr>
                <w:sz w:val="24"/>
              </w:rPr>
              <w:t>Medium High</w:t>
            </w:r>
          </w:p>
        </w:tc>
      </w:tr>
      <w:tr w:rsidR="005067E2" w:rsidRPr="002B7E1B" w14:paraId="09ACCF83"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B5109B9" w14:textId="77777777" w:rsidR="005067E2" w:rsidRPr="002E6416" w:rsidRDefault="005067E2" w:rsidP="009D68DC">
            <w:pPr>
              <w:pStyle w:val="Tabletext"/>
              <w:keepNext/>
              <w:rPr>
                <w:b/>
                <w:bCs w:val="0"/>
                <w:sz w:val="24"/>
              </w:rPr>
            </w:pPr>
            <w:r w:rsidRPr="002E6416">
              <w:rPr>
                <w:b/>
                <w:bCs w:val="0"/>
                <w:sz w:val="24"/>
              </w:rPr>
              <w:t>Consequence</w:t>
            </w:r>
          </w:p>
        </w:tc>
        <w:tc>
          <w:tcPr>
            <w:tcW w:w="1984" w:type="dxa"/>
            <w:tcBorders>
              <w:top w:val="single" w:sz="8" w:space="0" w:color="auto"/>
              <w:left w:val="nil"/>
              <w:bottom w:val="single" w:sz="8" w:space="0" w:color="auto"/>
              <w:right w:val="single" w:sz="8" w:space="0" w:color="auto"/>
            </w:tcBorders>
          </w:tcPr>
          <w:p w14:paraId="5EEEC949" w14:textId="77777777" w:rsidR="005067E2" w:rsidRPr="002E6416" w:rsidRDefault="005067E2" w:rsidP="005604A2">
            <w:pPr>
              <w:pStyle w:val="Tabletext"/>
              <w:rPr>
                <w:sz w:val="24"/>
              </w:rPr>
            </w:pPr>
            <w:r w:rsidRPr="002E6416">
              <w:rPr>
                <w:sz w:val="24"/>
              </w:rPr>
              <w:t>Moderate</w:t>
            </w:r>
          </w:p>
        </w:tc>
      </w:tr>
      <w:tr w:rsidR="005067E2" w:rsidRPr="002B7E1B" w14:paraId="47F9C8CD"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A18DD6" w14:textId="77777777" w:rsidR="005067E2" w:rsidRPr="002E6416" w:rsidRDefault="005067E2" w:rsidP="009D68DC">
            <w:pPr>
              <w:pStyle w:val="Tabletext"/>
              <w:keepNext/>
              <w:rPr>
                <w:b/>
                <w:bCs w:val="0"/>
                <w:sz w:val="24"/>
              </w:rPr>
            </w:pPr>
            <w:r w:rsidRPr="002E6416">
              <w:rPr>
                <w:b/>
                <w:bCs w:val="0"/>
                <w:sz w:val="24"/>
              </w:rPr>
              <w:t>Risk score</w:t>
            </w:r>
          </w:p>
        </w:tc>
        <w:tc>
          <w:tcPr>
            <w:tcW w:w="1984" w:type="dxa"/>
            <w:tcBorders>
              <w:top w:val="single" w:sz="8" w:space="0" w:color="auto"/>
              <w:left w:val="nil"/>
              <w:bottom w:val="single" w:sz="8" w:space="0" w:color="auto"/>
              <w:right w:val="single" w:sz="8" w:space="0" w:color="auto"/>
            </w:tcBorders>
          </w:tcPr>
          <w:p w14:paraId="61CB1BE3" w14:textId="77777777" w:rsidR="005067E2" w:rsidRPr="002E6416" w:rsidRDefault="005067E2" w:rsidP="005604A2">
            <w:pPr>
              <w:pStyle w:val="Tabletext"/>
              <w:rPr>
                <w:sz w:val="24"/>
              </w:rPr>
            </w:pPr>
            <w:r w:rsidRPr="002E6416">
              <w:rPr>
                <w:sz w:val="24"/>
              </w:rPr>
              <w:t>12.70</w:t>
            </w:r>
          </w:p>
        </w:tc>
      </w:tr>
      <w:tr w:rsidR="005067E2" w:rsidRPr="002B7E1B" w14:paraId="0723888B"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994B8B" w14:textId="77777777" w:rsidR="005067E2" w:rsidRPr="002E6416" w:rsidRDefault="005067E2" w:rsidP="005604A2">
            <w:pPr>
              <w:pStyle w:val="Tabletext"/>
              <w:rPr>
                <w:b/>
                <w:bCs w:val="0"/>
                <w:sz w:val="24"/>
              </w:rPr>
            </w:pPr>
            <w:r w:rsidRPr="002E6416">
              <w:rPr>
                <w:b/>
                <w:bCs w:val="0"/>
                <w:sz w:val="24"/>
              </w:rPr>
              <w:t>Overall assessment</w:t>
            </w:r>
          </w:p>
        </w:tc>
        <w:tc>
          <w:tcPr>
            <w:tcW w:w="1984" w:type="dxa"/>
            <w:tcBorders>
              <w:top w:val="single" w:sz="8" w:space="0" w:color="auto"/>
              <w:left w:val="nil"/>
              <w:bottom w:val="single" w:sz="8" w:space="0" w:color="auto"/>
              <w:right w:val="single" w:sz="8" w:space="0" w:color="auto"/>
            </w:tcBorders>
            <w:shd w:val="clear" w:color="auto" w:fill="E60000"/>
          </w:tcPr>
          <w:p w14:paraId="17F402FE" w14:textId="77777777" w:rsidR="005067E2" w:rsidRPr="002E6416" w:rsidRDefault="005067E2" w:rsidP="005604A2">
            <w:pPr>
              <w:pStyle w:val="Tabletext"/>
              <w:rPr>
                <w:color w:val="FFFFFF" w:themeColor="background1"/>
                <w:sz w:val="24"/>
              </w:rPr>
            </w:pPr>
            <w:r w:rsidRPr="002E6416">
              <w:rPr>
                <w:color w:val="FFFFFF" w:themeColor="background1"/>
                <w:sz w:val="24"/>
              </w:rPr>
              <w:t>Very High</w:t>
            </w:r>
          </w:p>
        </w:tc>
      </w:tr>
    </w:tbl>
    <w:p w14:paraId="7939EDCC" w14:textId="77777777" w:rsidR="005067E2" w:rsidRPr="0085725E" w:rsidRDefault="005067E2" w:rsidP="005067E2">
      <w:pPr>
        <w:pStyle w:val="NoSpacing"/>
        <w:rPr>
          <w:highlight w:val="yellow"/>
        </w:rPr>
      </w:pPr>
    </w:p>
    <w:p w14:paraId="3E6498E1" w14:textId="77777777" w:rsidR="005067E2" w:rsidRPr="00B06574" w:rsidRDefault="005067E2" w:rsidP="005067E2">
      <w:pPr>
        <w:pStyle w:val="Heading2"/>
        <w:rPr>
          <w:b w:val="0"/>
        </w:rPr>
      </w:pPr>
      <w:bookmarkStart w:id="76" w:name="_Toc208329954"/>
      <w:r w:rsidRPr="00B06574">
        <w:t>Flooding</w:t>
      </w:r>
      <w:bookmarkEnd w:id="76"/>
    </w:p>
    <w:p w14:paraId="3449CDA0" w14:textId="7341EA37" w:rsidR="005067E2" w:rsidRPr="0004701D" w:rsidRDefault="005067E2" w:rsidP="005067E2">
      <w:r w:rsidRPr="00B06574">
        <w:t>Whilst</w:t>
      </w:r>
      <w:r w:rsidR="003D2C08" w:rsidRPr="00B06574">
        <w:t xml:space="preserve"> </w:t>
      </w:r>
      <w:r w:rsidR="003D2C08" w:rsidRPr="00B06574">
        <w:rPr>
          <w:lang w:eastAsia="en-GB"/>
        </w:rPr>
        <w:t xml:space="preserve">Lancashire </w:t>
      </w:r>
      <w:r w:rsidR="00C77080" w:rsidRPr="00B06574">
        <w:rPr>
          <w:lang w:eastAsia="en-GB"/>
        </w:rPr>
        <w:t>F</w:t>
      </w:r>
      <w:r w:rsidR="003D2C08" w:rsidRPr="00B06574">
        <w:rPr>
          <w:lang w:eastAsia="en-GB"/>
        </w:rPr>
        <w:t xml:space="preserve">ire and </w:t>
      </w:r>
      <w:r w:rsidR="00C77080" w:rsidRPr="00B06574">
        <w:rPr>
          <w:lang w:eastAsia="en-GB"/>
        </w:rPr>
        <w:t>R</w:t>
      </w:r>
      <w:r w:rsidR="003D2C08" w:rsidRPr="00B06574">
        <w:rPr>
          <w:lang w:eastAsia="en-GB"/>
        </w:rPr>
        <w:t xml:space="preserve">escue </w:t>
      </w:r>
      <w:r w:rsidR="00C77080" w:rsidRPr="00B06574">
        <w:rPr>
          <w:lang w:eastAsia="en-GB"/>
        </w:rPr>
        <w:t>S</w:t>
      </w:r>
      <w:r w:rsidR="003D2C08" w:rsidRPr="00B06574">
        <w:rPr>
          <w:lang w:eastAsia="en-GB"/>
        </w:rPr>
        <w:t>ervice</w:t>
      </w:r>
      <w:r w:rsidR="003D2C08" w:rsidRPr="00B06574">
        <w:t xml:space="preserve"> has n</w:t>
      </w:r>
      <w:r w:rsidRPr="00B06574">
        <w:t>o statutory duty to provide emergency response to water or flooding events, as a category 1 responder the Service is bound by the Civil Contingencies Act 2004 to have plans in place to respond to all emergencies.  Through close consultation and collaboration with our partners and the</w:t>
      </w:r>
      <w:r w:rsidR="00C82A3D" w:rsidRPr="00B06574">
        <w:t xml:space="preserve"> Lancashire Resilience Forum</w:t>
      </w:r>
      <w:r w:rsidRPr="00B06574">
        <w:t>, a Multi-Agency Flood Plan has been developed which outlines the agreed coordinated multi agency response should a flooding event occur in the Lancashire area.  This plan has been identified as an essential requirement as it has been recognised through the</w:t>
      </w:r>
      <w:r w:rsidR="00C82A3D" w:rsidRPr="00B06574">
        <w:t xml:space="preserve"> Lancashire Resilience Forum</w:t>
      </w:r>
      <w:r w:rsidR="00C82A3D" w:rsidRPr="00B06574">
        <w:rPr>
          <w:rFonts w:eastAsia="Arial" w:cs="Arial"/>
          <w:color w:val="000000" w:themeColor="text1"/>
          <w:szCs w:val="24"/>
        </w:rPr>
        <w:t xml:space="preserve"> </w:t>
      </w:r>
      <w:r w:rsidRPr="00B06574">
        <w:t xml:space="preserve">Community Risk Register that there are </w:t>
      </w:r>
      <w:r w:rsidRPr="0037598D">
        <w:t>approximately 65,000 properties at high or very high risk from flooding within Lancashire.  The average cost of flooding to a home is around £3</w:t>
      </w:r>
      <w:r w:rsidR="0037598D" w:rsidRPr="0037598D">
        <w:t>5</w:t>
      </w:r>
      <w:r w:rsidRPr="0037598D">
        <w:t xml:space="preserve">,000 and to a business £82,000.  </w:t>
      </w:r>
      <w:r w:rsidRPr="0004701D">
        <w:t>The effects on mental health can last for months and even years.  Environmental impacts include pollution, harm to livestock and wildlife, and destruction of habitats.  Disruption to power supplies and transport networks is a risk and in the most severe cases, floods can cause injury and death.</w:t>
      </w:r>
    </w:p>
    <w:p w14:paraId="0E623D75" w14:textId="77777777" w:rsidR="005067E2" w:rsidRPr="0004701D" w:rsidRDefault="005067E2" w:rsidP="005067E2">
      <w:r w:rsidRPr="0004701D">
        <w:t xml:space="preserve">Due to the diverse nature of the Lancashire landscape, our communities can be at risk from coastal / tidal flooding, river flooding (fluvial), surface water (pluvial) and reservoir flooding, albeit the likelihood of these events occurring varies from 1 in 5 years to 1 in 1000 years. </w:t>
      </w:r>
    </w:p>
    <w:p w14:paraId="69DC6C2C" w14:textId="2D853DB5" w:rsidR="000E5042" w:rsidRPr="004012CA" w:rsidRDefault="005067E2" w:rsidP="005067E2">
      <w:r w:rsidRPr="00526E60">
        <w:t>In the last five years,</w:t>
      </w:r>
      <w:r w:rsidR="003D2C08" w:rsidRPr="00526E60">
        <w:t xml:space="preserve"> </w:t>
      </w:r>
      <w:r w:rsidR="003D2C08" w:rsidRPr="00526E60">
        <w:rPr>
          <w:lang w:eastAsia="en-GB"/>
        </w:rPr>
        <w:t xml:space="preserve">Lancashire </w:t>
      </w:r>
      <w:r w:rsidR="00C77080" w:rsidRPr="00526E60">
        <w:rPr>
          <w:lang w:eastAsia="en-GB"/>
        </w:rPr>
        <w:t>F</w:t>
      </w:r>
      <w:r w:rsidR="003D2C08" w:rsidRPr="00526E60">
        <w:rPr>
          <w:lang w:eastAsia="en-GB"/>
        </w:rPr>
        <w:t xml:space="preserve">ire and </w:t>
      </w:r>
      <w:r w:rsidR="00C77080" w:rsidRPr="00526E60">
        <w:rPr>
          <w:lang w:eastAsia="en-GB"/>
        </w:rPr>
        <w:t>R</w:t>
      </w:r>
      <w:r w:rsidR="003D2C08" w:rsidRPr="00526E60">
        <w:rPr>
          <w:lang w:eastAsia="en-GB"/>
        </w:rPr>
        <w:t>escue service</w:t>
      </w:r>
      <w:r w:rsidR="003D2C08" w:rsidRPr="00526E60">
        <w:t xml:space="preserve"> has r</w:t>
      </w:r>
      <w:r w:rsidRPr="00526E60">
        <w:t xml:space="preserve">esponded to </w:t>
      </w:r>
      <w:r w:rsidR="00526E60" w:rsidRPr="0085725E">
        <w:t>173</w:t>
      </w:r>
      <w:r w:rsidR="00526E60" w:rsidRPr="00526E60">
        <w:t xml:space="preserve"> </w:t>
      </w:r>
      <w:r w:rsidRPr="00526E60">
        <w:t xml:space="preserve">flooding related incidents relating to high tides, rising river levels or surface water.  This equates to </w:t>
      </w:r>
      <w:r w:rsidR="00526E60" w:rsidRPr="0085725E">
        <w:t>35</w:t>
      </w:r>
      <w:r w:rsidR="00526E60" w:rsidRPr="00526E60">
        <w:t xml:space="preserve"> </w:t>
      </w:r>
      <w:r w:rsidRPr="00526E60">
        <w:t xml:space="preserve">incidents of this type a year.  </w:t>
      </w:r>
      <w:r w:rsidRPr="004012CA">
        <w:t xml:space="preserve">Domestic dwellings were affected at </w:t>
      </w:r>
      <w:r w:rsidR="006B6D85" w:rsidRPr="0085725E">
        <w:t>64</w:t>
      </w:r>
      <w:r w:rsidRPr="004012CA">
        <w:t xml:space="preserve">% of these incidents.  </w:t>
      </w:r>
      <w:r w:rsidR="00292AB9" w:rsidRPr="0085725E">
        <w:t>West Lancashire</w:t>
      </w:r>
      <w:r w:rsidR="00292AB9" w:rsidRPr="004012CA">
        <w:t xml:space="preserve"> </w:t>
      </w:r>
      <w:r w:rsidRPr="004012CA">
        <w:t>has been the most affected (</w:t>
      </w:r>
      <w:r w:rsidR="006B6D85" w:rsidRPr="0085725E">
        <w:t>18</w:t>
      </w:r>
      <w:r w:rsidRPr="004012CA">
        <w:t>% of the incidents), mainly due to the surface water and rising river levels.</w:t>
      </w:r>
    </w:p>
    <w:p w14:paraId="482EB671"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flooding"/>
        <w:tblDescription w:val="A table detailing the likelihood, consequence, risk score and overall assessment"/>
      </w:tblPr>
      <w:tblGrid>
        <w:gridCol w:w="4385"/>
        <w:gridCol w:w="2126"/>
      </w:tblGrid>
      <w:tr w:rsidR="005067E2" w:rsidRPr="002B7E1B" w14:paraId="5B14800A" w14:textId="77777777" w:rsidTr="005604A2">
        <w:trPr>
          <w:tblHeade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19DA74" w14:textId="77777777" w:rsidR="005067E2" w:rsidRPr="002E6416" w:rsidRDefault="005067E2" w:rsidP="009D68DC">
            <w:pPr>
              <w:pStyle w:val="Tabletext"/>
              <w:keepNext/>
              <w:rPr>
                <w:sz w:val="24"/>
              </w:rPr>
            </w:pPr>
            <w:r w:rsidRPr="002E6416">
              <w:rPr>
                <w:b/>
                <w:bCs w:val="0"/>
                <w:sz w:val="24"/>
              </w:rPr>
              <w:lastRenderedPageBreak/>
              <w:t>Risk - Flooding</w:t>
            </w:r>
          </w:p>
        </w:tc>
        <w:tc>
          <w:tcPr>
            <w:tcW w:w="21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1DE5FF8" w14:textId="77777777" w:rsidR="005067E2" w:rsidRPr="002E6416" w:rsidRDefault="005067E2" w:rsidP="005604A2">
            <w:pPr>
              <w:pStyle w:val="Tabletext"/>
              <w:rPr>
                <w:sz w:val="24"/>
              </w:rPr>
            </w:pPr>
            <w:r w:rsidRPr="002E6416">
              <w:rPr>
                <w:b/>
                <w:sz w:val="24"/>
              </w:rPr>
              <w:t>Rating</w:t>
            </w:r>
          </w:p>
        </w:tc>
      </w:tr>
      <w:tr w:rsidR="005067E2" w:rsidRPr="002B7E1B" w14:paraId="628EC39D"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80DC65" w14:textId="77777777" w:rsidR="005067E2" w:rsidRPr="002E6416" w:rsidRDefault="005067E2" w:rsidP="009D68DC">
            <w:pPr>
              <w:pStyle w:val="Tabletext"/>
              <w:keepNext/>
              <w:rPr>
                <w:b/>
                <w:bCs w:val="0"/>
                <w:sz w:val="24"/>
              </w:rPr>
            </w:pPr>
            <w:r w:rsidRPr="002E6416">
              <w:rPr>
                <w:b/>
                <w:bCs w:val="0"/>
                <w:sz w:val="24"/>
              </w:rPr>
              <w:t>Likelihood</w:t>
            </w:r>
          </w:p>
        </w:tc>
        <w:tc>
          <w:tcPr>
            <w:tcW w:w="2126" w:type="dxa"/>
            <w:tcBorders>
              <w:top w:val="nil"/>
              <w:left w:val="nil"/>
              <w:bottom w:val="single" w:sz="8" w:space="0" w:color="auto"/>
              <w:right w:val="single" w:sz="8" w:space="0" w:color="auto"/>
            </w:tcBorders>
          </w:tcPr>
          <w:p w14:paraId="3693E396" w14:textId="77777777" w:rsidR="005067E2" w:rsidRPr="002E6416" w:rsidRDefault="005067E2" w:rsidP="005604A2">
            <w:pPr>
              <w:pStyle w:val="Tabletext"/>
              <w:rPr>
                <w:sz w:val="24"/>
              </w:rPr>
            </w:pPr>
            <w:r w:rsidRPr="002E6416">
              <w:rPr>
                <w:sz w:val="24"/>
              </w:rPr>
              <w:t xml:space="preserve">Medium </w:t>
            </w:r>
          </w:p>
        </w:tc>
      </w:tr>
      <w:tr w:rsidR="005067E2" w:rsidRPr="002B7E1B" w14:paraId="112C5761"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9F33AE0" w14:textId="77777777" w:rsidR="005067E2" w:rsidRPr="002E6416" w:rsidRDefault="005067E2" w:rsidP="009D68DC">
            <w:pPr>
              <w:pStyle w:val="Tabletext"/>
              <w:keepNext/>
              <w:rPr>
                <w:b/>
                <w:bCs w:val="0"/>
                <w:sz w:val="24"/>
              </w:rPr>
            </w:pPr>
            <w:r w:rsidRPr="002E6416">
              <w:rPr>
                <w:b/>
                <w:bCs w:val="0"/>
                <w:sz w:val="24"/>
              </w:rPr>
              <w:t>Consequence</w:t>
            </w:r>
          </w:p>
        </w:tc>
        <w:tc>
          <w:tcPr>
            <w:tcW w:w="2126" w:type="dxa"/>
            <w:tcBorders>
              <w:top w:val="single" w:sz="8" w:space="0" w:color="auto"/>
              <w:left w:val="nil"/>
              <w:bottom w:val="single" w:sz="8" w:space="0" w:color="auto"/>
              <w:right w:val="single" w:sz="8" w:space="0" w:color="auto"/>
            </w:tcBorders>
          </w:tcPr>
          <w:p w14:paraId="232658E0" w14:textId="77777777" w:rsidR="005067E2" w:rsidRPr="002E6416" w:rsidRDefault="005067E2" w:rsidP="005604A2">
            <w:pPr>
              <w:pStyle w:val="Tabletext"/>
              <w:rPr>
                <w:sz w:val="24"/>
              </w:rPr>
            </w:pPr>
            <w:r w:rsidRPr="002E6416">
              <w:rPr>
                <w:sz w:val="24"/>
              </w:rPr>
              <w:t>Significant</w:t>
            </w:r>
          </w:p>
        </w:tc>
      </w:tr>
      <w:tr w:rsidR="005067E2" w:rsidRPr="002B7E1B" w14:paraId="2AC9A3B7"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20DB15" w14:textId="77777777" w:rsidR="005067E2" w:rsidRPr="002E6416" w:rsidRDefault="005067E2" w:rsidP="009D68DC">
            <w:pPr>
              <w:pStyle w:val="Tabletext"/>
              <w:keepNext/>
              <w:rPr>
                <w:b/>
                <w:bCs w:val="0"/>
                <w:sz w:val="24"/>
              </w:rPr>
            </w:pPr>
            <w:r w:rsidRPr="002E6416">
              <w:rPr>
                <w:b/>
                <w:bCs w:val="0"/>
                <w:sz w:val="24"/>
              </w:rPr>
              <w:t>Risk score</w:t>
            </w:r>
          </w:p>
        </w:tc>
        <w:tc>
          <w:tcPr>
            <w:tcW w:w="2126" w:type="dxa"/>
            <w:tcBorders>
              <w:top w:val="single" w:sz="8" w:space="0" w:color="auto"/>
              <w:left w:val="nil"/>
              <w:bottom w:val="single" w:sz="8" w:space="0" w:color="auto"/>
              <w:right w:val="single" w:sz="8" w:space="0" w:color="auto"/>
            </w:tcBorders>
          </w:tcPr>
          <w:p w14:paraId="2081B356" w14:textId="77777777" w:rsidR="005067E2" w:rsidRPr="002E6416" w:rsidRDefault="005067E2" w:rsidP="005604A2">
            <w:pPr>
              <w:pStyle w:val="Tabletext"/>
              <w:rPr>
                <w:sz w:val="24"/>
              </w:rPr>
            </w:pPr>
            <w:r w:rsidRPr="002E6416">
              <w:rPr>
                <w:sz w:val="24"/>
              </w:rPr>
              <w:t>12.00</w:t>
            </w:r>
          </w:p>
        </w:tc>
      </w:tr>
      <w:tr w:rsidR="005067E2" w:rsidRPr="002B7E1B" w14:paraId="55D6206A"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9A632C" w14:textId="77777777" w:rsidR="005067E2" w:rsidRPr="002E6416" w:rsidRDefault="005067E2" w:rsidP="005604A2">
            <w:pPr>
              <w:pStyle w:val="Tabletext"/>
              <w:rPr>
                <w:b/>
                <w:bCs w:val="0"/>
                <w:sz w:val="24"/>
              </w:rPr>
            </w:pPr>
            <w:r w:rsidRPr="002E6416">
              <w:rPr>
                <w:b/>
                <w:bCs w:val="0"/>
                <w:sz w:val="24"/>
              </w:rPr>
              <w:t>Overall assessment</w:t>
            </w:r>
          </w:p>
        </w:tc>
        <w:tc>
          <w:tcPr>
            <w:tcW w:w="2126" w:type="dxa"/>
            <w:tcBorders>
              <w:top w:val="single" w:sz="8" w:space="0" w:color="auto"/>
              <w:left w:val="nil"/>
              <w:bottom w:val="single" w:sz="8" w:space="0" w:color="auto"/>
              <w:right w:val="single" w:sz="8" w:space="0" w:color="auto"/>
            </w:tcBorders>
            <w:shd w:val="clear" w:color="auto" w:fill="E60000"/>
          </w:tcPr>
          <w:p w14:paraId="01DB519A" w14:textId="77777777" w:rsidR="005067E2" w:rsidRPr="002E6416" w:rsidRDefault="005067E2" w:rsidP="005604A2">
            <w:pPr>
              <w:pStyle w:val="Tabletext"/>
              <w:rPr>
                <w:color w:val="FFFFFF" w:themeColor="background1"/>
                <w:sz w:val="24"/>
              </w:rPr>
            </w:pPr>
            <w:r w:rsidRPr="002E6416">
              <w:rPr>
                <w:color w:val="FFFFFF" w:themeColor="background1"/>
                <w:sz w:val="24"/>
              </w:rPr>
              <w:t>Very High</w:t>
            </w:r>
          </w:p>
        </w:tc>
      </w:tr>
    </w:tbl>
    <w:p w14:paraId="12A66771" w14:textId="77777777" w:rsidR="005067E2" w:rsidRPr="0085725E" w:rsidRDefault="005067E2" w:rsidP="005067E2">
      <w:pPr>
        <w:pStyle w:val="NoSpacing"/>
        <w:rPr>
          <w:highlight w:val="yellow"/>
        </w:rPr>
      </w:pPr>
    </w:p>
    <w:p w14:paraId="14DB17DF" w14:textId="77777777" w:rsidR="005067E2" w:rsidRPr="0004701D" w:rsidRDefault="005067E2" w:rsidP="005067E2">
      <w:pPr>
        <w:pStyle w:val="Heading2"/>
        <w:rPr>
          <w:b w:val="0"/>
        </w:rPr>
      </w:pPr>
      <w:bookmarkStart w:id="77" w:name="_Toc208329955"/>
      <w:r w:rsidRPr="0004701D">
        <w:t>Accidental dwelling fires (ADF’s)</w:t>
      </w:r>
      <w:bookmarkEnd w:id="77"/>
    </w:p>
    <w:p w14:paraId="342F73DE" w14:textId="219FD82B" w:rsidR="005067E2" w:rsidRPr="0004701D" w:rsidRDefault="005067E2" w:rsidP="005067E2">
      <w:r w:rsidRPr="0004701D">
        <w:t xml:space="preserve">Dwelling fires are those occurring in buildings that are normally occupied, typically houses, flats and bungalows.  Fires of this nature can also result in both physical and mental harm and the injuries sustained could be fatal.  As well as the human cost associated with dwelling fires, there is a significant economic burden associated with property damage.  </w:t>
      </w:r>
      <w:r w:rsidR="003D2C08" w:rsidRPr="0004701D">
        <w:rPr>
          <w:lang w:eastAsia="en-GB"/>
        </w:rPr>
        <w:t xml:space="preserve">Lancashire </w:t>
      </w:r>
      <w:r w:rsidR="00C77080" w:rsidRPr="0004701D">
        <w:rPr>
          <w:lang w:eastAsia="en-GB"/>
        </w:rPr>
        <w:t>F</w:t>
      </w:r>
      <w:r w:rsidR="003D2C08" w:rsidRPr="0004701D">
        <w:rPr>
          <w:lang w:eastAsia="en-GB"/>
        </w:rPr>
        <w:t xml:space="preserve">ire and </w:t>
      </w:r>
      <w:r w:rsidR="00C77080" w:rsidRPr="0004701D">
        <w:rPr>
          <w:lang w:eastAsia="en-GB"/>
        </w:rPr>
        <w:t>R</w:t>
      </w:r>
      <w:r w:rsidR="003D2C08" w:rsidRPr="0004701D">
        <w:rPr>
          <w:lang w:eastAsia="en-GB"/>
        </w:rPr>
        <w:t>escue service</w:t>
      </w:r>
      <w:r w:rsidR="003D2C08" w:rsidRPr="0004701D">
        <w:t xml:space="preserve"> </w:t>
      </w:r>
      <w:r w:rsidRPr="0004701D">
        <w:t>continues to provide a community fire safety service to the residents of Lancashire, where smoke alarms can be fitted, and home fire safety advice tailored to individual households as part of a Safe and Well visit.  Reduction activity is carried out by community fire safety staff alongside operational personnel in conjunction with local and national campaigns.</w:t>
      </w:r>
    </w:p>
    <w:p w14:paraId="1B7CEBC9" w14:textId="05C7EAAE" w:rsidR="005067E2" w:rsidRPr="004012CA" w:rsidRDefault="005067E2" w:rsidP="005067E2">
      <w:r w:rsidRPr="00526E60">
        <w:t xml:space="preserve">Over the previous five years, we have attended an average of </w:t>
      </w:r>
      <w:r w:rsidR="00526E60" w:rsidRPr="0085725E">
        <w:t>775</w:t>
      </w:r>
      <w:r w:rsidR="00526E60" w:rsidRPr="00526E60">
        <w:t xml:space="preserve"> </w:t>
      </w:r>
      <w:r w:rsidRPr="00526E60">
        <w:t xml:space="preserve">incidents a year of this type.  </w:t>
      </w:r>
      <w:r w:rsidRPr="004012CA">
        <w:t xml:space="preserve">Single occupancy houses accounted for </w:t>
      </w:r>
      <w:r w:rsidR="006907B7" w:rsidRPr="0085725E">
        <w:t>63</w:t>
      </w:r>
      <w:r w:rsidRPr="004012CA">
        <w:t>% of all accidental dwelling fires.  Followed by purpose built flat</w:t>
      </w:r>
      <w:r w:rsidR="006907B7" w:rsidRPr="0085725E">
        <w:t>/maisonette</w:t>
      </w:r>
      <w:r w:rsidRPr="004012CA">
        <w:t xml:space="preserve"> with </w:t>
      </w:r>
      <w:r w:rsidR="006907B7" w:rsidRPr="0085725E">
        <w:t>12</w:t>
      </w:r>
      <w:r w:rsidRPr="004012CA">
        <w:t xml:space="preserve">% and self-contained sheltered housing </w:t>
      </w:r>
      <w:r w:rsidR="006907B7" w:rsidRPr="0085725E">
        <w:t>7</w:t>
      </w:r>
      <w:r w:rsidRPr="004012CA">
        <w:t>%.</w:t>
      </w:r>
    </w:p>
    <w:p w14:paraId="226E3339" w14:textId="6F4C1F3A" w:rsidR="005067E2" w:rsidRPr="004012CA" w:rsidRDefault="005067E2" w:rsidP="005067E2">
      <w:r w:rsidRPr="004012CA">
        <w:t xml:space="preserve">Blackpool district experienced the highest number of </w:t>
      </w:r>
      <w:r w:rsidR="00520496" w:rsidRPr="004012CA">
        <w:t>accidental dwelling fires</w:t>
      </w:r>
      <w:r w:rsidR="00BE54AD" w:rsidRPr="0085725E">
        <w:t>,</w:t>
      </w:r>
      <w:r w:rsidRPr="004012CA">
        <w:t xml:space="preserve"> </w:t>
      </w:r>
      <w:r w:rsidR="00BE54AD" w:rsidRPr="0085725E">
        <w:t>with</w:t>
      </w:r>
      <w:r w:rsidRPr="004012CA">
        <w:t xml:space="preserve"> Lancaster </w:t>
      </w:r>
      <w:r w:rsidR="00BE54AD" w:rsidRPr="0085725E">
        <w:t>and</w:t>
      </w:r>
      <w:r w:rsidR="00BE54AD" w:rsidRPr="004012CA">
        <w:t xml:space="preserve"> </w:t>
      </w:r>
      <w:r w:rsidRPr="004012CA">
        <w:t>Preston</w:t>
      </w:r>
      <w:r w:rsidR="00BE54AD" w:rsidRPr="0085725E">
        <w:t xml:space="preserve"> recording an equal number</w:t>
      </w:r>
      <w:r w:rsidRPr="004012CA">
        <w:t xml:space="preserve">.  Ribble Valley has seen the lowest number of </w:t>
      </w:r>
      <w:r w:rsidR="00520496" w:rsidRPr="004012CA">
        <w:t xml:space="preserve">accidental dwelling fires </w:t>
      </w:r>
      <w:r w:rsidRPr="004012CA">
        <w:t xml:space="preserve">over the last five years.  </w:t>
      </w:r>
      <w:r w:rsidR="00BE54AD" w:rsidRPr="0085725E">
        <w:t>35</w:t>
      </w:r>
      <w:r w:rsidRPr="004012CA">
        <w:t xml:space="preserve">% of the total number of </w:t>
      </w:r>
      <w:r w:rsidR="00520496" w:rsidRPr="004012CA">
        <w:t>accidental dwelling fires</w:t>
      </w:r>
      <w:r w:rsidRPr="004012CA">
        <w:t xml:space="preserve"> were caused by 18-64 year olds with </w:t>
      </w:r>
      <w:r w:rsidR="00BE54AD" w:rsidRPr="0085725E">
        <w:t>21</w:t>
      </w:r>
      <w:r w:rsidRPr="004012CA">
        <w:t xml:space="preserve">% caused by the elderly (65+).  The biggest cause </w:t>
      </w:r>
      <w:r w:rsidR="00E769C6" w:rsidRPr="004012CA">
        <w:t>of accidental</w:t>
      </w:r>
      <w:r w:rsidR="00520496" w:rsidRPr="004012CA">
        <w:t xml:space="preserve"> dwelling fires </w:t>
      </w:r>
      <w:r w:rsidRPr="004012CA">
        <w:t xml:space="preserve">are cooking appliance related, followed by </w:t>
      </w:r>
      <w:r w:rsidR="00BE54AD" w:rsidRPr="0085725E">
        <w:t>smoking related</w:t>
      </w:r>
      <w:r w:rsidR="00D17C48" w:rsidRPr="0085725E">
        <w:t>,</w:t>
      </w:r>
      <w:r w:rsidR="00BE54AD" w:rsidRPr="0085725E">
        <w:rPr>
          <w:rFonts w:cs="Arial"/>
          <w:color w:val="000000" w:themeColor="text1"/>
          <w:szCs w:val="24"/>
        </w:rPr>
        <w:t xml:space="preserve"> and </w:t>
      </w:r>
      <w:r w:rsidRPr="004012CA">
        <w:rPr>
          <w:rFonts w:cs="Arial"/>
          <w:color w:val="000000" w:themeColor="text1"/>
          <w:szCs w:val="24"/>
        </w:rPr>
        <w:t>spread from a secondary fire</w:t>
      </w:r>
      <w:r w:rsidRPr="004012CA">
        <w:t>.</w:t>
      </w:r>
    </w:p>
    <w:p w14:paraId="78AFC3D5"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accidental dwelling fires"/>
        <w:tblDescription w:val="A table detailing the likelihood, consequence, risk score and overall assessment"/>
      </w:tblPr>
      <w:tblGrid>
        <w:gridCol w:w="4385"/>
        <w:gridCol w:w="1737"/>
      </w:tblGrid>
      <w:tr w:rsidR="005067E2" w:rsidRPr="002B7E1B" w14:paraId="020829DF" w14:textId="77777777" w:rsidTr="005604A2">
        <w:trPr>
          <w:tblHeade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F8B014" w14:textId="77777777" w:rsidR="005067E2" w:rsidRPr="002E6416" w:rsidRDefault="005067E2" w:rsidP="009D68DC">
            <w:pPr>
              <w:pStyle w:val="Tabletext"/>
              <w:keepNext/>
              <w:rPr>
                <w:sz w:val="24"/>
              </w:rPr>
            </w:pPr>
            <w:r w:rsidRPr="002E6416">
              <w:rPr>
                <w:b/>
                <w:bCs w:val="0"/>
                <w:sz w:val="24"/>
              </w:rPr>
              <w:t>Risk – Accidental dwelling fires</w:t>
            </w:r>
          </w:p>
        </w:tc>
        <w:tc>
          <w:tcPr>
            <w:tcW w:w="17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879FBF" w14:textId="77777777" w:rsidR="005067E2" w:rsidRPr="002E6416" w:rsidRDefault="005067E2" w:rsidP="005604A2">
            <w:pPr>
              <w:pStyle w:val="Tabletext"/>
              <w:rPr>
                <w:sz w:val="24"/>
              </w:rPr>
            </w:pPr>
            <w:r w:rsidRPr="002E6416">
              <w:rPr>
                <w:b/>
                <w:sz w:val="24"/>
              </w:rPr>
              <w:t>Rating</w:t>
            </w:r>
          </w:p>
        </w:tc>
      </w:tr>
      <w:tr w:rsidR="005067E2" w:rsidRPr="002B7E1B" w14:paraId="03290E10"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3B0E6E" w14:textId="77777777" w:rsidR="005067E2" w:rsidRPr="002E6416" w:rsidRDefault="005067E2" w:rsidP="009D68DC">
            <w:pPr>
              <w:pStyle w:val="Tabletext"/>
              <w:keepNext/>
              <w:rPr>
                <w:b/>
                <w:bCs w:val="0"/>
                <w:sz w:val="24"/>
              </w:rPr>
            </w:pPr>
            <w:r w:rsidRPr="002E6416">
              <w:rPr>
                <w:b/>
                <w:bCs w:val="0"/>
                <w:sz w:val="24"/>
              </w:rPr>
              <w:t>Likelihood</w:t>
            </w:r>
          </w:p>
        </w:tc>
        <w:tc>
          <w:tcPr>
            <w:tcW w:w="1737" w:type="dxa"/>
            <w:tcBorders>
              <w:top w:val="nil"/>
              <w:left w:val="nil"/>
              <w:bottom w:val="single" w:sz="8" w:space="0" w:color="auto"/>
              <w:right w:val="single" w:sz="8" w:space="0" w:color="auto"/>
            </w:tcBorders>
          </w:tcPr>
          <w:p w14:paraId="0AA55135" w14:textId="77777777" w:rsidR="005067E2" w:rsidRPr="002E6416" w:rsidRDefault="005067E2" w:rsidP="005604A2">
            <w:pPr>
              <w:pStyle w:val="Tabletext"/>
              <w:rPr>
                <w:sz w:val="24"/>
              </w:rPr>
            </w:pPr>
            <w:r w:rsidRPr="002E6416">
              <w:rPr>
                <w:sz w:val="24"/>
              </w:rPr>
              <w:t>High</w:t>
            </w:r>
          </w:p>
        </w:tc>
      </w:tr>
      <w:tr w:rsidR="005067E2" w:rsidRPr="002B7E1B" w14:paraId="3B5A6952"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0D2AF1" w14:textId="77777777" w:rsidR="005067E2" w:rsidRPr="002E6416" w:rsidRDefault="005067E2" w:rsidP="009D68DC">
            <w:pPr>
              <w:pStyle w:val="Tabletext"/>
              <w:keepNext/>
              <w:rPr>
                <w:b/>
                <w:bCs w:val="0"/>
                <w:sz w:val="24"/>
              </w:rPr>
            </w:pPr>
            <w:r w:rsidRPr="002E6416">
              <w:rPr>
                <w:b/>
                <w:bCs w:val="0"/>
                <w:sz w:val="24"/>
              </w:rPr>
              <w:t>Consequence</w:t>
            </w:r>
          </w:p>
        </w:tc>
        <w:tc>
          <w:tcPr>
            <w:tcW w:w="1737" w:type="dxa"/>
            <w:tcBorders>
              <w:top w:val="single" w:sz="8" w:space="0" w:color="auto"/>
              <w:left w:val="nil"/>
              <w:bottom w:val="single" w:sz="8" w:space="0" w:color="auto"/>
              <w:right w:val="single" w:sz="8" w:space="0" w:color="auto"/>
            </w:tcBorders>
          </w:tcPr>
          <w:p w14:paraId="6935430E" w14:textId="5834FE07" w:rsidR="005067E2" w:rsidRPr="002E6416" w:rsidRDefault="0004701D" w:rsidP="005604A2">
            <w:pPr>
              <w:pStyle w:val="Tabletext"/>
              <w:rPr>
                <w:sz w:val="24"/>
              </w:rPr>
            </w:pPr>
            <w:r>
              <w:rPr>
                <w:sz w:val="24"/>
              </w:rPr>
              <w:t>Minor</w:t>
            </w:r>
          </w:p>
        </w:tc>
      </w:tr>
      <w:tr w:rsidR="005067E2" w:rsidRPr="002B7E1B" w14:paraId="78F01A2F"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874496" w14:textId="77777777" w:rsidR="005067E2" w:rsidRPr="002E6416" w:rsidRDefault="005067E2" w:rsidP="009D68DC">
            <w:pPr>
              <w:pStyle w:val="Tabletext"/>
              <w:keepNext/>
              <w:rPr>
                <w:b/>
                <w:bCs w:val="0"/>
                <w:sz w:val="24"/>
              </w:rPr>
            </w:pPr>
            <w:r w:rsidRPr="002E6416">
              <w:rPr>
                <w:b/>
                <w:bCs w:val="0"/>
                <w:sz w:val="24"/>
              </w:rPr>
              <w:t>Risk score</w:t>
            </w:r>
          </w:p>
        </w:tc>
        <w:tc>
          <w:tcPr>
            <w:tcW w:w="1737" w:type="dxa"/>
            <w:tcBorders>
              <w:top w:val="single" w:sz="8" w:space="0" w:color="auto"/>
              <w:left w:val="nil"/>
              <w:bottom w:val="single" w:sz="8" w:space="0" w:color="auto"/>
              <w:right w:val="single" w:sz="8" w:space="0" w:color="auto"/>
            </w:tcBorders>
          </w:tcPr>
          <w:p w14:paraId="5E5EE124" w14:textId="77777777" w:rsidR="005067E2" w:rsidRPr="002E6416" w:rsidRDefault="005067E2" w:rsidP="005604A2">
            <w:pPr>
              <w:pStyle w:val="Tabletext"/>
              <w:rPr>
                <w:sz w:val="24"/>
              </w:rPr>
            </w:pPr>
            <w:r w:rsidRPr="002E6416">
              <w:rPr>
                <w:sz w:val="24"/>
              </w:rPr>
              <w:t>11.47</w:t>
            </w:r>
          </w:p>
        </w:tc>
      </w:tr>
      <w:tr w:rsidR="005067E2" w:rsidRPr="002B7E1B" w14:paraId="0AD210DA"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2983CC" w14:textId="77777777" w:rsidR="005067E2" w:rsidRPr="002E6416" w:rsidRDefault="005067E2" w:rsidP="005604A2">
            <w:pPr>
              <w:pStyle w:val="Tabletext"/>
              <w:rPr>
                <w:b/>
                <w:bCs w:val="0"/>
                <w:sz w:val="24"/>
              </w:rPr>
            </w:pPr>
            <w:r w:rsidRPr="002E6416">
              <w:rPr>
                <w:b/>
                <w:bCs w:val="0"/>
                <w:sz w:val="24"/>
              </w:rPr>
              <w:t>Overall assessment</w:t>
            </w:r>
          </w:p>
        </w:tc>
        <w:tc>
          <w:tcPr>
            <w:tcW w:w="1737" w:type="dxa"/>
            <w:tcBorders>
              <w:top w:val="single" w:sz="8" w:space="0" w:color="auto"/>
              <w:left w:val="nil"/>
              <w:bottom w:val="single" w:sz="8" w:space="0" w:color="auto"/>
              <w:right w:val="single" w:sz="8" w:space="0" w:color="auto"/>
            </w:tcBorders>
            <w:shd w:val="clear" w:color="auto" w:fill="E60000"/>
          </w:tcPr>
          <w:p w14:paraId="09B1F35E" w14:textId="77777777" w:rsidR="005067E2" w:rsidRPr="002E6416" w:rsidRDefault="005067E2" w:rsidP="005604A2">
            <w:pPr>
              <w:pStyle w:val="Tabletext"/>
              <w:rPr>
                <w:color w:val="FFFFFF" w:themeColor="background1"/>
                <w:sz w:val="24"/>
              </w:rPr>
            </w:pPr>
            <w:r w:rsidRPr="002E6416">
              <w:rPr>
                <w:color w:val="FFFFFF" w:themeColor="background1"/>
                <w:sz w:val="24"/>
              </w:rPr>
              <w:t>Very High</w:t>
            </w:r>
          </w:p>
        </w:tc>
      </w:tr>
    </w:tbl>
    <w:p w14:paraId="37DD3B69" w14:textId="77777777" w:rsidR="005067E2" w:rsidRPr="0085725E" w:rsidRDefault="005067E2" w:rsidP="005067E2">
      <w:pPr>
        <w:pStyle w:val="NoSpacing"/>
        <w:rPr>
          <w:highlight w:val="yellow"/>
        </w:rPr>
      </w:pPr>
    </w:p>
    <w:p w14:paraId="59EA1FE6" w14:textId="77777777" w:rsidR="002E6416" w:rsidRPr="0004701D" w:rsidRDefault="002E6416" w:rsidP="002E6416">
      <w:pPr>
        <w:pStyle w:val="Heading2"/>
        <w:rPr>
          <w:b w:val="0"/>
        </w:rPr>
      </w:pPr>
      <w:bookmarkStart w:id="78" w:name="_Toc208329956"/>
      <w:r w:rsidRPr="0004701D">
        <w:lastRenderedPageBreak/>
        <w:t>Industrial fires</w:t>
      </w:r>
      <w:bookmarkEnd w:id="78"/>
    </w:p>
    <w:p w14:paraId="05D6A748" w14:textId="77777777" w:rsidR="002E6416" w:rsidRPr="0004701D" w:rsidRDefault="002E6416" w:rsidP="002E6416">
      <w:r w:rsidRPr="0004701D">
        <w:t xml:space="preserve">Industrial incidents can take a wide variety of forms, and their potential impact on our communities varies considerably in both scale and nature.  In some cases, these incidents will have very limited impacts beyond the immediate area and can be dealt with locally, although others can have cascading effects that may impact the wider community.  Within our Service area, </w:t>
      </w:r>
      <w:r w:rsidRPr="00526E60">
        <w:t>there are 8 Top tier Control of Major Accident Hazard sites (Control of Major Accident Hazards Regulations 1999) and</w:t>
      </w:r>
      <w:r w:rsidRPr="0004701D">
        <w:t xml:space="preserve"> several lower tier sites covered by the Dangerous Substances (Notification and Marking of Sites) Regulations 1990.  These businesses are required to take all necessary measures to prevent major accidents involving dangerous substances to limit the consequences to people and the environment of any major accidents that do occur.</w:t>
      </w:r>
    </w:p>
    <w:p w14:paraId="16DC17C7" w14:textId="77777777" w:rsidR="002E6416" w:rsidRPr="0004701D" w:rsidRDefault="002E6416" w:rsidP="002E6416">
      <w:r w:rsidRPr="0004701D">
        <w:t>There are several industrial estates in our area that pose risks because of the diverse range of manufacturing and/or processes undertaken by the businesses that occupy the premises at these sites.  The experienced level of demand remains relatively low at these premises due to many sites being well-protected from the risk of fire and other incidents.  The significant level of prevention activity that we undertake as a fire and rescue service helps to ensure this level of protection remains high.</w:t>
      </w:r>
    </w:p>
    <w:p w14:paraId="1488DDA0" w14:textId="77C7C3E8" w:rsidR="002E6416" w:rsidRPr="004012CA" w:rsidRDefault="002E6416" w:rsidP="002E6416">
      <w:r w:rsidRPr="00526E60">
        <w:t xml:space="preserve">Over the previous five years, we attended an average of </w:t>
      </w:r>
      <w:r w:rsidR="00526E60" w:rsidRPr="0085725E">
        <w:t>42</w:t>
      </w:r>
      <w:r w:rsidR="00526E60" w:rsidRPr="00526E60">
        <w:t xml:space="preserve"> </w:t>
      </w:r>
      <w:r w:rsidRPr="00526E60">
        <w:t xml:space="preserve">industrial based incidents a year.  Of the </w:t>
      </w:r>
      <w:r w:rsidR="00526E60" w:rsidRPr="0085725E">
        <w:t>210</w:t>
      </w:r>
      <w:r w:rsidR="00526E60" w:rsidRPr="00526E60">
        <w:t xml:space="preserve"> </w:t>
      </w:r>
      <w:r w:rsidRPr="00526E60">
        <w:t xml:space="preserve">incidents attended, manufacturing </w:t>
      </w:r>
      <w:r w:rsidRPr="004012CA">
        <w:t xml:space="preserve">accounted for </w:t>
      </w:r>
      <w:r w:rsidR="00BF783A" w:rsidRPr="0085725E">
        <w:t>75</w:t>
      </w:r>
      <w:r w:rsidRPr="004012CA">
        <w:t xml:space="preserve">% and processing </w:t>
      </w:r>
      <w:r w:rsidR="00BF783A" w:rsidRPr="0085725E">
        <w:t>25</w:t>
      </w:r>
      <w:r w:rsidRPr="004012CA">
        <w:t xml:space="preserve">%, with fires within engineering premises and factories accounting for </w:t>
      </w:r>
      <w:r w:rsidR="00BF783A" w:rsidRPr="0085725E">
        <w:t>46</w:t>
      </w:r>
      <w:r w:rsidRPr="004012CA">
        <w:t>% of the overall total.</w:t>
      </w:r>
    </w:p>
    <w:p w14:paraId="61AAFCAB" w14:textId="77777777" w:rsidR="002E6416" w:rsidRPr="0085725E" w:rsidRDefault="002E6416" w:rsidP="002E6416">
      <w:pPr>
        <w:pStyle w:val="NoSpacing"/>
        <w:rPr>
          <w:highlight w:val="yellow"/>
        </w:rPr>
      </w:pPr>
    </w:p>
    <w:tbl>
      <w:tblPr>
        <w:tblStyle w:val="TableGrid"/>
        <w:tblW w:w="0" w:type="auto"/>
        <w:jc w:val="center"/>
        <w:tblLayout w:type="fixed"/>
        <w:tblLook w:val="04A0" w:firstRow="1" w:lastRow="0" w:firstColumn="1" w:lastColumn="0" w:noHBand="0" w:noVBand="1"/>
        <w:tblCaption w:val="Risk - industrial fires"/>
        <w:tblDescription w:val="A table detailing the likelihood, consequence, risk score and overall assessment"/>
      </w:tblPr>
      <w:tblGrid>
        <w:gridCol w:w="4385"/>
        <w:gridCol w:w="1737"/>
      </w:tblGrid>
      <w:tr w:rsidR="002E6416" w:rsidRPr="002B7E1B" w14:paraId="533FBD2E" w14:textId="77777777" w:rsidTr="00E373FB">
        <w:trPr>
          <w:tblHeade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AC1924" w14:textId="77777777" w:rsidR="002E6416" w:rsidRPr="00C44E44" w:rsidRDefault="002E6416" w:rsidP="009D68DC">
            <w:pPr>
              <w:pStyle w:val="Tabletext"/>
              <w:keepNext/>
              <w:rPr>
                <w:sz w:val="24"/>
              </w:rPr>
            </w:pPr>
            <w:r w:rsidRPr="00C44E44">
              <w:rPr>
                <w:b/>
                <w:bCs w:val="0"/>
                <w:sz w:val="24"/>
              </w:rPr>
              <w:t>Risk – Industrial fires</w:t>
            </w:r>
          </w:p>
        </w:tc>
        <w:tc>
          <w:tcPr>
            <w:tcW w:w="17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04D5EEF" w14:textId="77777777" w:rsidR="002E6416" w:rsidRPr="00C44E44" w:rsidRDefault="002E6416" w:rsidP="00E373FB">
            <w:pPr>
              <w:pStyle w:val="Tabletext"/>
              <w:rPr>
                <w:sz w:val="24"/>
              </w:rPr>
            </w:pPr>
            <w:r w:rsidRPr="00C44E44">
              <w:rPr>
                <w:b/>
                <w:sz w:val="24"/>
              </w:rPr>
              <w:t>Rating</w:t>
            </w:r>
          </w:p>
        </w:tc>
      </w:tr>
      <w:tr w:rsidR="002E6416" w:rsidRPr="002B7E1B" w14:paraId="6C0DAA33"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F497D0E" w14:textId="77777777" w:rsidR="002E6416" w:rsidRPr="00C44E44" w:rsidRDefault="002E6416" w:rsidP="009D68DC">
            <w:pPr>
              <w:pStyle w:val="Tabletext"/>
              <w:keepNext/>
              <w:rPr>
                <w:b/>
                <w:bCs w:val="0"/>
                <w:sz w:val="24"/>
              </w:rPr>
            </w:pPr>
            <w:r w:rsidRPr="00C44E44">
              <w:rPr>
                <w:b/>
                <w:bCs w:val="0"/>
                <w:sz w:val="24"/>
              </w:rPr>
              <w:t>Likelihood</w:t>
            </w:r>
          </w:p>
        </w:tc>
        <w:tc>
          <w:tcPr>
            <w:tcW w:w="1737" w:type="dxa"/>
            <w:tcBorders>
              <w:top w:val="nil"/>
              <w:left w:val="nil"/>
              <w:bottom w:val="single" w:sz="8" w:space="0" w:color="auto"/>
              <w:right w:val="single" w:sz="8" w:space="0" w:color="auto"/>
            </w:tcBorders>
          </w:tcPr>
          <w:p w14:paraId="514F58C7" w14:textId="77777777" w:rsidR="002E6416" w:rsidRPr="00C44E44" w:rsidRDefault="002E6416" w:rsidP="00E373FB">
            <w:pPr>
              <w:pStyle w:val="Tabletext"/>
              <w:rPr>
                <w:sz w:val="24"/>
              </w:rPr>
            </w:pPr>
            <w:r w:rsidRPr="00C44E44">
              <w:rPr>
                <w:sz w:val="24"/>
              </w:rPr>
              <w:t>Medium</w:t>
            </w:r>
          </w:p>
        </w:tc>
      </w:tr>
      <w:tr w:rsidR="002E6416" w:rsidRPr="002B7E1B" w14:paraId="05DA4090"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47538C" w14:textId="77777777" w:rsidR="002E6416" w:rsidRPr="00C44E44" w:rsidRDefault="002E6416" w:rsidP="009D68DC">
            <w:pPr>
              <w:pStyle w:val="Tabletext"/>
              <w:keepNext/>
              <w:rPr>
                <w:b/>
                <w:bCs w:val="0"/>
                <w:sz w:val="24"/>
              </w:rPr>
            </w:pPr>
            <w:r w:rsidRPr="00C44E44">
              <w:rPr>
                <w:b/>
                <w:bCs w:val="0"/>
                <w:sz w:val="24"/>
              </w:rPr>
              <w:t>Consequence</w:t>
            </w:r>
          </w:p>
        </w:tc>
        <w:tc>
          <w:tcPr>
            <w:tcW w:w="1737" w:type="dxa"/>
            <w:tcBorders>
              <w:top w:val="single" w:sz="8" w:space="0" w:color="auto"/>
              <w:left w:val="nil"/>
              <w:bottom w:val="single" w:sz="8" w:space="0" w:color="auto"/>
              <w:right w:val="single" w:sz="8" w:space="0" w:color="auto"/>
            </w:tcBorders>
          </w:tcPr>
          <w:p w14:paraId="425D06CA" w14:textId="77777777" w:rsidR="002E6416" w:rsidRPr="00C44E44" w:rsidRDefault="002E6416" w:rsidP="00E373FB">
            <w:pPr>
              <w:pStyle w:val="Tabletext"/>
              <w:rPr>
                <w:sz w:val="24"/>
              </w:rPr>
            </w:pPr>
            <w:r w:rsidRPr="00C44E44">
              <w:rPr>
                <w:sz w:val="24"/>
              </w:rPr>
              <w:t>Moderate</w:t>
            </w:r>
          </w:p>
        </w:tc>
      </w:tr>
      <w:tr w:rsidR="002E6416" w:rsidRPr="002B7E1B" w14:paraId="245F5373"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0EB8B3D" w14:textId="77777777" w:rsidR="002E6416" w:rsidRPr="00C44E44" w:rsidRDefault="002E6416" w:rsidP="009D68DC">
            <w:pPr>
              <w:pStyle w:val="Tabletext"/>
              <w:keepNext/>
              <w:rPr>
                <w:b/>
                <w:bCs w:val="0"/>
                <w:sz w:val="24"/>
              </w:rPr>
            </w:pPr>
            <w:r w:rsidRPr="00C44E44">
              <w:rPr>
                <w:b/>
                <w:bCs w:val="0"/>
                <w:sz w:val="24"/>
              </w:rPr>
              <w:t>Risk score</w:t>
            </w:r>
          </w:p>
        </w:tc>
        <w:tc>
          <w:tcPr>
            <w:tcW w:w="1737" w:type="dxa"/>
            <w:tcBorders>
              <w:top w:val="single" w:sz="8" w:space="0" w:color="auto"/>
              <w:left w:val="nil"/>
              <w:bottom w:val="single" w:sz="8" w:space="0" w:color="auto"/>
              <w:right w:val="single" w:sz="8" w:space="0" w:color="auto"/>
            </w:tcBorders>
          </w:tcPr>
          <w:p w14:paraId="07495C1C" w14:textId="730F5C4A" w:rsidR="002E6416" w:rsidRPr="00C44E44" w:rsidRDefault="00C44E44" w:rsidP="00E373FB">
            <w:pPr>
              <w:pStyle w:val="Tabletext"/>
              <w:rPr>
                <w:sz w:val="24"/>
              </w:rPr>
            </w:pPr>
            <w:r w:rsidRPr="00C44E44">
              <w:rPr>
                <w:sz w:val="24"/>
              </w:rPr>
              <w:t>10.67</w:t>
            </w:r>
          </w:p>
        </w:tc>
      </w:tr>
      <w:tr w:rsidR="002E6416" w:rsidRPr="002B7E1B" w14:paraId="66CD08C8"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111BDF" w14:textId="77777777" w:rsidR="002E6416" w:rsidRPr="00C44E44" w:rsidRDefault="002E6416" w:rsidP="00E373FB">
            <w:pPr>
              <w:pStyle w:val="Tabletext"/>
              <w:rPr>
                <w:b/>
                <w:bCs w:val="0"/>
                <w:sz w:val="24"/>
              </w:rPr>
            </w:pPr>
            <w:r w:rsidRPr="00C44E44">
              <w:rPr>
                <w:b/>
                <w:bCs w:val="0"/>
                <w:sz w:val="24"/>
              </w:rPr>
              <w:t>Overall assessment</w:t>
            </w:r>
          </w:p>
        </w:tc>
        <w:tc>
          <w:tcPr>
            <w:tcW w:w="1737" w:type="dxa"/>
            <w:tcBorders>
              <w:top w:val="single" w:sz="8" w:space="0" w:color="auto"/>
              <w:left w:val="nil"/>
              <w:bottom w:val="single" w:sz="8" w:space="0" w:color="auto"/>
              <w:right w:val="single" w:sz="8" w:space="0" w:color="auto"/>
            </w:tcBorders>
            <w:shd w:val="clear" w:color="auto" w:fill="E60000"/>
          </w:tcPr>
          <w:p w14:paraId="43672396" w14:textId="77777777" w:rsidR="002E6416" w:rsidRPr="00C44E44" w:rsidRDefault="002E6416" w:rsidP="00E373FB">
            <w:pPr>
              <w:pStyle w:val="Tabletext"/>
              <w:rPr>
                <w:color w:val="FFFFFF" w:themeColor="background1"/>
                <w:sz w:val="24"/>
              </w:rPr>
            </w:pPr>
            <w:r w:rsidRPr="00C44E44">
              <w:rPr>
                <w:color w:val="FFFFFF" w:themeColor="background1"/>
                <w:sz w:val="24"/>
              </w:rPr>
              <w:t>Very High</w:t>
            </w:r>
          </w:p>
        </w:tc>
      </w:tr>
    </w:tbl>
    <w:p w14:paraId="3645BCEB" w14:textId="77777777" w:rsidR="002E6416" w:rsidRDefault="002E6416" w:rsidP="009D68DC">
      <w:pPr>
        <w:pStyle w:val="NoSpacing"/>
        <w:rPr>
          <w:highlight w:val="yellow"/>
        </w:rPr>
      </w:pPr>
    </w:p>
    <w:p w14:paraId="3D3CF82C" w14:textId="2D948882" w:rsidR="005067E2" w:rsidRPr="0004701D" w:rsidRDefault="005067E2" w:rsidP="005067E2">
      <w:pPr>
        <w:pStyle w:val="Heading2"/>
        <w:rPr>
          <w:b w:val="0"/>
        </w:rPr>
      </w:pPr>
      <w:bookmarkStart w:id="79" w:name="_Toc208329957"/>
      <w:r w:rsidRPr="0004701D">
        <w:t>Road traffic collisions (RTC’s)</w:t>
      </w:r>
      <w:bookmarkEnd w:id="79"/>
    </w:p>
    <w:p w14:paraId="67097F55" w14:textId="1F9AB0FF" w:rsidR="005067E2" w:rsidRPr="0004701D" w:rsidRDefault="005067E2" w:rsidP="005067E2">
      <w:r w:rsidRPr="0004701D">
        <w:t xml:space="preserve">Nationally, </w:t>
      </w:r>
      <w:r w:rsidR="00235950" w:rsidRPr="0004701D">
        <w:t>road traffic collisions</w:t>
      </w:r>
      <w:r w:rsidRPr="0004701D">
        <w:t xml:space="preserve"> are the most frequently attended non-fire incident by Fire and Rescue Services.</w:t>
      </w:r>
      <w:r w:rsidR="003D2C08" w:rsidRPr="0004701D">
        <w:t xml:space="preserve"> </w:t>
      </w:r>
      <w:r w:rsidRPr="0004701D">
        <w:t xml:space="preserve"> </w:t>
      </w:r>
      <w:r w:rsidR="003D2C08" w:rsidRPr="0004701D">
        <w:rPr>
          <w:lang w:eastAsia="en-GB"/>
        </w:rPr>
        <w:t xml:space="preserve">Lancashire </w:t>
      </w:r>
      <w:r w:rsidR="00C77080" w:rsidRPr="0004701D">
        <w:rPr>
          <w:lang w:eastAsia="en-GB"/>
        </w:rPr>
        <w:t>F</w:t>
      </w:r>
      <w:r w:rsidR="003D2C08" w:rsidRPr="0004701D">
        <w:rPr>
          <w:lang w:eastAsia="en-GB"/>
        </w:rPr>
        <w:t xml:space="preserve">ire and </w:t>
      </w:r>
      <w:r w:rsidR="00C77080" w:rsidRPr="0004701D">
        <w:rPr>
          <w:lang w:eastAsia="en-GB"/>
        </w:rPr>
        <w:t>R</w:t>
      </w:r>
      <w:r w:rsidR="003D2C08" w:rsidRPr="0004701D">
        <w:rPr>
          <w:lang w:eastAsia="en-GB"/>
        </w:rPr>
        <w:t xml:space="preserve">escue </w:t>
      </w:r>
      <w:r w:rsidR="00C77080" w:rsidRPr="0004701D">
        <w:rPr>
          <w:lang w:eastAsia="en-GB"/>
        </w:rPr>
        <w:t>S</w:t>
      </w:r>
      <w:r w:rsidR="003D2C08" w:rsidRPr="0004701D">
        <w:rPr>
          <w:lang w:eastAsia="en-GB"/>
        </w:rPr>
        <w:t>ervice</w:t>
      </w:r>
      <w:r w:rsidR="003D2C08" w:rsidRPr="0004701D">
        <w:t xml:space="preserve"> </w:t>
      </w:r>
      <w:r w:rsidRPr="0004701D">
        <w:t>has a statutory duty to provide an emergency response to</w:t>
      </w:r>
      <w:r w:rsidR="00235950" w:rsidRPr="0004701D">
        <w:t xml:space="preserve"> road traffic collisions.</w:t>
      </w:r>
      <w:r w:rsidRPr="0004701D">
        <w:t xml:space="preserve"> Whilst we are not the lead agency for road safety prevention work (this falls to Lancashire County Council and Unitary Authorities), we do recognise the importance of road safety prevention work in mitigating collisions and the </w:t>
      </w:r>
      <w:r w:rsidRPr="0004701D">
        <w:lastRenderedPageBreak/>
        <w:t>devastating effects that road traffic collisions can have on individuals and communities.  We are part of the Lancashire Road Safety Partnership.</w:t>
      </w:r>
    </w:p>
    <w:p w14:paraId="7266C76D" w14:textId="0BB90EEB" w:rsidR="005067E2" w:rsidRPr="0004701D" w:rsidRDefault="005067E2" w:rsidP="005067E2">
      <w:r w:rsidRPr="0004701D">
        <w:t xml:space="preserve">The area covered by </w:t>
      </w:r>
      <w:r w:rsidR="003D2C08" w:rsidRPr="0004701D">
        <w:rPr>
          <w:lang w:eastAsia="en-GB"/>
        </w:rPr>
        <w:t xml:space="preserve">Lancashire </w:t>
      </w:r>
      <w:r w:rsidR="00C77080" w:rsidRPr="0004701D">
        <w:rPr>
          <w:lang w:eastAsia="en-GB"/>
        </w:rPr>
        <w:t>F</w:t>
      </w:r>
      <w:r w:rsidR="003D2C08" w:rsidRPr="0004701D">
        <w:rPr>
          <w:lang w:eastAsia="en-GB"/>
        </w:rPr>
        <w:t xml:space="preserve">ire and </w:t>
      </w:r>
      <w:r w:rsidR="00C77080" w:rsidRPr="0004701D">
        <w:rPr>
          <w:lang w:eastAsia="en-GB"/>
        </w:rPr>
        <w:t>R</w:t>
      </w:r>
      <w:r w:rsidR="003D2C08" w:rsidRPr="0004701D">
        <w:rPr>
          <w:lang w:eastAsia="en-GB"/>
        </w:rPr>
        <w:t xml:space="preserve">escue </w:t>
      </w:r>
      <w:r w:rsidR="00C77080" w:rsidRPr="0004701D">
        <w:rPr>
          <w:lang w:eastAsia="en-GB"/>
        </w:rPr>
        <w:t>S</w:t>
      </w:r>
      <w:r w:rsidR="003D2C08" w:rsidRPr="0004701D">
        <w:rPr>
          <w:lang w:eastAsia="en-GB"/>
        </w:rPr>
        <w:t>ervice</w:t>
      </w:r>
      <w:r w:rsidR="003D2C08" w:rsidRPr="0004701D">
        <w:t xml:space="preserve"> </w:t>
      </w:r>
      <w:r w:rsidRPr="0004701D">
        <w:t xml:space="preserve">is large and includes 5 motorways, over 700 km’s of 'A' roads and a significantly high number of rural roads.  Statistics have shown that car occupants are the most likely to be killed in a </w:t>
      </w:r>
      <w:r w:rsidR="00AB1C0E" w:rsidRPr="0004701D">
        <w:t>road traffic collision</w:t>
      </w:r>
      <w:r w:rsidRPr="0004701D">
        <w:t>, followed by pedestrians, motorcyclists and cyclists.  Children aged under 15 are most likely to be involved in</w:t>
      </w:r>
      <w:r w:rsidR="00235950" w:rsidRPr="0004701D">
        <w:t xml:space="preserve"> road traffic collisions </w:t>
      </w:r>
      <w:r w:rsidRPr="0004701D">
        <w:t>as pedestrians.</w:t>
      </w:r>
    </w:p>
    <w:p w14:paraId="6BFDA1D9" w14:textId="3F48CC73" w:rsidR="005067E2" w:rsidRPr="00526E60" w:rsidRDefault="005067E2" w:rsidP="005067E2">
      <w:r w:rsidRPr="00526E60">
        <w:t xml:space="preserve">Over the previous five years, </w:t>
      </w:r>
      <w:r w:rsidR="003D2C08" w:rsidRPr="00526E60">
        <w:rPr>
          <w:lang w:eastAsia="en-GB"/>
        </w:rPr>
        <w:t xml:space="preserve">Lancashire </w:t>
      </w:r>
      <w:r w:rsidR="00C77080" w:rsidRPr="00526E60">
        <w:rPr>
          <w:lang w:eastAsia="en-GB"/>
        </w:rPr>
        <w:t>F</w:t>
      </w:r>
      <w:r w:rsidR="003D2C08" w:rsidRPr="00526E60">
        <w:rPr>
          <w:lang w:eastAsia="en-GB"/>
        </w:rPr>
        <w:t xml:space="preserve">ire and </w:t>
      </w:r>
      <w:r w:rsidR="00C77080" w:rsidRPr="00526E60">
        <w:rPr>
          <w:lang w:eastAsia="en-GB"/>
        </w:rPr>
        <w:t>R</w:t>
      </w:r>
      <w:r w:rsidR="003D2C08" w:rsidRPr="00526E60">
        <w:rPr>
          <w:lang w:eastAsia="en-GB"/>
        </w:rPr>
        <w:t xml:space="preserve">escue </w:t>
      </w:r>
      <w:r w:rsidR="00C77080" w:rsidRPr="00526E60">
        <w:rPr>
          <w:lang w:eastAsia="en-GB"/>
        </w:rPr>
        <w:t>S</w:t>
      </w:r>
      <w:r w:rsidR="003D2C08" w:rsidRPr="00526E60">
        <w:rPr>
          <w:lang w:eastAsia="en-GB"/>
        </w:rPr>
        <w:t>ervice</w:t>
      </w:r>
      <w:r w:rsidRPr="00526E60">
        <w:t xml:space="preserve"> have attended an average of </w:t>
      </w:r>
      <w:r w:rsidR="00526E60" w:rsidRPr="0085725E">
        <w:t>631</w:t>
      </w:r>
      <w:r w:rsidR="00526E60" w:rsidRPr="00526E60">
        <w:t xml:space="preserve"> </w:t>
      </w:r>
      <w:r w:rsidRPr="00526E60">
        <w:t xml:space="preserve">incidents of this type a year, which accounts </w:t>
      </w:r>
      <w:r w:rsidRPr="004012CA">
        <w:t xml:space="preserve">for </w:t>
      </w:r>
      <w:r w:rsidR="00BF783A" w:rsidRPr="0085725E">
        <w:t>14</w:t>
      </w:r>
      <w:r w:rsidRPr="004012CA">
        <w:t xml:space="preserve">% of all Special Service calls.  There has been </w:t>
      </w:r>
      <w:r w:rsidR="00BF783A" w:rsidRPr="0085725E">
        <w:t>60</w:t>
      </w:r>
      <w:r w:rsidR="00BF783A" w:rsidRPr="004012CA">
        <w:t xml:space="preserve"> </w:t>
      </w:r>
      <w:r w:rsidRPr="004012CA">
        <w:t xml:space="preserve">fatalities and </w:t>
      </w:r>
      <w:r w:rsidR="00BF783A" w:rsidRPr="0085725E">
        <w:t>411</w:t>
      </w:r>
      <w:r w:rsidR="00BF783A" w:rsidRPr="004012CA">
        <w:t xml:space="preserve"> </w:t>
      </w:r>
      <w:r w:rsidRPr="004012CA">
        <w:t xml:space="preserve">serious injuries from </w:t>
      </w:r>
      <w:r w:rsidR="00235950" w:rsidRPr="004012CA">
        <w:t xml:space="preserve">road traffic collisions </w:t>
      </w:r>
      <w:r w:rsidRPr="004012CA">
        <w:t xml:space="preserve">attended by </w:t>
      </w:r>
      <w:r w:rsidR="003D2C08" w:rsidRPr="004012CA">
        <w:rPr>
          <w:lang w:eastAsia="en-GB"/>
        </w:rPr>
        <w:t xml:space="preserve">Lancashire </w:t>
      </w:r>
      <w:r w:rsidR="00C77080" w:rsidRPr="004012CA">
        <w:rPr>
          <w:lang w:eastAsia="en-GB"/>
        </w:rPr>
        <w:t>F</w:t>
      </w:r>
      <w:r w:rsidR="003D2C08" w:rsidRPr="004012CA">
        <w:rPr>
          <w:lang w:eastAsia="en-GB"/>
        </w:rPr>
        <w:t xml:space="preserve">ire and </w:t>
      </w:r>
      <w:r w:rsidR="00C77080" w:rsidRPr="004012CA">
        <w:rPr>
          <w:lang w:eastAsia="en-GB"/>
        </w:rPr>
        <w:t>R</w:t>
      </w:r>
      <w:r w:rsidR="003D2C08" w:rsidRPr="004012CA">
        <w:rPr>
          <w:lang w:eastAsia="en-GB"/>
        </w:rPr>
        <w:t xml:space="preserve">escue </w:t>
      </w:r>
      <w:r w:rsidR="00C77080" w:rsidRPr="004012CA">
        <w:rPr>
          <w:lang w:eastAsia="en-GB"/>
        </w:rPr>
        <w:t>S</w:t>
      </w:r>
      <w:r w:rsidR="003D2C08" w:rsidRPr="004012CA">
        <w:rPr>
          <w:lang w:eastAsia="en-GB"/>
        </w:rPr>
        <w:t>ervice</w:t>
      </w:r>
      <w:r w:rsidR="003D2C08" w:rsidRPr="004012CA">
        <w:t xml:space="preserve"> </w:t>
      </w:r>
      <w:r w:rsidRPr="004012CA">
        <w:t>over the last five years, that</w:t>
      </w:r>
      <w:r w:rsidRPr="00526E60">
        <w:t xml:space="preserve"> involved either the extrication of trapped individuals or making the vehicle(s) safe.  Other types of work undertaken by operational crews at</w:t>
      </w:r>
      <w:r w:rsidR="00235950" w:rsidRPr="00526E60">
        <w:t xml:space="preserve"> road traffic collisions </w:t>
      </w:r>
      <w:r w:rsidRPr="00526E60">
        <w:t>have included making the scene safe, offering medical assistance only and the release of individuals where there was no requirement for an extrication to take place.</w:t>
      </w:r>
    </w:p>
    <w:p w14:paraId="7C36E868"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road traffic collisions"/>
        <w:tblDescription w:val="A table detailing the likelihood, consequence, risk score and overall assessment"/>
      </w:tblPr>
      <w:tblGrid>
        <w:gridCol w:w="4243"/>
        <w:gridCol w:w="1879"/>
      </w:tblGrid>
      <w:tr w:rsidR="005067E2" w:rsidRPr="002B7E1B" w14:paraId="5C987231" w14:textId="77777777" w:rsidTr="005604A2">
        <w:trPr>
          <w:tblHeader/>
          <w:jc w:val="center"/>
        </w:trPr>
        <w:tc>
          <w:tcPr>
            <w:tcW w:w="4243" w:type="dxa"/>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617ED13E" w14:textId="77777777" w:rsidR="005067E2" w:rsidRPr="002E6416" w:rsidRDefault="005067E2" w:rsidP="009D68DC">
            <w:pPr>
              <w:pStyle w:val="Tabletext"/>
              <w:keepNext/>
              <w:rPr>
                <w:sz w:val="24"/>
              </w:rPr>
            </w:pPr>
            <w:r w:rsidRPr="002E6416">
              <w:rPr>
                <w:b/>
                <w:bCs w:val="0"/>
                <w:sz w:val="24"/>
              </w:rPr>
              <w:t>Risk – Road traffic collisions</w:t>
            </w:r>
          </w:p>
        </w:tc>
        <w:tc>
          <w:tcPr>
            <w:tcW w:w="1879" w:type="dxa"/>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592E3447" w14:textId="77777777" w:rsidR="005067E2" w:rsidRPr="002E6416" w:rsidRDefault="005067E2" w:rsidP="005604A2">
            <w:pPr>
              <w:pStyle w:val="Tabletext"/>
              <w:rPr>
                <w:sz w:val="24"/>
              </w:rPr>
            </w:pPr>
            <w:r w:rsidRPr="002E6416">
              <w:rPr>
                <w:b/>
                <w:sz w:val="24"/>
              </w:rPr>
              <w:t>Rating</w:t>
            </w:r>
          </w:p>
        </w:tc>
      </w:tr>
      <w:tr w:rsidR="005067E2" w:rsidRPr="002B7E1B" w14:paraId="1AD4F094"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F6198F1" w14:textId="77777777" w:rsidR="005067E2" w:rsidRPr="002E6416" w:rsidRDefault="005067E2" w:rsidP="009D68DC">
            <w:pPr>
              <w:pStyle w:val="Tabletext"/>
              <w:keepNext/>
              <w:rPr>
                <w:b/>
                <w:bCs w:val="0"/>
                <w:sz w:val="24"/>
              </w:rPr>
            </w:pPr>
            <w:r w:rsidRPr="002E6416">
              <w:rPr>
                <w:b/>
                <w:bCs w:val="0"/>
                <w:sz w:val="24"/>
              </w:rPr>
              <w:t>Likelihood</w:t>
            </w:r>
          </w:p>
        </w:tc>
        <w:tc>
          <w:tcPr>
            <w:tcW w:w="1879" w:type="dxa"/>
            <w:tcBorders>
              <w:top w:val="nil"/>
              <w:left w:val="nil"/>
              <w:bottom w:val="single" w:sz="8" w:space="0" w:color="auto"/>
              <w:right w:val="single" w:sz="8" w:space="0" w:color="auto"/>
            </w:tcBorders>
          </w:tcPr>
          <w:p w14:paraId="3E3538E8" w14:textId="77777777" w:rsidR="005067E2" w:rsidRPr="002E6416" w:rsidRDefault="005067E2" w:rsidP="005604A2">
            <w:pPr>
              <w:pStyle w:val="Tabletext"/>
              <w:rPr>
                <w:sz w:val="24"/>
              </w:rPr>
            </w:pPr>
            <w:r w:rsidRPr="002E6416">
              <w:rPr>
                <w:sz w:val="24"/>
              </w:rPr>
              <w:t>High</w:t>
            </w:r>
          </w:p>
        </w:tc>
      </w:tr>
      <w:tr w:rsidR="005067E2" w:rsidRPr="002B7E1B" w14:paraId="181C1347"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1E1E80" w14:textId="77777777" w:rsidR="005067E2" w:rsidRPr="002E6416" w:rsidRDefault="005067E2" w:rsidP="009D68DC">
            <w:pPr>
              <w:pStyle w:val="Tabletext"/>
              <w:keepNext/>
              <w:rPr>
                <w:b/>
                <w:bCs w:val="0"/>
                <w:sz w:val="24"/>
              </w:rPr>
            </w:pPr>
            <w:r w:rsidRPr="002E6416">
              <w:rPr>
                <w:b/>
                <w:bCs w:val="0"/>
                <w:sz w:val="24"/>
              </w:rPr>
              <w:t>Consequence</w:t>
            </w:r>
          </w:p>
        </w:tc>
        <w:tc>
          <w:tcPr>
            <w:tcW w:w="1879" w:type="dxa"/>
            <w:tcBorders>
              <w:top w:val="single" w:sz="8" w:space="0" w:color="auto"/>
              <w:left w:val="nil"/>
              <w:bottom w:val="single" w:sz="8" w:space="0" w:color="auto"/>
              <w:right w:val="single" w:sz="8" w:space="0" w:color="auto"/>
            </w:tcBorders>
          </w:tcPr>
          <w:p w14:paraId="7C85124D" w14:textId="77777777" w:rsidR="005067E2" w:rsidRPr="002E6416" w:rsidRDefault="005067E2" w:rsidP="005604A2">
            <w:pPr>
              <w:pStyle w:val="Tabletext"/>
              <w:rPr>
                <w:sz w:val="24"/>
              </w:rPr>
            </w:pPr>
            <w:r w:rsidRPr="002E6416">
              <w:rPr>
                <w:sz w:val="24"/>
              </w:rPr>
              <w:t>Minor</w:t>
            </w:r>
          </w:p>
        </w:tc>
      </w:tr>
      <w:tr w:rsidR="005067E2" w:rsidRPr="002B7E1B" w14:paraId="42466FF0"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1C55A6" w14:textId="77777777" w:rsidR="005067E2" w:rsidRPr="002E6416" w:rsidRDefault="005067E2" w:rsidP="009D68DC">
            <w:pPr>
              <w:pStyle w:val="Tabletext"/>
              <w:keepNext/>
              <w:rPr>
                <w:b/>
                <w:bCs w:val="0"/>
                <w:sz w:val="24"/>
              </w:rPr>
            </w:pPr>
            <w:r w:rsidRPr="002E6416">
              <w:rPr>
                <w:b/>
                <w:bCs w:val="0"/>
                <w:sz w:val="24"/>
              </w:rPr>
              <w:t>Risk score</w:t>
            </w:r>
          </w:p>
        </w:tc>
        <w:tc>
          <w:tcPr>
            <w:tcW w:w="1879" w:type="dxa"/>
            <w:tcBorders>
              <w:top w:val="single" w:sz="8" w:space="0" w:color="auto"/>
              <w:left w:val="nil"/>
              <w:bottom w:val="single" w:sz="8" w:space="0" w:color="auto"/>
              <w:right w:val="single" w:sz="8" w:space="0" w:color="auto"/>
            </w:tcBorders>
          </w:tcPr>
          <w:p w14:paraId="420E8664" w14:textId="77777777" w:rsidR="005067E2" w:rsidRPr="002E6416" w:rsidRDefault="005067E2" w:rsidP="005604A2">
            <w:pPr>
              <w:pStyle w:val="Tabletext"/>
              <w:rPr>
                <w:sz w:val="24"/>
              </w:rPr>
            </w:pPr>
            <w:r w:rsidRPr="002E6416">
              <w:rPr>
                <w:sz w:val="24"/>
              </w:rPr>
              <w:t>10.24</w:t>
            </w:r>
          </w:p>
        </w:tc>
      </w:tr>
      <w:tr w:rsidR="005067E2" w:rsidRPr="002B7E1B" w14:paraId="31C3D1B2"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3411A37" w14:textId="77777777" w:rsidR="005067E2" w:rsidRPr="002E6416" w:rsidRDefault="005067E2" w:rsidP="005604A2">
            <w:pPr>
              <w:pStyle w:val="Tabletext"/>
              <w:rPr>
                <w:b/>
                <w:bCs w:val="0"/>
                <w:sz w:val="24"/>
              </w:rPr>
            </w:pPr>
            <w:r w:rsidRPr="002E6416">
              <w:rPr>
                <w:b/>
                <w:bCs w:val="0"/>
                <w:sz w:val="24"/>
              </w:rPr>
              <w:t>Overall assessment</w:t>
            </w:r>
          </w:p>
        </w:tc>
        <w:tc>
          <w:tcPr>
            <w:tcW w:w="1879" w:type="dxa"/>
            <w:tcBorders>
              <w:top w:val="single" w:sz="8" w:space="0" w:color="auto"/>
              <w:left w:val="nil"/>
              <w:bottom w:val="single" w:sz="8" w:space="0" w:color="auto"/>
              <w:right w:val="single" w:sz="8" w:space="0" w:color="auto"/>
            </w:tcBorders>
            <w:shd w:val="clear" w:color="auto" w:fill="E60000"/>
          </w:tcPr>
          <w:p w14:paraId="13976329" w14:textId="77777777" w:rsidR="005067E2" w:rsidRPr="002E6416" w:rsidRDefault="005067E2" w:rsidP="005604A2">
            <w:pPr>
              <w:pStyle w:val="Tabletext"/>
              <w:rPr>
                <w:color w:val="FFFFFF" w:themeColor="background1"/>
                <w:sz w:val="24"/>
              </w:rPr>
            </w:pPr>
            <w:r w:rsidRPr="002E6416">
              <w:rPr>
                <w:color w:val="FFFFFF" w:themeColor="background1"/>
                <w:sz w:val="24"/>
              </w:rPr>
              <w:t>Very High</w:t>
            </w:r>
          </w:p>
        </w:tc>
      </w:tr>
    </w:tbl>
    <w:p w14:paraId="40505D2D" w14:textId="77777777" w:rsidR="005067E2" w:rsidRPr="0085725E" w:rsidRDefault="005067E2" w:rsidP="005067E2">
      <w:pPr>
        <w:pStyle w:val="NoSpacing"/>
        <w:rPr>
          <w:highlight w:val="yellow"/>
        </w:rPr>
      </w:pPr>
    </w:p>
    <w:p w14:paraId="66135412" w14:textId="77777777" w:rsidR="005067E2" w:rsidRPr="0004701D" w:rsidRDefault="005067E2" w:rsidP="005067E2">
      <w:pPr>
        <w:pStyle w:val="Heading2"/>
        <w:rPr>
          <w:b w:val="0"/>
        </w:rPr>
      </w:pPr>
      <w:bookmarkStart w:id="80" w:name="_Toc208329958"/>
      <w:r w:rsidRPr="0004701D">
        <w:t>Rescue collapsed structure/confined space</w:t>
      </w:r>
      <w:bookmarkEnd w:id="80"/>
    </w:p>
    <w:p w14:paraId="0E8D36BF" w14:textId="77777777" w:rsidR="005067E2" w:rsidRPr="0004701D" w:rsidRDefault="005067E2" w:rsidP="005067E2">
      <w:pPr>
        <w:rPr>
          <w:lang w:val="en"/>
        </w:rPr>
      </w:pPr>
      <w:r w:rsidRPr="0004701D">
        <w:rPr>
          <w:lang w:val="en"/>
        </w:rPr>
        <w:t>Incidents occurring in confined spaces and within/around collapsed or unstable structures are some of the most complex areas that fire and rescue services work in and include both geological and manmade structures.</w:t>
      </w:r>
    </w:p>
    <w:p w14:paraId="5A79E8B2" w14:textId="37930AA9" w:rsidR="005067E2" w:rsidRPr="0004701D" w:rsidRDefault="005067E2" w:rsidP="005067E2">
      <w:pPr>
        <w:rPr>
          <w:lang w:val="en"/>
        </w:rPr>
      </w:pPr>
      <w:r w:rsidRPr="0004701D">
        <w:rPr>
          <w:lang w:val="en"/>
        </w:rPr>
        <w:t xml:space="preserve">Fire and rescue services frequently attend incidents that involve a combination of these contexts, where danger to operational crews and the public is significant.  </w:t>
      </w:r>
      <w:r w:rsidR="00721973" w:rsidRPr="0004701D">
        <w:rPr>
          <w:lang w:eastAsia="en-GB"/>
        </w:rPr>
        <w:t>Lancashire Fire and Rescue Service</w:t>
      </w:r>
      <w:r w:rsidRPr="0004701D">
        <w:rPr>
          <w:lang w:val="en"/>
        </w:rPr>
        <w:t xml:space="preserve"> aims to promote and develop good practice and support the development of safe systems of work to </w:t>
      </w:r>
      <w:r w:rsidRPr="0004701D">
        <w:t>minimise</w:t>
      </w:r>
      <w:r w:rsidRPr="0004701D">
        <w:rPr>
          <w:lang w:val="en"/>
        </w:rPr>
        <w:t xml:space="preserve"> the dangers faced in these environments.</w:t>
      </w:r>
    </w:p>
    <w:p w14:paraId="11E0CE0F" w14:textId="3BB7C75C" w:rsidR="005067E2" w:rsidRPr="0085725E" w:rsidRDefault="005067E2" w:rsidP="005067E2">
      <w:pPr>
        <w:rPr>
          <w:highlight w:val="yellow"/>
        </w:rPr>
      </w:pPr>
      <w:r w:rsidRPr="00526E60">
        <w:t xml:space="preserve">Over the previous five years, we have attended an average of 86 incidents a year of this type, attending </w:t>
      </w:r>
      <w:r w:rsidR="00526E60" w:rsidRPr="0085725E">
        <w:t>430</w:t>
      </w:r>
      <w:r w:rsidR="00526E60" w:rsidRPr="00526E60">
        <w:t xml:space="preserve"> </w:t>
      </w:r>
      <w:r w:rsidRPr="00526E60">
        <w:t xml:space="preserve">incidents in total. </w:t>
      </w:r>
      <w:r w:rsidR="003D2C08" w:rsidRPr="004012CA">
        <w:rPr>
          <w:lang w:eastAsia="en-GB"/>
        </w:rPr>
        <w:t>Lancashire</w:t>
      </w:r>
      <w:r w:rsidR="00C77080" w:rsidRPr="004012CA">
        <w:rPr>
          <w:lang w:eastAsia="en-GB"/>
        </w:rPr>
        <w:t xml:space="preserve"> F</w:t>
      </w:r>
      <w:r w:rsidR="003D2C08" w:rsidRPr="004012CA">
        <w:rPr>
          <w:lang w:eastAsia="en-GB"/>
        </w:rPr>
        <w:t xml:space="preserve">ire and </w:t>
      </w:r>
      <w:r w:rsidR="00C77080" w:rsidRPr="004012CA">
        <w:rPr>
          <w:lang w:eastAsia="en-GB"/>
        </w:rPr>
        <w:t>R</w:t>
      </w:r>
      <w:r w:rsidR="003D2C08" w:rsidRPr="004012CA">
        <w:rPr>
          <w:lang w:eastAsia="en-GB"/>
        </w:rPr>
        <w:t xml:space="preserve">escue </w:t>
      </w:r>
      <w:r w:rsidR="00C77080" w:rsidRPr="004012CA">
        <w:rPr>
          <w:lang w:eastAsia="en-GB"/>
        </w:rPr>
        <w:t>S</w:t>
      </w:r>
      <w:r w:rsidR="003D2C08" w:rsidRPr="004012CA">
        <w:rPr>
          <w:lang w:eastAsia="en-GB"/>
        </w:rPr>
        <w:t>ervice</w:t>
      </w:r>
      <w:r w:rsidRPr="004012CA">
        <w:t xml:space="preserve"> attended </w:t>
      </w:r>
      <w:r w:rsidR="00C874E0" w:rsidRPr="0085725E">
        <w:t>63</w:t>
      </w:r>
      <w:r w:rsidR="00C874E0" w:rsidRPr="004012CA">
        <w:t xml:space="preserve"> </w:t>
      </w:r>
      <w:r w:rsidRPr="004012CA">
        <w:t xml:space="preserve">incidents involving somebody trapped in or under machinery or another object e.g., hopper, conveyor, crusher.  </w:t>
      </w:r>
      <w:r w:rsidR="00C874E0" w:rsidRPr="0085725E">
        <w:t>Eleven</w:t>
      </w:r>
      <w:r w:rsidR="00C874E0" w:rsidRPr="004012CA">
        <w:t xml:space="preserve"> </w:t>
      </w:r>
      <w:r w:rsidRPr="004012CA">
        <w:t xml:space="preserve">incidents from a collapsed structure, and </w:t>
      </w:r>
      <w:r w:rsidR="00C874E0" w:rsidRPr="0085725E">
        <w:t>8</w:t>
      </w:r>
      <w:r w:rsidR="00C874E0" w:rsidRPr="004012CA">
        <w:t xml:space="preserve"> </w:t>
      </w:r>
      <w:r w:rsidRPr="004012CA">
        <w:t xml:space="preserve">incidents involved a </w:t>
      </w:r>
      <w:r w:rsidRPr="004012CA">
        <w:lastRenderedPageBreak/>
        <w:t xml:space="preserve">rescue from a confined space.  Due to the nature of this incident type, there have been </w:t>
      </w:r>
      <w:r w:rsidR="00C874E0" w:rsidRPr="0085725E">
        <w:t>9</w:t>
      </w:r>
      <w:r w:rsidR="00C874E0" w:rsidRPr="004012CA">
        <w:t xml:space="preserve"> </w:t>
      </w:r>
      <w:r w:rsidRPr="004012CA">
        <w:t xml:space="preserve">fatalities, </w:t>
      </w:r>
      <w:r w:rsidR="00C874E0" w:rsidRPr="0085725E">
        <w:t>33</w:t>
      </w:r>
      <w:r w:rsidR="00C874E0" w:rsidRPr="004012CA">
        <w:t xml:space="preserve"> </w:t>
      </w:r>
      <w:r w:rsidRPr="004012CA">
        <w:t xml:space="preserve">serious injuries and </w:t>
      </w:r>
      <w:r w:rsidR="00C874E0" w:rsidRPr="0085725E">
        <w:t>42</w:t>
      </w:r>
      <w:r w:rsidR="00C874E0" w:rsidRPr="004012CA">
        <w:t xml:space="preserve"> </w:t>
      </w:r>
      <w:r w:rsidRPr="004012CA">
        <w:t>minor injuries.</w:t>
      </w:r>
    </w:p>
    <w:p w14:paraId="784DBD4F"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rescue collapsed structure/confined space"/>
        <w:tblDescription w:val="A table detailing the likelihood, consequence, risk score and overall assessment"/>
      </w:tblPr>
      <w:tblGrid>
        <w:gridCol w:w="6227"/>
        <w:gridCol w:w="1701"/>
      </w:tblGrid>
      <w:tr w:rsidR="005067E2" w:rsidRPr="002B7E1B" w14:paraId="2CD0A0AC" w14:textId="77777777" w:rsidTr="005604A2">
        <w:trPr>
          <w:tblHeader/>
          <w:jc w:val="center"/>
        </w:trPr>
        <w:tc>
          <w:tcPr>
            <w:tcW w:w="62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6471D0" w14:textId="77777777" w:rsidR="005067E2" w:rsidRPr="00C44E44" w:rsidRDefault="005067E2" w:rsidP="009D68DC">
            <w:pPr>
              <w:pStyle w:val="Tabletext"/>
              <w:keepNext/>
              <w:rPr>
                <w:sz w:val="24"/>
              </w:rPr>
            </w:pPr>
            <w:r w:rsidRPr="00C44E44">
              <w:rPr>
                <w:b/>
                <w:bCs w:val="0"/>
                <w:sz w:val="24"/>
              </w:rPr>
              <w:t>Risk – Rescue collapsed structure/confined space</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D6F2AF9" w14:textId="77777777" w:rsidR="005067E2" w:rsidRPr="00C44E44" w:rsidRDefault="005067E2" w:rsidP="005604A2">
            <w:pPr>
              <w:pStyle w:val="Tabletext"/>
              <w:rPr>
                <w:sz w:val="24"/>
              </w:rPr>
            </w:pPr>
            <w:r w:rsidRPr="00C44E44">
              <w:rPr>
                <w:b/>
                <w:sz w:val="24"/>
              </w:rPr>
              <w:t>Rating</w:t>
            </w:r>
          </w:p>
        </w:tc>
      </w:tr>
      <w:tr w:rsidR="005067E2" w:rsidRPr="002B7E1B" w14:paraId="3B6A8A9A" w14:textId="77777777" w:rsidTr="005604A2">
        <w:trPr>
          <w:jc w:val="center"/>
        </w:trPr>
        <w:tc>
          <w:tcPr>
            <w:tcW w:w="62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AB0B708" w14:textId="77777777" w:rsidR="005067E2" w:rsidRPr="00C44E44" w:rsidRDefault="005067E2" w:rsidP="009D68DC">
            <w:pPr>
              <w:pStyle w:val="Tabletext"/>
              <w:keepNext/>
              <w:rPr>
                <w:b/>
                <w:bCs w:val="0"/>
                <w:sz w:val="24"/>
              </w:rPr>
            </w:pPr>
            <w:r w:rsidRPr="00C44E44">
              <w:rPr>
                <w:b/>
                <w:bCs w:val="0"/>
                <w:sz w:val="24"/>
              </w:rPr>
              <w:t>Likelihood</w:t>
            </w:r>
          </w:p>
        </w:tc>
        <w:tc>
          <w:tcPr>
            <w:tcW w:w="1701" w:type="dxa"/>
            <w:tcBorders>
              <w:top w:val="nil"/>
              <w:left w:val="nil"/>
              <w:bottom w:val="single" w:sz="8" w:space="0" w:color="auto"/>
              <w:right w:val="single" w:sz="8" w:space="0" w:color="auto"/>
            </w:tcBorders>
          </w:tcPr>
          <w:p w14:paraId="486A91DC" w14:textId="77777777" w:rsidR="005067E2" w:rsidRPr="00C44E44" w:rsidRDefault="005067E2" w:rsidP="005604A2">
            <w:pPr>
              <w:pStyle w:val="Tabletext"/>
              <w:rPr>
                <w:sz w:val="24"/>
              </w:rPr>
            </w:pPr>
            <w:r w:rsidRPr="00C44E44">
              <w:rPr>
                <w:sz w:val="24"/>
              </w:rPr>
              <w:t>Medium High</w:t>
            </w:r>
          </w:p>
        </w:tc>
      </w:tr>
      <w:tr w:rsidR="005067E2" w:rsidRPr="002B7E1B" w14:paraId="5A1C8D72" w14:textId="77777777" w:rsidTr="005604A2">
        <w:trPr>
          <w:jc w:val="center"/>
        </w:trPr>
        <w:tc>
          <w:tcPr>
            <w:tcW w:w="62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53FC15" w14:textId="77777777" w:rsidR="005067E2" w:rsidRPr="00C44E44" w:rsidRDefault="005067E2" w:rsidP="009D68DC">
            <w:pPr>
              <w:pStyle w:val="Tabletext"/>
              <w:keepNext/>
              <w:rPr>
                <w:b/>
                <w:bCs w:val="0"/>
                <w:sz w:val="24"/>
              </w:rPr>
            </w:pPr>
            <w:r w:rsidRPr="00C44E44">
              <w:rPr>
                <w:b/>
                <w:bCs w:val="0"/>
                <w:sz w:val="24"/>
              </w:rPr>
              <w:t>Consequence</w:t>
            </w:r>
          </w:p>
        </w:tc>
        <w:tc>
          <w:tcPr>
            <w:tcW w:w="1701" w:type="dxa"/>
            <w:tcBorders>
              <w:top w:val="single" w:sz="8" w:space="0" w:color="auto"/>
              <w:left w:val="nil"/>
              <w:bottom w:val="single" w:sz="8" w:space="0" w:color="auto"/>
              <w:right w:val="single" w:sz="8" w:space="0" w:color="auto"/>
            </w:tcBorders>
          </w:tcPr>
          <w:p w14:paraId="0DFA65B5" w14:textId="77777777" w:rsidR="005067E2" w:rsidRPr="00C44E44" w:rsidRDefault="005067E2" w:rsidP="005604A2">
            <w:pPr>
              <w:pStyle w:val="Tabletext"/>
              <w:rPr>
                <w:sz w:val="24"/>
              </w:rPr>
            </w:pPr>
            <w:r w:rsidRPr="00C44E44">
              <w:rPr>
                <w:sz w:val="24"/>
              </w:rPr>
              <w:t>Minor</w:t>
            </w:r>
          </w:p>
        </w:tc>
      </w:tr>
      <w:tr w:rsidR="005067E2" w:rsidRPr="002B7E1B" w14:paraId="558F5FD8" w14:textId="77777777" w:rsidTr="005604A2">
        <w:trPr>
          <w:jc w:val="center"/>
        </w:trPr>
        <w:tc>
          <w:tcPr>
            <w:tcW w:w="62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6B38B4" w14:textId="77777777" w:rsidR="005067E2" w:rsidRPr="00C44E44" w:rsidRDefault="005067E2" w:rsidP="009D68DC">
            <w:pPr>
              <w:pStyle w:val="Tabletext"/>
              <w:keepNext/>
              <w:rPr>
                <w:b/>
                <w:bCs w:val="0"/>
                <w:sz w:val="24"/>
              </w:rPr>
            </w:pPr>
            <w:r w:rsidRPr="00C44E44">
              <w:rPr>
                <w:b/>
                <w:bCs w:val="0"/>
                <w:sz w:val="24"/>
              </w:rPr>
              <w:t>Risk score</w:t>
            </w:r>
          </w:p>
        </w:tc>
        <w:tc>
          <w:tcPr>
            <w:tcW w:w="1701" w:type="dxa"/>
            <w:tcBorders>
              <w:top w:val="single" w:sz="8" w:space="0" w:color="auto"/>
              <w:left w:val="nil"/>
              <w:bottom w:val="single" w:sz="8" w:space="0" w:color="auto"/>
              <w:right w:val="single" w:sz="8" w:space="0" w:color="auto"/>
            </w:tcBorders>
          </w:tcPr>
          <w:p w14:paraId="706B0AEF" w14:textId="77777777" w:rsidR="005067E2" w:rsidRPr="00C44E44" w:rsidRDefault="005067E2" w:rsidP="005604A2">
            <w:pPr>
              <w:pStyle w:val="Tabletext"/>
              <w:rPr>
                <w:sz w:val="24"/>
              </w:rPr>
            </w:pPr>
            <w:r w:rsidRPr="00C44E44">
              <w:rPr>
                <w:sz w:val="24"/>
              </w:rPr>
              <w:t>9.97</w:t>
            </w:r>
          </w:p>
        </w:tc>
      </w:tr>
      <w:tr w:rsidR="005067E2" w:rsidRPr="002B7E1B" w14:paraId="589328DE" w14:textId="77777777" w:rsidTr="005604A2">
        <w:trPr>
          <w:jc w:val="center"/>
        </w:trPr>
        <w:tc>
          <w:tcPr>
            <w:tcW w:w="62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5CC665" w14:textId="77777777" w:rsidR="005067E2" w:rsidRPr="00C44E44" w:rsidRDefault="005067E2" w:rsidP="005604A2">
            <w:pPr>
              <w:pStyle w:val="Tabletext"/>
              <w:rPr>
                <w:b/>
                <w:bCs w:val="0"/>
                <w:sz w:val="24"/>
              </w:rPr>
            </w:pPr>
            <w:r w:rsidRPr="00C44E44">
              <w:rPr>
                <w:b/>
                <w:bCs w:val="0"/>
                <w:sz w:val="24"/>
              </w:rPr>
              <w:t>Overall assessment</w:t>
            </w:r>
          </w:p>
        </w:tc>
        <w:tc>
          <w:tcPr>
            <w:tcW w:w="1701" w:type="dxa"/>
            <w:tcBorders>
              <w:top w:val="single" w:sz="8" w:space="0" w:color="auto"/>
              <w:left w:val="nil"/>
              <w:bottom w:val="single" w:sz="8" w:space="0" w:color="auto"/>
              <w:right w:val="single" w:sz="8" w:space="0" w:color="auto"/>
            </w:tcBorders>
            <w:shd w:val="clear" w:color="auto" w:fill="E60000"/>
          </w:tcPr>
          <w:p w14:paraId="1A34043C" w14:textId="77777777" w:rsidR="005067E2" w:rsidRPr="00C44E44" w:rsidRDefault="005067E2" w:rsidP="005604A2">
            <w:pPr>
              <w:pStyle w:val="Tabletext"/>
              <w:rPr>
                <w:color w:val="FFFFFF" w:themeColor="background1"/>
                <w:sz w:val="24"/>
              </w:rPr>
            </w:pPr>
            <w:r w:rsidRPr="00C44E44">
              <w:rPr>
                <w:color w:val="FFFFFF" w:themeColor="background1"/>
                <w:sz w:val="24"/>
              </w:rPr>
              <w:t>Very High</w:t>
            </w:r>
          </w:p>
        </w:tc>
      </w:tr>
    </w:tbl>
    <w:p w14:paraId="2093B9E5" w14:textId="77777777" w:rsidR="005067E2" w:rsidRPr="0085725E" w:rsidRDefault="005067E2" w:rsidP="005067E2">
      <w:pPr>
        <w:pStyle w:val="NoSpacing"/>
        <w:rPr>
          <w:highlight w:val="yellow"/>
        </w:rPr>
      </w:pPr>
    </w:p>
    <w:p w14:paraId="5E4F5996" w14:textId="77777777" w:rsidR="005067E2" w:rsidRPr="0004701D" w:rsidRDefault="005067E2" w:rsidP="005067E2">
      <w:pPr>
        <w:pStyle w:val="Heading2"/>
        <w:rPr>
          <w:b w:val="0"/>
        </w:rPr>
      </w:pPr>
      <w:bookmarkStart w:id="81" w:name="_Toc208329959"/>
      <w:r w:rsidRPr="0004701D">
        <w:t>Road vehicle fires</w:t>
      </w:r>
      <w:bookmarkEnd w:id="81"/>
    </w:p>
    <w:p w14:paraId="252CAFB4" w14:textId="6CB71412" w:rsidR="005067E2" w:rsidRPr="0004701D" w:rsidRDefault="005067E2" w:rsidP="005067E2">
      <w:r w:rsidRPr="0004701D">
        <w:t xml:space="preserve">The road vehicle fires dataset covers primary fires attended by </w:t>
      </w:r>
      <w:r w:rsidR="003D2C08" w:rsidRPr="0004701D">
        <w:rPr>
          <w:lang w:eastAsia="en-GB"/>
        </w:rPr>
        <w:t xml:space="preserve">Lancashire </w:t>
      </w:r>
      <w:r w:rsidR="00C77080" w:rsidRPr="0004701D">
        <w:rPr>
          <w:lang w:eastAsia="en-GB"/>
        </w:rPr>
        <w:t>F</w:t>
      </w:r>
      <w:r w:rsidR="003D2C08" w:rsidRPr="0004701D">
        <w:rPr>
          <w:lang w:eastAsia="en-GB"/>
        </w:rPr>
        <w:t xml:space="preserve">ire and </w:t>
      </w:r>
      <w:r w:rsidR="00C77080" w:rsidRPr="0004701D">
        <w:rPr>
          <w:lang w:eastAsia="en-GB"/>
        </w:rPr>
        <w:t>R</w:t>
      </w:r>
      <w:r w:rsidR="003D2C08" w:rsidRPr="0004701D">
        <w:rPr>
          <w:lang w:eastAsia="en-GB"/>
        </w:rPr>
        <w:t xml:space="preserve">escue </w:t>
      </w:r>
      <w:r w:rsidR="00C77080" w:rsidRPr="0004701D">
        <w:rPr>
          <w:lang w:eastAsia="en-GB"/>
        </w:rPr>
        <w:t>S</w:t>
      </w:r>
      <w:r w:rsidR="003D2C08" w:rsidRPr="0004701D">
        <w:rPr>
          <w:lang w:eastAsia="en-GB"/>
        </w:rPr>
        <w:t>ervice</w:t>
      </w:r>
      <w:r w:rsidRPr="0004701D">
        <w:t xml:space="preserve"> that involved any vehicle designed for road use.  Fires in derelict road vehicles are only included if they are considered to be a primary fire (i.e., the fire involved a fatality, casualty or rescue, or the fire was attended by five or more pumping appliances).</w:t>
      </w:r>
    </w:p>
    <w:p w14:paraId="3E5D488F" w14:textId="77777777" w:rsidR="005067E2" w:rsidRPr="0004701D" w:rsidRDefault="005067E2" w:rsidP="005067E2">
      <w:r w:rsidRPr="0004701D">
        <w:t>Every year in the UK, thousands of road vehicles are involved in fire and unfortunately people die as a result.  Around half of these fires are started deliberately to cover criminal activity, to make a fraudulent insurance claim or as an act of vandalism</w:t>
      </w:r>
      <w:r w:rsidRPr="0037598D">
        <w:t>.  One in 12 reported stolen vehicles will be burnt out.  Many other vehicle fires break out because of a fault or simply due to a lack of basic maintenance.  The financial loss of having a</w:t>
      </w:r>
      <w:r w:rsidRPr="0004701D">
        <w:t xml:space="preserve"> car fire is bad enough and although insurance may compensate for this, nothing can help with the shock and inconvenience that follow even a small fire.</w:t>
      </w:r>
    </w:p>
    <w:p w14:paraId="1BB56A52" w14:textId="40A7669B" w:rsidR="005067E2" w:rsidRPr="00D0558B" w:rsidRDefault="005067E2" w:rsidP="005067E2">
      <w:r w:rsidRPr="00526E60">
        <w:t xml:space="preserve">Over the previous five years we have attended an average of </w:t>
      </w:r>
      <w:r w:rsidR="00526E60" w:rsidRPr="0085725E">
        <w:t>467</w:t>
      </w:r>
      <w:r w:rsidR="00526E60" w:rsidRPr="00526E60">
        <w:t xml:space="preserve"> </w:t>
      </w:r>
      <w:r w:rsidRPr="00526E60">
        <w:t xml:space="preserve">incidents a year involving road vehicle fires.  This equates to </w:t>
      </w:r>
      <w:r w:rsidR="00526E60" w:rsidRPr="0085725E">
        <w:t>2337</w:t>
      </w:r>
      <w:r w:rsidR="00526E60" w:rsidRPr="00526E60">
        <w:t xml:space="preserve"> </w:t>
      </w:r>
      <w:r w:rsidRPr="00526E60">
        <w:t xml:space="preserve">in total, with </w:t>
      </w:r>
      <w:r w:rsidR="00E03BE0" w:rsidRPr="0085725E">
        <w:t>58</w:t>
      </w:r>
      <w:r w:rsidRPr="00D0558B">
        <w:t xml:space="preserve">% involving cars, </w:t>
      </w:r>
      <w:r w:rsidR="00E03BE0" w:rsidRPr="0085725E">
        <w:t>12</w:t>
      </w:r>
      <w:r w:rsidRPr="00D0558B">
        <w:t xml:space="preserve">% vans and </w:t>
      </w:r>
      <w:r w:rsidR="00E03BE0" w:rsidRPr="0085725E">
        <w:t>10</w:t>
      </w:r>
      <w:r w:rsidRPr="00D0558B">
        <w:t xml:space="preserve">% motorcycles, with </w:t>
      </w:r>
      <w:r w:rsidR="00E03BE0" w:rsidRPr="0085725E">
        <w:t>37</w:t>
      </w:r>
      <w:r w:rsidRPr="00D0558B">
        <w:t xml:space="preserve">% of the fires being deliberate.  </w:t>
      </w:r>
    </w:p>
    <w:p w14:paraId="19BC9380" w14:textId="481E13F5" w:rsidR="005067E2" w:rsidRPr="00D0558B" w:rsidRDefault="005067E2" w:rsidP="005067E2">
      <w:r w:rsidRPr="00D0558B">
        <w:t xml:space="preserve">The district of Preston experienced the most road vehicle fires, and </w:t>
      </w:r>
      <w:r w:rsidR="00E03BE0" w:rsidRPr="0085725E">
        <w:t>41</w:t>
      </w:r>
      <w:r w:rsidRPr="00D0558B">
        <w:t xml:space="preserve">% are deliberate.  There were casualties from this incident type with </w:t>
      </w:r>
      <w:r w:rsidR="00D17C48" w:rsidRPr="0085725E">
        <w:t>6</w:t>
      </w:r>
      <w:r w:rsidR="00E03BE0" w:rsidRPr="00D0558B">
        <w:t xml:space="preserve"> </w:t>
      </w:r>
      <w:r w:rsidRPr="00D0558B">
        <w:t xml:space="preserve">fatalities, </w:t>
      </w:r>
      <w:r w:rsidR="005144E8" w:rsidRPr="0085725E">
        <w:t>9</w:t>
      </w:r>
      <w:r w:rsidR="00E03BE0" w:rsidRPr="00D0558B">
        <w:t xml:space="preserve"> </w:t>
      </w:r>
      <w:r w:rsidRPr="00D0558B">
        <w:t xml:space="preserve">people sustaining serious injuries over the last five years, and </w:t>
      </w:r>
      <w:r w:rsidR="005144E8" w:rsidRPr="0085725E">
        <w:t>9</w:t>
      </w:r>
      <w:r w:rsidR="00E03BE0" w:rsidRPr="00D0558B">
        <w:t xml:space="preserve"> </w:t>
      </w:r>
      <w:r w:rsidRPr="00D0558B">
        <w:t>people with minor injuries.</w:t>
      </w:r>
    </w:p>
    <w:p w14:paraId="72734274"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road vehicle fires"/>
        <w:tblDescription w:val="A table detailing the likelihood, consequence, risk score and overall assessment"/>
      </w:tblPr>
      <w:tblGrid>
        <w:gridCol w:w="4385"/>
        <w:gridCol w:w="1737"/>
      </w:tblGrid>
      <w:tr w:rsidR="005067E2" w:rsidRPr="002B7E1B" w14:paraId="629296B6" w14:textId="77777777" w:rsidTr="005604A2">
        <w:trPr>
          <w:tblHeade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C95BBE" w14:textId="77777777" w:rsidR="005067E2" w:rsidRPr="00C44E44" w:rsidRDefault="005067E2" w:rsidP="009D68DC">
            <w:pPr>
              <w:pStyle w:val="Tabletext"/>
              <w:keepNext/>
              <w:rPr>
                <w:sz w:val="24"/>
              </w:rPr>
            </w:pPr>
            <w:r w:rsidRPr="00C44E44">
              <w:rPr>
                <w:b/>
                <w:bCs w:val="0"/>
                <w:sz w:val="24"/>
              </w:rPr>
              <w:lastRenderedPageBreak/>
              <w:t>Risk – Road vehicle fires</w:t>
            </w:r>
          </w:p>
        </w:tc>
        <w:tc>
          <w:tcPr>
            <w:tcW w:w="17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9D16EC0" w14:textId="77777777" w:rsidR="005067E2" w:rsidRPr="00C44E44" w:rsidRDefault="005067E2" w:rsidP="005604A2">
            <w:pPr>
              <w:pStyle w:val="Tabletext"/>
              <w:rPr>
                <w:sz w:val="24"/>
              </w:rPr>
            </w:pPr>
            <w:r w:rsidRPr="00C44E44">
              <w:rPr>
                <w:b/>
                <w:sz w:val="24"/>
              </w:rPr>
              <w:t>Rating</w:t>
            </w:r>
          </w:p>
        </w:tc>
      </w:tr>
      <w:tr w:rsidR="005067E2" w:rsidRPr="002B7E1B" w14:paraId="58D5D297"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CACB197" w14:textId="77777777" w:rsidR="005067E2" w:rsidRPr="00C44E44" w:rsidRDefault="005067E2" w:rsidP="009D68DC">
            <w:pPr>
              <w:pStyle w:val="Tabletext"/>
              <w:keepNext/>
              <w:rPr>
                <w:b/>
                <w:bCs w:val="0"/>
                <w:sz w:val="24"/>
              </w:rPr>
            </w:pPr>
            <w:r w:rsidRPr="00C44E44">
              <w:rPr>
                <w:b/>
                <w:bCs w:val="0"/>
                <w:sz w:val="24"/>
              </w:rPr>
              <w:t>Likelihood</w:t>
            </w:r>
          </w:p>
        </w:tc>
        <w:tc>
          <w:tcPr>
            <w:tcW w:w="1737" w:type="dxa"/>
            <w:tcBorders>
              <w:top w:val="nil"/>
              <w:left w:val="nil"/>
              <w:bottom w:val="single" w:sz="8" w:space="0" w:color="auto"/>
              <w:right w:val="single" w:sz="8" w:space="0" w:color="auto"/>
            </w:tcBorders>
          </w:tcPr>
          <w:p w14:paraId="7825AFCA" w14:textId="77777777" w:rsidR="005067E2" w:rsidRPr="00C44E44" w:rsidRDefault="005067E2" w:rsidP="005604A2">
            <w:pPr>
              <w:pStyle w:val="Tabletext"/>
              <w:rPr>
                <w:sz w:val="24"/>
              </w:rPr>
            </w:pPr>
            <w:r w:rsidRPr="00C44E44">
              <w:rPr>
                <w:sz w:val="24"/>
              </w:rPr>
              <w:t>High</w:t>
            </w:r>
          </w:p>
        </w:tc>
      </w:tr>
      <w:tr w:rsidR="005067E2" w:rsidRPr="002B7E1B" w14:paraId="159F0034"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FCCE96" w14:textId="77777777" w:rsidR="005067E2" w:rsidRPr="00C44E44" w:rsidRDefault="005067E2" w:rsidP="009D68DC">
            <w:pPr>
              <w:pStyle w:val="Tabletext"/>
              <w:keepNext/>
              <w:rPr>
                <w:b/>
                <w:bCs w:val="0"/>
                <w:sz w:val="24"/>
              </w:rPr>
            </w:pPr>
            <w:r w:rsidRPr="00C44E44">
              <w:rPr>
                <w:b/>
                <w:bCs w:val="0"/>
                <w:sz w:val="24"/>
              </w:rPr>
              <w:t>Consequence</w:t>
            </w:r>
          </w:p>
        </w:tc>
        <w:tc>
          <w:tcPr>
            <w:tcW w:w="1737" w:type="dxa"/>
            <w:tcBorders>
              <w:top w:val="single" w:sz="8" w:space="0" w:color="auto"/>
              <w:left w:val="nil"/>
              <w:bottom w:val="single" w:sz="8" w:space="0" w:color="auto"/>
              <w:right w:val="single" w:sz="8" w:space="0" w:color="auto"/>
            </w:tcBorders>
          </w:tcPr>
          <w:p w14:paraId="068E2145" w14:textId="77777777" w:rsidR="005067E2" w:rsidRPr="00C44E44" w:rsidRDefault="005067E2" w:rsidP="005604A2">
            <w:pPr>
              <w:pStyle w:val="Tabletext"/>
              <w:rPr>
                <w:sz w:val="24"/>
              </w:rPr>
            </w:pPr>
            <w:r w:rsidRPr="00C44E44">
              <w:rPr>
                <w:sz w:val="24"/>
              </w:rPr>
              <w:t>Limited</w:t>
            </w:r>
          </w:p>
        </w:tc>
      </w:tr>
      <w:tr w:rsidR="005067E2" w:rsidRPr="002B7E1B" w14:paraId="78874571"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FD77DD8" w14:textId="77777777" w:rsidR="005067E2" w:rsidRPr="00C44E44" w:rsidRDefault="005067E2" w:rsidP="009D68DC">
            <w:pPr>
              <w:pStyle w:val="Tabletext"/>
              <w:keepNext/>
              <w:rPr>
                <w:b/>
                <w:bCs w:val="0"/>
                <w:sz w:val="24"/>
              </w:rPr>
            </w:pPr>
            <w:r w:rsidRPr="00C44E44">
              <w:rPr>
                <w:b/>
                <w:bCs w:val="0"/>
                <w:sz w:val="24"/>
              </w:rPr>
              <w:t>Risk score</w:t>
            </w:r>
          </w:p>
        </w:tc>
        <w:tc>
          <w:tcPr>
            <w:tcW w:w="1737" w:type="dxa"/>
            <w:tcBorders>
              <w:top w:val="single" w:sz="8" w:space="0" w:color="auto"/>
              <w:left w:val="nil"/>
              <w:bottom w:val="single" w:sz="8" w:space="0" w:color="auto"/>
              <w:right w:val="single" w:sz="8" w:space="0" w:color="auto"/>
            </w:tcBorders>
          </w:tcPr>
          <w:p w14:paraId="59038EB9" w14:textId="77777777" w:rsidR="005067E2" w:rsidRPr="00C44E44" w:rsidRDefault="005067E2" w:rsidP="005604A2">
            <w:pPr>
              <w:pStyle w:val="Tabletext"/>
              <w:rPr>
                <w:sz w:val="24"/>
              </w:rPr>
            </w:pPr>
            <w:r w:rsidRPr="00C44E44">
              <w:rPr>
                <w:sz w:val="24"/>
              </w:rPr>
              <w:t>9.60</w:t>
            </w:r>
          </w:p>
        </w:tc>
      </w:tr>
      <w:tr w:rsidR="005067E2" w:rsidRPr="002B7E1B" w14:paraId="0FC405A2"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7FF203" w14:textId="77777777" w:rsidR="005067E2" w:rsidRPr="00C44E44" w:rsidRDefault="005067E2" w:rsidP="005604A2">
            <w:pPr>
              <w:pStyle w:val="Tabletext"/>
              <w:rPr>
                <w:b/>
                <w:bCs w:val="0"/>
                <w:sz w:val="24"/>
              </w:rPr>
            </w:pPr>
            <w:r w:rsidRPr="00C44E44">
              <w:rPr>
                <w:b/>
                <w:bCs w:val="0"/>
                <w:sz w:val="24"/>
              </w:rPr>
              <w:t>Overall assessment</w:t>
            </w:r>
          </w:p>
        </w:tc>
        <w:tc>
          <w:tcPr>
            <w:tcW w:w="1737" w:type="dxa"/>
            <w:tcBorders>
              <w:top w:val="single" w:sz="8" w:space="0" w:color="auto"/>
              <w:left w:val="nil"/>
              <w:bottom w:val="single" w:sz="8" w:space="0" w:color="auto"/>
              <w:right w:val="single" w:sz="8" w:space="0" w:color="auto"/>
            </w:tcBorders>
            <w:shd w:val="clear" w:color="auto" w:fill="E60000"/>
          </w:tcPr>
          <w:p w14:paraId="5F7467EE" w14:textId="77777777" w:rsidR="005067E2" w:rsidRPr="00C44E44" w:rsidRDefault="005067E2" w:rsidP="005604A2">
            <w:pPr>
              <w:pStyle w:val="Tabletext"/>
              <w:rPr>
                <w:color w:val="FFFFFF" w:themeColor="background1"/>
                <w:sz w:val="24"/>
              </w:rPr>
            </w:pPr>
            <w:r w:rsidRPr="00C44E44">
              <w:rPr>
                <w:color w:val="FFFFFF" w:themeColor="background1"/>
                <w:sz w:val="24"/>
              </w:rPr>
              <w:t>Very High</w:t>
            </w:r>
          </w:p>
        </w:tc>
      </w:tr>
    </w:tbl>
    <w:p w14:paraId="6E18C81A" w14:textId="77777777" w:rsidR="005067E2" w:rsidRPr="0085725E" w:rsidRDefault="005067E2" w:rsidP="005067E2">
      <w:pPr>
        <w:pStyle w:val="NoSpacing"/>
        <w:rPr>
          <w:highlight w:val="yellow"/>
        </w:rPr>
      </w:pPr>
    </w:p>
    <w:p w14:paraId="5AA586C1" w14:textId="77777777" w:rsidR="00C44E44" w:rsidRPr="0004701D" w:rsidRDefault="00C44E44" w:rsidP="00C44E44">
      <w:pPr>
        <w:pStyle w:val="Heading2"/>
        <w:rPr>
          <w:b w:val="0"/>
        </w:rPr>
      </w:pPr>
      <w:bookmarkStart w:id="82" w:name="_Toc208329960"/>
      <w:r w:rsidRPr="0004701D">
        <w:t>Assist other agencies</w:t>
      </w:r>
      <w:bookmarkEnd w:id="82"/>
    </w:p>
    <w:p w14:paraId="1B2F8AF5" w14:textId="77777777" w:rsidR="00C44E44" w:rsidRPr="0004701D" w:rsidRDefault="00C44E44" w:rsidP="00C44E44">
      <w:r w:rsidRPr="0004701D">
        <w:rPr>
          <w:lang w:eastAsia="en-GB"/>
        </w:rPr>
        <w:t>Lancashire Fire and Rescue Service,</w:t>
      </w:r>
      <w:r w:rsidRPr="0004701D">
        <w:t xml:space="preserve"> Lancashire Constabulary and Northwest Ambulance Service have entered a Memorandum of Understanding which provides the agreement for </w:t>
      </w:r>
      <w:r w:rsidRPr="0004701D">
        <w:rPr>
          <w:lang w:eastAsia="en-GB"/>
        </w:rPr>
        <w:t>Lancashire Fire and Rescue Service</w:t>
      </w:r>
      <w:r w:rsidRPr="0004701D">
        <w:t xml:space="preserve"> to replace Lancashire Constabulary as the supporting agency for Northwest Ambulance Service.  This refers to instances where it is necessary to assist Northwest Ambulance Service to gain entry to a property to provide patient care.  This incident type primarily relates to calls where there is concern for the welfare of a patient inside premises and cannot Northwest Ambulance Service gain access.  Northwest Ambulance Service staff on scene will request assistance to gain entry.</w:t>
      </w:r>
    </w:p>
    <w:p w14:paraId="09F2A19D" w14:textId="6D8B4FA8" w:rsidR="00C44E44" w:rsidRPr="0085725E" w:rsidRDefault="00C44E44" w:rsidP="00C44E44">
      <w:pPr>
        <w:rPr>
          <w:rFonts w:cs="Arial"/>
          <w:color w:val="000000" w:themeColor="text1"/>
          <w:szCs w:val="24"/>
          <w:highlight w:val="yellow"/>
        </w:rPr>
      </w:pPr>
      <w:r w:rsidRPr="00526E60">
        <w:rPr>
          <w:rFonts w:cs="Arial"/>
          <w:color w:val="000000" w:themeColor="text1"/>
          <w:szCs w:val="24"/>
        </w:rPr>
        <w:t xml:space="preserve">Over the previous five years we have attended an average of </w:t>
      </w:r>
      <w:r w:rsidR="00526E60" w:rsidRPr="0085725E">
        <w:rPr>
          <w:rFonts w:cs="Arial"/>
          <w:color w:val="000000" w:themeColor="text1"/>
          <w:szCs w:val="24"/>
        </w:rPr>
        <w:t>1383</w:t>
      </w:r>
      <w:r w:rsidRPr="00526E60">
        <w:rPr>
          <w:rFonts w:cs="Arial"/>
          <w:color w:val="000000" w:themeColor="text1"/>
          <w:szCs w:val="24"/>
        </w:rPr>
        <w:t xml:space="preserve"> incidents a year where we have assisted other agencies.  Of the </w:t>
      </w:r>
      <w:r w:rsidR="00526E60" w:rsidRPr="0085725E">
        <w:rPr>
          <w:rFonts w:cs="Arial"/>
          <w:color w:val="000000" w:themeColor="text1"/>
          <w:szCs w:val="24"/>
        </w:rPr>
        <w:t>6917</w:t>
      </w:r>
      <w:r w:rsidRPr="00526E60">
        <w:rPr>
          <w:rFonts w:cs="Arial"/>
          <w:color w:val="000000" w:themeColor="text1"/>
          <w:szCs w:val="24"/>
        </w:rPr>
        <w:t xml:space="preserve"> incidents attended</w:t>
      </w:r>
      <w:r w:rsidRPr="00D0558B">
        <w:rPr>
          <w:rFonts w:cs="Arial"/>
          <w:color w:val="000000" w:themeColor="text1"/>
          <w:szCs w:val="24"/>
        </w:rPr>
        <w:t xml:space="preserve">, </w:t>
      </w:r>
      <w:r w:rsidR="00A62EF3" w:rsidRPr="0085725E">
        <w:rPr>
          <w:rFonts w:cs="Arial"/>
          <w:color w:val="000000" w:themeColor="text1"/>
          <w:szCs w:val="24"/>
        </w:rPr>
        <w:t>81</w:t>
      </w:r>
      <w:r w:rsidRPr="00D0558B">
        <w:rPr>
          <w:rFonts w:cs="Arial"/>
          <w:color w:val="000000" w:themeColor="text1"/>
          <w:szCs w:val="24"/>
        </w:rPr>
        <w:t xml:space="preserve">% were assistance to the Police/Ambulance.  </w:t>
      </w:r>
      <w:r w:rsidRPr="00D0558B">
        <w:rPr>
          <w:lang w:eastAsia="en-GB"/>
        </w:rPr>
        <w:t>Lancashire Fire and Rescue Service</w:t>
      </w:r>
      <w:r w:rsidRPr="00D0558B">
        <w:rPr>
          <w:rFonts w:cs="Arial"/>
          <w:color w:val="000000" w:themeColor="text1"/>
          <w:szCs w:val="24"/>
        </w:rPr>
        <w:t xml:space="preserve"> also attended </w:t>
      </w:r>
      <w:r w:rsidR="00A62EF3" w:rsidRPr="0085725E">
        <w:rPr>
          <w:rFonts w:cs="Arial"/>
          <w:color w:val="000000" w:themeColor="text1"/>
          <w:szCs w:val="24"/>
        </w:rPr>
        <w:t>662</w:t>
      </w:r>
      <w:r w:rsidR="00A62EF3" w:rsidRPr="00D0558B">
        <w:rPr>
          <w:rFonts w:cs="Arial"/>
          <w:color w:val="000000" w:themeColor="text1"/>
          <w:szCs w:val="24"/>
        </w:rPr>
        <w:t xml:space="preserve"> </w:t>
      </w:r>
      <w:r w:rsidRPr="00D0558B">
        <w:rPr>
          <w:rFonts w:cs="Arial"/>
          <w:color w:val="000000" w:themeColor="text1"/>
          <w:szCs w:val="24"/>
        </w:rPr>
        <w:t xml:space="preserve">incidents to assist NWAS with a bariatric patient.  Unfortunately, to the nature of this incident type, there were </w:t>
      </w:r>
      <w:r w:rsidR="00A62EF3" w:rsidRPr="0085725E">
        <w:rPr>
          <w:rFonts w:cs="Arial"/>
          <w:color w:val="000000" w:themeColor="text1"/>
          <w:szCs w:val="24"/>
        </w:rPr>
        <w:t>369</w:t>
      </w:r>
      <w:r w:rsidR="00A62EF3" w:rsidRPr="00D0558B">
        <w:rPr>
          <w:rFonts w:cs="Arial"/>
          <w:color w:val="000000" w:themeColor="text1"/>
          <w:szCs w:val="24"/>
        </w:rPr>
        <w:t xml:space="preserve"> </w:t>
      </w:r>
      <w:r w:rsidRPr="00D0558B">
        <w:rPr>
          <w:rFonts w:cs="Arial"/>
          <w:color w:val="000000" w:themeColor="text1"/>
          <w:szCs w:val="24"/>
        </w:rPr>
        <w:t xml:space="preserve">fatalities, </w:t>
      </w:r>
      <w:r w:rsidR="00A62EF3" w:rsidRPr="0085725E">
        <w:rPr>
          <w:rFonts w:cs="Arial"/>
          <w:color w:val="000000" w:themeColor="text1"/>
          <w:szCs w:val="24"/>
        </w:rPr>
        <w:t>1,006</w:t>
      </w:r>
      <w:r w:rsidR="00A62EF3" w:rsidRPr="00D0558B">
        <w:rPr>
          <w:rFonts w:cs="Arial"/>
          <w:color w:val="000000" w:themeColor="text1"/>
          <w:szCs w:val="24"/>
        </w:rPr>
        <w:t xml:space="preserve"> </w:t>
      </w:r>
      <w:r w:rsidRPr="00D0558B">
        <w:rPr>
          <w:rFonts w:cs="Arial"/>
          <w:color w:val="000000" w:themeColor="text1"/>
          <w:szCs w:val="24"/>
        </w:rPr>
        <w:t xml:space="preserve">serious injuries and </w:t>
      </w:r>
      <w:r w:rsidR="00A62EF3" w:rsidRPr="0085725E">
        <w:rPr>
          <w:rFonts w:cs="Arial"/>
          <w:color w:val="000000" w:themeColor="text1"/>
          <w:szCs w:val="24"/>
        </w:rPr>
        <w:t>1,128</w:t>
      </w:r>
      <w:r w:rsidRPr="00D0558B">
        <w:rPr>
          <w:rFonts w:cs="Arial"/>
          <w:color w:val="000000" w:themeColor="text1"/>
          <w:szCs w:val="24"/>
        </w:rPr>
        <w:t xml:space="preserve"> minor injuries dealt with by both </w:t>
      </w:r>
      <w:r w:rsidRPr="00D0558B">
        <w:rPr>
          <w:lang w:eastAsia="en-GB"/>
        </w:rPr>
        <w:t>Lancashire Fire and Rescue Service</w:t>
      </w:r>
      <w:r w:rsidRPr="00D0558B">
        <w:rPr>
          <w:rFonts w:cs="Arial"/>
          <w:color w:val="000000" w:themeColor="text1"/>
          <w:szCs w:val="24"/>
        </w:rPr>
        <w:t xml:space="preserve"> and NWAS.</w:t>
      </w:r>
    </w:p>
    <w:p w14:paraId="3C2EB7E3" w14:textId="77777777" w:rsidR="00C44E44" w:rsidRPr="0085725E" w:rsidRDefault="00C44E44" w:rsidP="00C44E44">
      <w:pPr>
        <w:pStyle w:val="NoSpacing"/>
        <w:rPr>
          <w:highlight w:val="yellow"/>
        </w:rPr>
      </w:pPr>
    </w:p>
    <w:tbl>
      <w:tblPr>
        <w:tblStyle w:val="TableGrid"/>
        <w:tblW w:w="0" w:type="auto"/>
        <w:jc w:val="center"/>
        <w:tblLayout w:type="fixed"/>
        <w:tblLook w:val="04A0" w:firstRow="1" w:lastRow="0" w:firstColumn="1" w:lastColumn="0" w:noHBand="0" w:noVBand="1"/>
        <w:tblCaption w:val="Risk - assist other agencies"/>
        <w:tblDescription w:val="A table detailing the likelihood, consequence, risk score and overall assessment"/>
      </w:tblPr>
      <w:tblGrid>
        <w:gridCol w:w="4526"/>
        <w:gridCol w:w="1596"/>
      </w:tblGrid>
      <w:tr w:rsidR="00C44E44" w:rsidRPr="002B7E1B" w14:paraId="77EBBA2B" w14:textId="77777777" w:rsidTr="00E373FB">
        <w:trPr>
          <w:tblHeade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7514D9D" w14:textId="77777777" w:rsidR="00C44E44" w:rsidRPr="00C44E44" w:rsidRDefault="00C44E44" w:rsidP="009D68DC">
            <w:pPr>
              <w:pStyle w:val="Tabletext"/>
              <w:keepNext/>
              <w:rPr>
                <w:sz w:val="24"/>
              </w:rPr>
            </w:pPr>
            <w:r w:rsidRPr="00C44E44">
              <w:rPr>
                <w:b/>
                <w:bCs w:val="0"/>
                <w:sz w:val="24"/>
              </w:rPr>
              <w:t>Risk – Assist other agencies</w:t>
            </w:r>
          </w:p>
        </w:tc>
        <w:tc>
          <w:tcPr>
            <w:tcW w:w="15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1B6B2F" w14:textId="77777777" w:rsidR="00C44E44" w:rsidRPr="00C44E44" w:rsidRDefault="00C44E44" w:rsidP="00E373FB">
            <w:pPr>
              <w:pStyle w:val="Tabletext"/>
              <w:rPr>
                <w:b/>
                <w:bCs w:val="0"/>
                <w:sz w:val="24"/>
              </w:rPr>
            </w:pPr>
            <w:r w:rsidRPr="00C44E44">
              <w:rPr>
                <w:b/>
                <w:bCs w:val="0"/>
                <w:sz w:val="24"/>
              </w:rPr>
              <w:t>Rating</w:t>
            </w:r>
          </w:p>
        </w:tc>
      </w:tr>
      <w:tr w:rsidR="00C44E44" w:rsidRPr="002B7E1B" w14:paraId="23F424D0" w14:textId="77777777" w:rsidTr="00E373FB">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9520A7E" w14:textId="77777777" w:rsidR="00C44E44" w:rsidRPr="00C44E44" w:rsidRDefault="00C44E44" w:rsidP="009D68DC">
            <w:pPr>
              <w:pStyle w:val="Tabletext"/>
              <w:keepNext/>
              <w:rPr>
                <w:b/>
                <w:bCs w:val="0"/>
                <w:sz w:val="24"/>
              </w:rPr>
            </w:pPr>
            <w:r w:rsidRPr="00C44E44">
              <w:rPr>
                <w:b/>
                <w:bCs w:val="0"/>
                <w:sz w:val="24"/>
              </w:rPr>
              <w:t>Likelihood</w:t>
            </w:r>
          </w:p>
        </w:tc>
        <w:tc>
          <w:tcPr>
            <w:tcW w:w="1596" w:type="dxa"/>
            <w:tcBorders>
              <w:top w:val="nil"/>
              <w:left w:val="nil"/>
              <w:bottom w:val="single" w:sz="8" w:space="0" w:color="auto"/>
              <w:right w:val="single" w:sz="8" w:space="0" w:color="auto"/>
            </w:tcBorders>
          </w:tcPr>
          <w:p w14:paraId="4B695BD0" w14:textId="77777777" w:rsidR="00C44E44" w:rsidRPr="00C44E44" w:rsidRDefault="00C44E44" w:rsidP="00E373FB">
            <w:pPr>
              <w:pStyle w:val="Tabletext"/>
              <w:rPr>
                <w:sz w:val="24"/>
              </w:rPr>
            </w:pPr>
            <w:r w:rsidRPr="00C44E44">
              <w:rPr>
                <w:sz w:val="24"/>
              </w:rPr>
              <w:t>High</w:t>
            </w:r>
          </w:p>
        </w:tc>
      </w:tr>
      <w:tr w:rsidR="00C44E44" w:rsidRPr="002B7E1B" w14:paraId="310FB605" w14:textId="77777777" w:rsidTr="00E373FB">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83508C4" w14:textId="77777777" w:rsidR="00C44E44" w:rsidRPr="00C44E44" w:rsidRDefault="00C44E44" w:rsidP="009D68DC">
            <w:pPr>
              <w:pStyle w:val="Tabletext"/>
              <w:keepNext/>
              <w:rPr>
                <w:b/>
                <w:bCs w:val="0"/>
                <w:sz w:val="24"/>
              </w:rPr>
            </w:pPr>
            <w:r w:rsidRPr="00C44E44">
              <w:rPr>
                <w:b/>
                <w:bCs w:val="0"/>
                <w:sz w:val="24"/>
              </w:rPr>
              <w:t>Consequence</w:t>
            </w:r>
          </w:p>
        </w:tc>
        <w:tc>
          <w:tcPr>
            <w:tcW w:w="1596" w:type="dxa"/>
            <w:tcBorders>
              <w:top w:val="single" w:sz="8" w:space="0" w:color="auto"/>
              <w:left w:val="nil"/>
              <w:bottom w:val="single" w:sz="8" w:space="0" w:color="auto"/>
              <w:right w:val="single" w:sz="8" w:space="0" w:color="auto"/>
            </w:tcBorders>
          </w:tcPr>
          <w:p w14:paraId="559E32CD" w14:textId="77777777" w:rsidR="00C44E44" w:rsidRPr="00C44E44" w:rsidRDefault="00C44E44" w:rsidP="00E373FB">
            <w:pPr>
              <w:pStyle w:val="Tabletext"/>
              <w:rPr>
                <w:sz w:val="24"/>
              </w:rPr>
            </w:pPr>
            <w:r w:rsidRPr="00C44E44">
              <w:rPr>
                <w:sz w:val="24"/>
              </w:rPr>
              <w:t>Limited</w:t>
            </w:r>
          </w:p>
        </w:tc>
      </w:tr>
      <w:tr w:rsidR="00C44E44" w:rsidRPr="002B7E1B" w14:paraId="77801821" w14:textId="77777777" w:rsidTr="00E373FB">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2C6A599" w14:textId="77777777" w:rsidR="00C44E44" w:rsidRPr="00C44E44" w:rsidRDefault="00C44E44" w:rsidP="009D68DC">
            <w:pPr>
              <w:pStyle w:val="Tabletext"/>
              <w:keepNext/>
              <w:rPr>
                <w:b/>
                <w:bCs w:val="0"/>
                <w:sz w:val="24"/>
              </w:rPr>
            </w:pPr>
            <w:r w:rsidRPr="00C44E44">
              <w:rPr>
                <w:b/>
                <w:bCs w:val="0"/>
                <w:sz w:val="24"/>
              </w:rPr>
              <w:t>Risk score</w:t>
            </w:r>
          </w:p>
        </w:tc>
        <w:tc>
          <w:tcPr>
            <w:tcW w:w="1596" w:type="dxa"/>
            <w:tcBorders>
              <w:top w:val="single" w:sz="8" w:space="0" w:color="auto"/>
              <w:left w:val="nil"/>
              <w:bottom w:val="single" w:sz="8" w:space="0" w:color="auto"/>
              <w:right w:val="single" w:sz="8" w:space="0" w:color="auto"/>
            </w:tcBorders>
          </w:tcPr>
          <w:p w14:paraId="59CBB8DF" w14:textId="77777777" w:rsidR="00C44E44" w:rsidRPr="00C44E44" w:rsidRDefault="00C44E44" w:rsidP="00E373FB">
            <w:pPr>
              <w:pStyle w:val="Tabletext"/>
              <w:rPr>
                <w:sz w:val="24"/>
              </w:rPr>
            </w:pPr>
            <w:r w:rsidRPr="00C44E44">
              <w:rPr>
                <w:sz w:val="24"/>
              </w:rPr>
              <w:t>9.13</w:t>
            </w:r>
          </w:p>
        </w:tc>
      </w:tr>
      <w:tr w:rsidR="00C44E44" w:rsidRPr="002B7E1B" w14:paraId="72213EF4" w14:textId="77777777" w:rsidTr="00E373FB">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2A9105" w14:textId="77777777" w:rsidR="00C44E44" w:rsidRPr="00C44E44" w:rsidRDefault="00C44E44" w:rsidP="00E373FB">
            <w:pPr>
              <w:pStyle w:val="Tabletext"/>
              <w:rPr>
                <w:b/>
                <w:bCs w:val="0"/>
                <w:sz w:val="24"/>
              </w:rPr>
            </w:pPr>
            <w:r w:rsidRPr="00C44E44">
              <w:rPr>
                <w:b/>
                <w:bCs w:val="0"/>
                <w:sz w:val="24"/>
              </w:rPr>
              <w:t>Overall assessment</w:t>
            </w:r>
          </w:p>
        </w:tc>
        <w:tc>
          <w:tcPr>
            <w:tcW w:w="1596" w:type="dxa"/>
            <w:tcBorders>
              <w:top w:val="single" w:sz="8" w:space="0" w:color="auto"/>
              <w:left w:val="nil"/>
              <w:bottom w:val="single" w:sz="8" w:space="0" w:color="auto"/>
              <w:right w:val="single" w:sz="8" w:space="0" w:color="auto"/>
            </w:tcBorders>
            <w:shd w:val="clear" w:color="auto" w:fill="E60000"/>
          </w:tcPr>
          <w:p w14:paraId="640A1700" w14:textId="77777777" w:rsidR="00C44E44" w:rsidRPr="00C44E44" w:rsidRDefault="00C44E44" w:rsidP="00E373FB">
            <w:pPr>
              <w:pStyle w:val="Tabletext"/>
              <w:rPr>
                <w:color w:val="FFFFFF" w:themeColor="background1"/>
                <w:sz w:val="24"/>
              </w:rPr>
            </w:pPr>
            <w:r w:rsidRPr="00C44E44">
              <w:rPr>
                <w:color w:val="FFFFFF" w:themeColor="background1"/>
                <w:sz w:val="24"/>
              </w:rPr>
              <w:t>Very High</w:t>
            </w:r>
          </w:p>
        </w:tc>
      </w:tr>
    </w:tbl>
    <w:p w14:paraId="6AFC6CD1" w14:textId="77777777" w:rsidR="009D68DC" w:rsidRDefault="009D68DC" w:rsidP="009D68DC">
      <w:pPr>
        <w:pStyle w:val="NoSpacing"/>
      </w:pPr>
    </w:p>
    <w:p w14:paraId="3A614E0F" w14:textId="5123F1B4" w:rsidR="00C44E44" w:rsidRPr="0004701D" w:rsidRDefault="00C44E44" w:rsidP="00C44E44">
      <w:pPr>
        <w:pStyle w:val="Heading2"/>
        <w:rPr>
          <w:b w:val="0"/>
        </w:rPr>
      </w:pPr>
      <w:bookmarkStart w:id="83" w:name="_Toc208329961"/>
      <w:r w:rsidRPr="0004701D">
        <w:t>Other outdoor fires (Primary)</w:t>
      </w:r>
      <w:bookmarkEnd w:id="83"/>
    </w:p>
    <w:p w14:paraId="41FC69AB" w14:textId="77777777" w:rsidR="00C44E44" w:rsidRPr="0004701D" w:rsidRDefault="00C44E44" w:rsidP="00C44E44">
      <w:r w:rsidRPr="0004701D">
        <w:t>Other outdoor fires</w:t>
      </w:r>
      <w:r w:rsidRPr="0004701D">
        <w:rPr>
          <w:b/>
          <w:bCs/>
        </w:rPr>
        <w:t xml:space="preserve"> </w:t>
      </w:r>
      <w:r w:rsidRPr="0004701D">
        <w:t xml:space="preserve">are fires in either primary outdoor locations, or fires in non-primary outdoor locations that have casualties, or five or more pumping appliances attending.  </w:t>
      </w:r>
      <w:r w:rsidRPr="0004701D">
        <w:lastRenderedPageBreak/>
        <w:t>Outdoor primary locations include outdoor structures such as post or telephone boxes, bridges, tunnels etc.</w:t>
      </w:r>
    </w:p>
    <w:p w14:paraId="0B6EA542" w14:textId="74F76F32" w:rsidR="00C44E44" w:rsidRPr="00D0558B" w:rsidRDefault="00C44E44" w:rsidP="00C44E44">
      <w:r w:rsidRPr="00CE7BDE">
        <w:t xml:space="preserve">Over the previous five years, we have attended </w:t>
      </w:r>
      <w:r w:rsidR="00CE7BDE" w:rsidRPr="0085725E">
        <w:t>360</w:t>
      </w:r>
      <w:r w:rsidR="00CE7BDE" w:rsidRPr="00CE7BDE">
        <w:t xml:space="preserve"> </w:t>
      </w:r>
      <w:r w:rsidRPr="00CE7BDE">
        <w:t xml:space="preserve">incidents of this type, with an average of </w:t>
      </w:r>
      <w:r w:rsidR="00CE7BDE" w:rsidRPr="0085725E">
        <w:t>72</w:t>
      </w:r>
      <w:r w:rsidR="00CE7BDE" w:rsidRPr="00CE7BDE">
        <w:t xml:space="preserve"> </w:t>
      </w:r>
      <w:r w:rsidRPr="00CE7BDE">
        <w:t xml:space="preserve">incidents a year.  </w:t>
      </w:r>
      <w:r w:rsidR="00A62EF3" w:rsidRPr="0085725E">
        <w:t>56</w:t>
      </w:r>
      <w:r w:rsidRPr="00D0558B">
        <w:t>% of these incidents were recorded as accidental</w:t>
      </w:r>
      <w:r w:rsidR="00A62EF3" w:rsidRPr="0085725E">
        <w:t xml:space="preserve"> or not known cause</w:t>
      </w:r>
      <w:r w:rsidRPr="00D0558B">
        <w:t xml:space="preserve">.  </w:t>
      </w:r>
      <w:r w:rsidR="00A62EF3" w:rsidRPr="0085725E">
        <w:t>248</w:t>
      </w:r>
      <w:r w:rsidR="00A62EF3" w:rsidRPr="00D0558B">
        <w:t xml:space="preserve"> </w:t>
      </w:r>
      <w:r w:rsidRPr="00D0558B">
        <w:t>incidents (</w:t>
      </w:r>
      <w:r w:rsidR="00A62EF3" w:rsidRPr="0085725E">
        <w:t>69</w:t>
      </w:r>
      <w:r w:rsidRPr="00D0558B">
        <w:t xml:space="preserve">%) involved outdoor structures, and </w:t>
      </w:r>
      <w:r w:rsidR="00A62EF3" w:rsidRPr="0085725E">
        <w:t>56</w:t>
      </w:r>
      <w:r w:rsidR="00A62EF3" w:rsidRPr="00D0558B">
        <w:t xml:space="preserve"> </w:t>
      </w:r>
      <w:r w:rsidRPr="00D0558B">
        <w:t>incidents (</w:t>
      </w:r>
      <w:r w:rsidR="00A62EF3" w:rsidRPr="0085725E">
        <w:t>16</w:t>
      </w:r>
      <w:r w:rsidRPr="00D0558B">
        <w:t xml:space="preserve">%) involved outdoor equipment and machinery.  Unfortunately, there were </w:t>
      </w:r>
      <w:r w:rsidR="00A62EF3" w:rsidRPr="0085725E">
        <w:t>three</w:t>
      </w:r>
      <w:r w:rsidR="00A62EF3" w:rsidRPr="00D0558B">
        <w:t xml:space="preserve"> </w:t>
      </w:r>
      <w:r w:rsidRPr="00D0558B">
        <w:t xml:space="preserve">fatalities over the last five years, along with </w:t>
      </w:r>
      <w:r w:rsidR="00A62EF3" w:rsidRPr="0085725E">
        <w:t>7</w:t>
      </w:r>
      <w:r w:rsidR="00A62EF3" w:rsidRPr="00D0558B">
        <w:t xml:space="preserve"> </w:t>
      </w:r>
      <w:r w:rsidRPr="00D0558B">
        <w:t xml:space="preserve">serious injuries and </w:t>
      </w:r>
      <w:r w:rsidR="00A62EF3" w:rsidRPr="0085725E">
        <w:t>12</w:t>
      </w:r>
      <w:r w:rsidR="00A62EF3" w:rsidRPr="00D0558B">
        <w:t xml:space="preserve"> </w:t>
      </w:r>
      <w:r w:rsidRPr="00D0558B">
        <w:t>slight injuries.</w:t>
      </w:r>
    </w:p>
    <w:p w14:paraId="2EC68A2D" w14:textId="77777777" w:rsidR="00C44E44" w:rsidRPr="0085725E" w:rsidRDefault="00C44E44" w:rsidP="00C44E44">
      <w:pPr>
        <w:pStyle w:val="NoSpacing"/>
        <w:rPr>
          <w:szCs w:val="16"/>
          <w:highlight w:val="yellow"/>
        </w:rPr>
      </w:pPr>
    </w:p>
    <w:tbl>
      <w:tblPr>
        <w:tblStyle w:val="TableGrid"/>
        <w:tblW w:w="0" w:type="auto"/>
        <w:jc w:val="center"/>
        <w:tblLayout w:type="fixed"/>
        <w:tblLook w:val="04A0" w:firstRow="1" w:lastRow="0" w:firstColumn="1" w:lastColumn="0" w:noHBand="0" w:noVBand="1"/>
        <w:tblCaption w:val="Risk - other outdoor fires (primary)"/>
        <w:tblDescription w:val="A table detailing the likelihood, consequence, risk score and overall assessment"/>
      </w:tblPr>
      <w:tblGrid>
        <w:gridCol w:w="4668"/>
        <w:gridCol w:w="1701"/>
      </w:tblGrid>
      <w:tr w:rsidR="00C44E44" w:rsidRPr="002B7E1B" w14:paraId="0E1FBA88" w14:textId="77777777" w:rsidTr="00E373FB">
        <w:trPr>
          <w:tblHeader/>
          <w:jc w:val="center"/>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1AFB8D7" w14:textId="77777777" w:rsidR="00C44E44" w:rsidRPr="00C44E44" w:rsidRDefault="00C44E44" w:rsidP="009D68DC">
            <w:pPr>
              <w:pStyle w:val="Tabletext"/>
              <w:keepNext/>
              <w:rPr>
                <w:sz w:val="24"/>
              </w:rPr>
            </w:pPr>
            <w:r w:rsidRPr="00C44E44">
              <w:rPr>
                <w:b/>
                <w:bCs w:val="0"/>
                <w:sz w:val="24"/>
              </w:rPr>
              <w:t>Risk – Other outdoor fires (primary)</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52D771" w14:textId="77777777" w:rsidR="00C44E44" w:rsidRPr="00C44E44" w:rsidRDefault="00C44E44" w:rsidP="00E373FB">
            <w:pPr>
              <w:pStyle w:val="Tabletext"/>
              <w:rPr>
                <w:sz w:val="24"/>
              </w:rPr>
            </w:pPr>
            <w:r w:rsidRPr="00C44E44">
              <w:rPr>
                <w:b/>
                <w:sz w:val="24"/>
              </w:rPr>
              <w:t>Rating</w:t>
            </w:r>
          </w:p>
        </w:tc>
      </w:tr>
      <w:tr w:rsidR="00C44E44" w:rsidRPr="002B7E1B" w14:paraId="6F35DF33" w14:textId="77777777" w:rsidTr="00E373FB">
        <w:trPr>
          <w:jc w:val="center"/>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43BAE3" w14:textId="77777777" w:rsidR="00C44E44" w:rsidRPr="00C44E44" w:rsidRDefault="00C44E44" w:rsidP="009D68DC">
            <w:pPr>
              <w:pStyle w:val="Tabletext"/>
              <w:keepNext/>
              <w:rPr>
                <w:b/>
                <w:bCs w:val="0"/>
                <w:sz w:val="24"/>
              </w:rPr>
            </w:pPr>
            <w:r w:rsidRPr="00C44E44">
              <w:rPr>
                <w:b/>
                <w:bCs w:val="0"/>
                <w:sz w:val="24"/>
              </w:rPr>
              <w:t>Likelihood</w:t>
            </w:r>
          </w:p>
        </w:tc>
        <w:tc>
          <w:tcPr>
            <w:tcW w:w="1701" w:type="dxa"/>
            <w:tcBorders>
              <w:top w:val="nil"/>
              <w:left w:val="nil"/>
              <w:bottom w:val="single" w:sz="8" w:space="0" w:color="auto"/>
              <w:right w:val="single" w:sz="8" w:space="0" w:color="auto"/>
            </w:tcBorders>
          </w:tcPr>
          <w:p w14:paraId="2B657B3F" w14:textId="77777777" w:rsidR="00C44E44" w:rsidRPr="00C44E44" w:rsidRDefault="00C44E44" w:rsidP="00E373FB">
            <w:pPr>
              <w:pStyle w:val="Tabletext"/>
              <w:rPr>
                <w:sz w:val="24"/>
              </w:rPr>
            </w:pPr>
            <w:r w:rsidRPr="00C44E44">
              <w:rPr>
                <w:sz w:val="24"/>
              </w:rPr>
              <w:t>Medium High</w:t>
            </w:r>
          </w:p>
        </w:tc>
      </w:tr>
      <w:tr w:rsidR="00C44E44" w:rsidRPr="002B7E1B" w14:paraId="2A1B8475" w14:textId="77777777" w:rsidTr="00E373FB">
        <w:trPr>
          <w:jc w:val="center"/>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0C09407" w14:textId="77777777" w:rsidR="00C44E44" w:rsidRPr="00C44E44" w:rsidRDefault="00C44E44" w:rsidP="009D68DC">
            <w:pPr>
              <w:pStyle w:val="Tabletext"/>
              <w:keepNext/>
              <w:rPr>
                <w:b/>
                <w:bCs w:val="0"/>
                <w:sz w:val="24"/>
              </w:rPr>
            </w:pPr>
            <w:r w:rsidRPr="00C44E44">
              <w:rPr>
                <w:b/>
                <w:bCs w:val="0"/>
                <w:sz w:val="24"/>
              </w:rPr>
              <w:t>Consequence</w:t>
            </w:r>
          </w:p>
        </w:tc>
        <w:tc>
          <w:tcPr>
            <w:tcW w:w="1701" w:type="dxa"/>
            <w:tcBorders>
              <w:top w:val="single" w:sz="8" w:space="0" w:color="auto"/>
              <w:left w:val="nil"/>
              <w:bottom w:val="single" w:sz="8" w:space="0" w:color="auto"/>
              <w:right w:val="single" w:sz="8" w:space="0" w:color="auto"/>
            </w:tcBorders>
          </w:tcPr>
          <w:p w14:paraId="76FB849D" w14:textId="77777777" w:rsidR="00C44E44" w:rsidRPr="00C44E44" w:rsidRDefault="00C44E44" w:rsidP="00E373FB">
            <w:pPr>
              <w:pStyle w:val="Tabletext"/>
              <w:rPr>
                <w:sz w:val="24"/>
              </w:rPr>
            </w:pPr>
            <w:r w:rsidRPr="00C44E44">
              <w:rPr>
                <w:sz w:val="24"/>
              </w:rPr>
              <w:t>Limited</w:t>
            </w:r>
          </w:p>
        </w:tc>
      </w:tr>
      <w:tr w:rsidR="00C44E44" w:rsidRPr="002B7E1B" w14:paraId="7C4B880A" w14:textId="77777777" w:rsidTr="00E373FB">
        <w:trPr>
          <w:jc w:val="center"/>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B54076" w14:textId="77777777" w:rsidR="00C44E44" w:rsidRPr="00C44E44" w:rsidRDefault="00C44E44" w:rsidP="009D68DC">
            <w:pPr>
              <w:pStyle w:val="Tabletext"/>
              <w:keepNext/>
              <w:rPr>
                <w:b/>
                <w:bCs w:val="0"/>
                <w:sz w:val="24"/>
              </w:rPr>
            </w:pPr>
            <w:r w:rsidRPr="00C44E44">
              <w:rPr>
                <w:b/>
                <w:bCs w:val="0"/>
                <w:sz w:val="24"/>
              </w:rPr>
              <w:t>Risk score</w:t>
            </w:r>
          </w:p>
        </w:tc>
        <w:tc>
          <w:tcPr>
            <w:tcW w:w="1701" w:type="dxa"/>
            <w:tcBorders>
              <w:top w:val="single" w:sz="8" w:space="0" w:color="auto"/>
              <w:left w:val="nil"/>
              <w:bottom w:val="single" w:sz="8" w:space="0" w:color="auto"/>
              <w:right w:val="single" w:sz="8" w:space="0" w:color="auto"/>
            </w:tcBorders>
          </w:tcPr>
          <w:p w14:paraId="5076E567" w14:textId="4668F106" w:rsidR="00C44E44" w:rsidRPr="00C44E44" w:rsidRDefault="00C44E44" w:rsidP="00E373FB">
            <w:pPr>
              <w:pStyle w:val="Tabletext"/>
              <w:rPr>
                <w:sz w:val="24"/>
              </w:rPr>
            </w:pPr>
            <w:r w:rsidRPr="00C44E44">
              <w:rPr>
                <w:sz w:val="24"/>
              </w:rPr>
              <w:t>8.91</w:t>
            </w:r>
          </w:p>
        </w:tc>
      </w:tr>
      <w:tr w:rsidR="00C44E44" w:rsidRPr="002B7E1B" w14:paraId="766F9403" w14:textId="77777777" w:rsidTr="00674C09">
        <w:trPr>
          <w:jc w:val="center"/>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AEEFD9" w14:textId="77777777" w:rsidR="00C44E44" w:rsidRPr="00C44E44" w:rsidRDefault="00C44E44" w:rsidP="00E373FB">
            <w:pPr>
              <w:pStyle w:val="Tabletext"/>
              <w:rPr>
                <w:b/>
                <w:bCs w:val="0"/>
                <w:sz w:val="24"/>
              </w:rPr>
            </w:pPr>
            <w:r w:rsidRPr="00C44E44">
              <w:rPr>
                <w:b/>
                <w:bCs w:val="0"/>
                <w:sz w:val="24"/>
              </w:rPr>
              <w:t>Overall assessment</w:t>
            </w:r>
          </w:p>
        </w:tc>
        <w:tc>
          <w:tcPr>
            <w:tcW w:w="1701" w:type="dxa"/>
            <w:tcBorders>
              <w:top w:val="single" w:sz="8" w:space="0" w:color="auto"/>
              <w:left w:val="nil"/>
              <w:bottom w:val="single" w:sz="8" w:space="0" w:color="auto"/>
              <w:right w:val="single" w:sz="8" w:space="0" w:color="auto"/>
            </w:tcBorders>
            <w:shd w:val="clear" w:color="auto" w:fill="E60000"/>
          </w:tcPr>
          <w:p w14:paraId="6A3460B9" w14:textId="3FEC38BE" w:rsidR="00C44E44" w:rsidRPr="00C44E44" w:rsidRDefault="00674C09" w:rsidP="00E373FB">
            <w:pPr>
              <w:pStyle w:val="Tabletext"/>
              <w:rPr>
                <w:sz w:val="24"/>
              </w:rPr>
            </w:pPr>
            <w:r w:rsidRPr="00674C09">
              <w:rPr>
                <w:color w:val="FFFFFF" w:themeColor="background1"/>
                <w:sz w:val="24"/>
              </w:rPr>
              <w:t xml:space="preserve">Very </w:t>
            </w:r>
            <w:r w:rsidR="00C44E44" w:rsidRPr="00674C09">
              <w:rPr>
                <w:color w:val="FFFFFF" w:themeColor="background1"/>
                <w:sz w:val="24"/>
              </w:rPr>
              <w:t>High</w:t>
            </w:r>
          </w:p>
        </w:tc>
      </w:tr>
    </w:tbl>
    <w:p w14:paraId="7562B24B" w14:textId="77777777" w:rsidR="00C44E44" w:rsidRDefault="00C44E44" w:rsidP="009D68DC">
      <w:pPr>
        <w:pStyle w:val="NoSpacing"/>
        <w:rPr>
          <w:highlight w:val="yellow"/>
        </w:rPr>
      </w:pPr>
    </w:p>
    <w:p w14:paraId="29C096FC" w14:textId="77777777" w:rsidR="00C44E44" w:rsidRPr="0004701D" w:rsidRDefault="00C44E44" w:rsidP="00C44E44">
      <w:pPr>
        <w:pStyle w:val="Heading2"/>
        <w:rPr>
          <w:b w:val="0"/>
        </w:rPr>
      </w:pPr>
      <w:bookmarkStart w:id="84" w:name="_Toc208329962"/>
      <w:r w:rsidRPr="0004701D">
        <w:t>Suicide or suicide attempts</w:t>
      </w:r>
      <w:bookmarkEnd w:id="84"/>
    </w:p>
    <w:p w14:paraId="5C6D1AA3" w14:textId="62899FB6" w:rsidR="00C44E44" w:rsidRPr="0004701D" w:rsidRDefault="00C44E44" w:rsidP="00C44E44">
      <w:r w:rsidRPr="0004701D">
        <w:rPr>
          <w:lang w:val="en"/>
        </w:rPr>
        <w:t xml:space="preserve">Across England, fire and rescue services responded to a record number of suicides or suicide </w:t>
      </w:r>
      <w:r w:rsidRPr="00D0558B">
        <w:rPr>
          <w:lang w:val="en"/>
        </w:rPr>
        <w:t xml:space="preserve">attempts – the </w:t>
      </w:r>
      <w:r w:rsidR="00786597" w:rsidRPr="0085725E">
        <w:rPr>
          <w:lang w:val="en"/>
        </w:rPr>
        <w:t>tenth</w:t>
      </w:r>
      <w:r w:rsidR="00786597" w:rsidRPr="00D0558B">
        <w:rPr>
          <w:lang w:val="en"/>
        </w:rPr>
        <w:t xml:space="preserve"> </w:t>
      </w:r>
      <w:r w:rsidRPr="00D0558B">
        <w:rPr>
          <w:lang w:val="en"/>
        </w:rPr>
        <w:t xml:space="preserve">successive yearly increase nationwide.  </w:t>
      </w:r>
      <w:r w:rsidRPr="0004701D">
        <w:rPr>
          <w:lang w:val="en"/>
        </w:rPr>
        <w:t>Suicide and suicide attempts can have lasting effects on individuals, their social networks and communities and the emergency responders attending.</w:t>
      </w:r>
    </w:p>
    <w:p w14:paraId="60A3B7EE" w14:textId="12F9C4E9" w:rsidR="00C44E44" w:rsidRPr="00D0558B" w:rsidRDefault="00C44E44" w:rsidP="00C44E44">
      <w:r w:rsidRPr="00CE7BDE">
        <w:t xml:space="preserve">Over the previous five years, we have attended </w:t>
      </w:r>
      <w:r w:rsidR="00CE7BDE" w:rsidRPr="0085725E">
        <w:t>249</w:t>
      </w:r>
      <w:r w:rsidR="00CE7BDE" w:rsidRPr="00CE7BDE">
        <w:t xml:space="preserve"> </w:t>
      </w:r>
      <w:r w:rsidRPr="00CE7BDE">
        <w:t xml:space="preserve">suicides or suicide attempts.  This is an average of </w:t>
      </w:r>
      <w:r w:rsidR="00CE7BDE" w:rsidRPr="0085725E">
        <w:t>50</w:t>
      </w:r>
      <w:r w:rsidR="00CE7BDE" w:rsidRPr="00CE7BDE">
        <w:t xml:space="preserve"> </w:t>
      </w:r>
      <w:r w:rsidRPr="00CE7BDE">
        <w:t xml:space="preserve">incidents of this type a year.  </w:t>
      </w:r>
      <w:r w:rsidRPr="00D0558B">
        <w:t>The districts of Preston (</w:t>
      </w:r>
      <w:r w:rsidR="00B14CFE" w:rsidRPr="0085725E">
        <w:t>17</w:t>
      </w:r>
      <w:r w:rsidRPr="00D0558B">
        <w:t>%) and Blackpool (</w:t>
      </w:r>
      <w:r w:rsidR="00B14CFE" w:rsidRPr="0085725E">
        <w:t>14</w:t>
      </w:r>
      <w:r w:rsidRPr="00D0558B">
        <w:t xml:space="preserve">%) had the highest number of incidents.  Incident recording shows that we attended </w:t>
      </w:r>
      <w:r w:rsidR="00B14CFE" w:rsidRPr="0085725E">
        <w:t>192</w:t>
      </w:r>
      <w:r w:rsidR="00B14CFE" w:rsidRPr="00D0558B">
        <w:t xml:space="preserve"> </w:t>
      </w:r>
      <w:r w:rsidRPr="00D0558B">
        <w:t xml:space="preserve">incidents where there was a threat of/attempted suicide and </w:t>
      </w:r>
      <w:r w:rsidR="00B14CFE" w:rsidRPr="0085725E">
        <w:t>57</w:t>
      </w:r>
      <w:r w:rsidR="00B14CFE" w:rsidRPr="00D0558B">
        <w:t xml:space="preserve"> </w:t>
      </w:r>
      <w:r w:rsidRPr="00D0558B">
        <w:t xml:space="preserve">incidents of suicide.  </w:t>
      </w:r>
      <w:r w:rsidR="00B14CFE" w:rsidRPr="0085725E">
        <w:t>43</w:t>
      </w:r>
      <w:r w:rsidRPr="00D0558B">
        <w:t>% of the total number of incidents occurred within a domestic residence.</w:t>
      </w:r>
    </w:p>
    <w:p w14:paraId="1F0415D6" w14:textId="77777777" w:rsidR="00C44E44" w:rsidRPr="0085725E" w:rsidRDefault="00C44E44" w:rsidP="00C44E44">
      <w:pPr>
        <w:pStyle w:val="NoSpacing"/>
        <w:rPr>
          <w:highlight w:val="yellow"/>
        </w:rPr>
      </w:pPr>
    </w:p>
    <w:tbl>
      <w:tblPr>
        <w:tblStyle w:val="TableGrid"/>
        <w:tblW w:w="0" w:type="auto"/>
        <w:jc w:val="center"/>
        <w:tblLayout w:type="fixed"/>
        <w:tblLook w:val="04A0" w:firstRow="1" w:lastRow="0" w:firstColumn="1" w:lastColumn="0" w:noHBand="0" w:noVBand="1"/>
        <w:tblCaption w:val="Risk - suicide or suicide attempts"/>
        <w:tblDescription w:val="A table detailing the likelihood, consequence, risk score and overall assessment"/>
      </w:tblPr>
      <w:tblGrid>
        <w:gridCol w:w="4526"/>
        <w:gridCol w:w="1701"/>
      </w:tblGrid>
      <w:tr w:rsidR="00C44E44" w:rsidRPr="002B7E1B" w14:paraId="2680A230" w14:textId="77777777" w:rsidTr="0004701D">
        <w:trPr>
          <w:tblHeade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C666AA" w14:textId="77777777" w:rsidR="00C44E44" w:rsidRPr="00C44E44" w:rsidRDefault="00C44E44" w:rsidP="009D68DC">
            <w:pPr>
              <w:pStyle w:val="Tabletext"/>
              <w:keepNext/>
              <w:rPr>
                <w:sz w:val="24"/>
              </w:rPr>
            </w:pPr>
            <w:r w:rsidRPr="00C44E44">
              <w:rPr>
                <w:b/>
                <w:bCs w:val="0"/>
                <w:sz w:val="24"/>
              </w:rPr>
              <w:t>Risk – Suicide or suicide attempts</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5D833E" w14:textId="77777777" w:rsidR="00C44E44" w:rsidRPr="00C44E44" w:rsidRDefault="00C44E44" w:rsidP="00E373FB">
            <w:pPr>
              <w:pStyle w:val="Tabletext"/>
              <w:rPr>
                <w:sz w:val="24"/>
              </w:rPr>
            </w:pPr>
            <w:r w:rsidRPr="00C44E44">
              <w:rPr>
                <w:b/>
                <w:sz w:val="24"/>
              </w:rPr>
              <w:t>Rating</w:t>
            </w:r>
          </w:p>
        </w:tc>
      </w:tr>
      <w:tr w:rsidR="00C44E44" w:rsidRPr="002B7E1B" w14:paraId="1E8F484A" w14:textId="77777777" w:rsidTr="0004701D">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DADBE9" w14:textId="77777777" w:rsidR="00C44E44" w:rsidRPr="00C44E44" w:rsidRDefault="00C44E44" w:rsidP="009D68DC">
            <w:pPr>
              <w:pStyle w:val="Tabletext"/>
              <w:keepNext/>
              <w:rPr>
                <w:b/>
                <w:bCs w:val="0"/>
                <w:sz w:val="24"/>
              </w:rPr>
            </w:pPr>
            <w:r w:rsidRPr="00C44E44">
              <w:rPr>
                <w:b/>
                <w:bCs w:val="0"/>
                <w:sz w:val="24"/>
              </w:rPr>
              <w:t>Likelihood</w:t>
            </w:r>
          </w:p>
        </w:tc>
        <w:tc>
          <w:tcPr>
            <w:tcW w:w="1701" w:type="dxa"/>
            <w:tcBorders>
              <w:top w:val="nil"/>
              <w:left w:val="nil"/>
              <w:bottom w:val="single" w:sz="8" w:space="0" w:color="auto"/>
              <w:right w:val="single" w:sz="8" w:space="0" w:color="auto"/>
            </w:tcBorders>
          </w:tcPr>
          <w:p w14:paraId="7A3356A1" w14:textId="4ED3D9F9" w:rsidR="00C44E44" w:rsidRPr="00C44E44" w:rsidRDefault="00C44E44" w:rsidP="00E373FB">
            <w:pPr>
              <w:pStyle w:val="Tabletext"/>
              <w:rPr>
                <w:sz w:val="24"/>
              </w:rPr>
            </w:pPr>
            <w:r w:rsidRPr="00C44E44">
              <w:rPr>
                <w:sz w:val="24"/>
              </w:rPr>
              <w:t>Medium</w:t>
            </w:r>
            <w:r w:rsidR="0004701D">
              <w:rPr>
                <w:sz w:val="24"/>
              </w:rPr>
              <w:t xml:space="preserve"> High</w:t>
            </w:r>
          </w:p>
        </w:tc>
      </w:tr>
      <w:tr w:rsidR="00C44E44" w:rsidRPr="002B7E1B" w14:paraId="6EB5B094" w14:textId="77777777" w:rsidTr="0004701D">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9D504A3" w14:textId="77777777" w:rsidR="00C44E44" w:rsidRPr="00C44E44" w:rsidRDefault="00C44E44" w:rsidP="009D68DC">
            <w:pPr>
              <w:pStyle w:val="Tabletext"/>
              <w:keepNext/>
              <w:rPr>
                <w:b/>
                <w:bCs w:val="0"/>
                <w:sz w:val="24"/>
              </w:rPr>
            </w:pPr>
            <w:r w:rsidRPr="00C44E44">
              <w:rPr>
                <w:b/>
                <w:bCs w:val="0"/>
                <w:sz w:val="24"/>
              </w:rPr>
              <w:t>Consequence</w:t>
            </w:r>
          </w:p>
        </w:tc>
        <w:tc>
          <w:tcPr>
            <w:tcW w:w="1701" w:type="dxa"/>
            <w:tcBorders>
              <w:top w:val="single" w:sz="8" w:space="0" w:color="auto"/>
              <w:left w:val="nil"/>
              <w:bottom w:val="single" w:sz="8" w:space="0" w:color="auto"/>
              <w:right w:val="single" w:sz="8" w:space="0" w:color="auto"/>
            </w:tcBorders>
          </w:tcPr>
          <w:p w14:paraId="7C1FE589" w14:textId="77777777" w:rsidR="00C44E44" w:rsidRPr="00C44E44" w:rsidRDefault="00C44E44" w:rsidP="00E373FB">
            <w:pPr>
              <w:pStyle w:val="Tabletext"/>
              <w:rPr>
                <w:sz w:val="24"/>
              </w:rPr>
            </w:pPr>
            <w:r w:rsidRPr="00C44E44">
              <w:rPr>
                <w:sz w:val="24"/>
              </w:rPr>
              <w:t>Limited</w:t>
            </w:r>
          </w:p>
        </w:tc>
      </w:tr>
      <w:tr w:rsidR="00C44E44" w:rsidRPr="002B7E1B" w14:paraId="165D9385" w14:textId="77777777" w:rsidTr="0004701D">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4408B0" w14:textId="77777777" w:rsidR="00C44E44" w:rsidRPr="00C44E44" w:rsidRDefault="00C44E44" w:rsidP="009D68DC">
            <w:pPr>
              <w:pStyle w:val="Tabletext"/>
              <w:keepNext/>
              <w:rPr>
                <w:b/>
                <w:bCs w:val="0"/>
                <w:sz w:val="24"/>
              </w:rPr>
            </w:pPr>
            <w:r w:rsidRPr="00C44E44">
              <w:rPr>
                <w:b/>
                <w:bCs w:val="0"/>
                <w:sz w:val="24"/>
              </w:rPr>
              <w:t>Risk score</w:t>
            </w:r>
          </w:p>
        </w:tc>
        <w:tc>
          <w:tcPr>
            <w:tcW w:w="1701" w:type="dxa"/>
            <w:tcBorders>
              <w:top w:val="single" w:sz="8" w:space="0" w:color="auto"/>
              <w:left w:val="nil"/>
              <w:bottom w:val="single" w:sz="8" w:space="0" w:color="auto"/>
              <w:right w:val="single" w:sz="8" w:space="0" w:color="auto"/>
            </w:tcBorders>
          </w:tcPr>
          <w:p w14:paraId="0C0E2993" w14:textId="08F96B01" w:rsidR="00C44E44" w:rsidRPr="00C44E44" w:rsidRDefault="00C44E44" w:rsidP="00E373FB">
            <w:pPr>
              <w:pStyle w:val="Tabletext"/>
              <w:rPr>
                <w:sz w:val="24"/>
              </w:rPr>
            </w:pPr>
            <w:r w:rsidRPr="00C44E44">
              <w:rPr>
                <w:sz w:val="24"/>
              </w:rPr>
              <w:t>8.91</w:t>
            </w:r>
          </w:p>
        </w:tc>
      </w:tr>
      <w:tr w:rsidR="00C44E44" w:rsidRPr="002B7E1B" w14:paraId="1D2C718A" w14:textId="77777777" w:rsidTr="00674C09">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EF101C0" w14:textId="77777777" w:rsidR="00C44E44" w:rsidRPr="00C44E44" w:rsidRDefault="00C44E44" w:rsidP="00E373FB">
            <w:pPr>
              <w:pStyle w:val="Tabletext"/>
              <w:rPr>
                <w:b/>
                <w:bCs w:val="0"/>
                <w:sz w:val="24"/>
              </w:rPr>
            </w:pPr>
            <w:r w:rsidRPr="00C44E44">
              <w:rPr>
                <w:b/>
                <w:bCs w:val="0"/>
                <w:sz w:val="24"/>
              </w:rPr>
              <w:t>Overall assessment</w:t>
            </w:r>
          </w:p>
        </w:tc>
        <w:tc>
          <w:tcPr>
            <w:tcW w:w="1701" w:type="dxa"/>
            <w:tcBorders>
              <w:top w:val="single" w:sz="8" w:space="0" w:color="auto"/>
              <w:left w:val="nil"/>
              <w:bottom w:val="single" w:sz="8" w:space="0" w:color="auto"/>
              <w:right w:val="single" w:sz="8" w:space="0" w:color="auto"/>
            </w:tcBorders>
            <w:shd w:val="clear" w:color="auto" w:fill="E60000"/>
          </w:tcPr>
          <w:p w14:paraId="1EDCF194" w14:textId="6FC95727" w:rsidR="00C44E44" w:rsidRPr="00C44E44" w:rsidRDefault="00674C09" w:rsidP="00E373FB">
            <w:pPr>
              <w:pStyle w:val="Tabletext"/>
              <w:rPr>
                <w:sz w:val="24"/>
              </w:rPr>
            </w:pPr>
            <w:r w:rsidRPr="00674C09">
              <w:rPr>
                <w:color w:val="FFFFFF" w:themeColor="background1"/>
                <w:sz w:val="24"/>
              </w:rPr>
              <w:t xml:space="preserve">Very </w:t>
            </w:r>
            <w:r w:rsidR="00C44E44" w:rsidRPr="00674C09">
              <w:rPr>
                <w:color w:val="FFFFFF" w:themeColor="background1"/>
                <w:sz w:val="24"/>
              </w:rPr>
              <w:t>High</w:t>
            </w:r>
          </w:p>
        </w:tc>
      </w:tr>
    </w:tbl>
    <w:p w14:paraId="2E4A18A2" w14:textId="77777777" w:rsidR="00C44E44" w:rsidRDefault="00C44E44" w:rsidP="009D68DC">
      <w:pPr>
        <w:pStyle w:val="NoSpacing"/>
        <w:rPr>
          <w:highlight w:val="yellow"/>
        </w:rPr>
      </w:pPr>
    </w:p>
    <w:p w14:paraId="5595404F" w14:textId="77777777" w:rsidR="00C44E44" w:rsidRPr="0004701D" w:rsidRDefault="00C44E44" w:rsidP="00C44E44">
      <w:pPr>
        <w:pStyle w:val="Heading2"/>
        <w:rPr>
          <w:b w:val="0"/>
        </w:rPr>
      </w:pPr>
      <w:bookmarkStart w:id="85" w:name="_Toc208329963"/>
      <w:r w:rsidRPr="0004701D">
        <w:lastRenderedPageBreak/>
        <w:t>High rise fires</w:t>
      </w:r>
      <w:bookmarkEnd w:id="85"/>
    </w:p>
    <w:p w14:paraId="59D0E78C" w14:textId="2B7CC562" w:rsidR="00C44E44" w:rsidRPr="00D0558B" w:rsidRDefault="00C44E44" w:rsidP="00C44E44">
      <w:r w:rsidRPr="0004701D">
        <w:rPr>
          <w:lang w:eastAsia="en-GB"/>
        </w:rPr>
        <w:t>Lancashire Fire and Rescue Service</w:t>
      </w:r>
      <w:r w:rsidRPr="0004701D">
        <w:t xml:space="preserve"> regard any building that has six floors (ground + 5 floors above) as a high-rise building.  Buildings of this size present many challenges to fire and rescue services in the event of a fire.  To successfully deal with an incident in a high-rise building, realistic training is essential along with gathering and storing risk information, educating the occupants and enforcing any breaches of legislation.  We have identified high rise properties that have cladding that could promote external fire spread and put measures in place to ensure an appropriate, risk-based attendance is sent upon receipt of information that there is a confirmed fire in one of these buildings.  </w:t>
      </w:r>
      <w:r w:rsidRPr="00D0558B">
        <w:t xml:space="preserve">There are </w:t>
      </w:r>
      <w:r w:rsidR="00801D22" w:rsidRPr="0085725E">
        <w:t>54</w:t>
      </w:r>
      <w:r w:rsidR="00801D22" w:rsidRPr="00D0558B">
        <w:t xml:space="preserve"> </w:t>
      </w:r>
      <w:r w:rsidRPr="00D0558B">
        <w:t>high rise buildings in Lancashire, ranging from domestic accommodation to hospitals, car parks to entertainment venues, hotels to education.</w:t>
      </w:r>
    </w:p>
    <w:p w14:paraId="3E4FBF53" w14:textId="4C8BA2A5" w:rsidR="00C44E44" w:rsidRPr="00D0558B" w:rsidRDefault="00C44E44" w:rsidP="00C44E44">
      <w:r w:rsidRPr="00D0558B">
        <w:t xml:space="preserve">Over the previous five years, we attended an average of </w:t>
      </w:r>
      <w:r w:rsidR="00CE7BDE" w:rsidRPr="0085725E">
        <w:t>3</w:t>
      </w:r>
      <w:r w:rsidR="00CE7BDE" w:rsidRPr="00D0558B">
        <w:t xml:space="preserve"> </w:t>
      </w:r>
      <w:r w:rsidRPr="00D0558B">
        <w:t xml:space="preserve">fires a year involving high rise buildings.  Of the </w:t>
      </w:r>
      <w:r w:rsidR="00CE7BDE" w:rsidRPr="0085725E">
        <w:t>14</w:t>
      </w:r>
      <w:r w:rsidR="00CE7BDE" w:rsidRPr="00D0558B">
        <w:t xml:space="preserve"> </w:t>
      </w:r>
      <w:r w:rsidRPr="00D0558B">
        <w:t xml:space="preserve">incidents attended in total, </w:t>
      </w:r>
      <w:r w:rsidR="00801D22" w:rsidRPr="0085725E">
        <w:t>11</w:t>
      </w:r>
      <w:r w:rsidR="00801D22" w:rsidRPr="00D0558B">
        <w:t xml:space="preserve"> </w:t>
      </w:r>
      <w:r w:rsidRPr="00D0558B">
        <w:t xml:space="preserve">were accidental fires.  Domestic dwellings accounted for </w:t>
      </w:r>
      <w:r w:rsidR="006C55D1" w:rsidRPr="0085725E">
        <w:t>71</w:t>
      </w:r>
      <w:r w:rsidRPr="00D0558B">
        <w:t xml:space="preserve">% of the incidents and Student Halls of residence </w:t>
      </w:r>
      <w:r w:rsidR="006C55D1" w:rsidRPr="0085725E">
        <w:t>22</w:t>
      </w:r>
      <w:r w:rsidRPr="00D0558B">
        <w:t xml:space="preserve">%. </w:t>
      </w:r>
      <w:r w:rsidR="00801D22" w:rsidRPr="0085725E">
        <w:t>Food and Drink</w:t>
      </w:r>
      <w:r w:rsidRPr="00D0558B">
        <w:t xml:space="preserve"> accounted for </w:t>
      </w:r>
      <w:r w:rsidR="00801D22" w:rsidRPr="0085725E">
        <w:t>7</w:t>
      </w:r>
      <w:r w:rsidRPr="00D0558B">
        <w:t>% of the non-residential high-rise fires.</w:t>
      </w:r>
    </w:p>
    <w:p w14:paraId="146BA859" w14:textId="695ADD21" w:rsidR="00C44E44" w:rsidRPr="00D0558B" w:rsidRDefault="00C44E44" w:rsidP="00C44E44">
      <w:r w:rsidRPr="00D0558B">
        <w:t xml:space="preserve">Despite the fears of rapid fire growth following the Grenfell tragedy, </w:t>
      </w:r>
      <w:r w:rsidR="00DC124D" w:rsidRPr="0085725E">
        <w:t>none</w:t>
      </w:r>
      <w:r w:rsidR="00DC124D" w:rsidRPr="00D0558B">
        <w:t xml:space="preserve"> </w:t>
      </w:r>
      <w:r w:rsidRPr="00D0558B">
        <w:t>of these incidents resulted in the fire spreading beyond the floor of origin.</w:t>
      </w:r>
    </w:p>
    <w:p w14:paraId="012625F8" w14:textId="77777777" w:rsidR="00C44E44" w:rsidRPr="0085725E" w:rsidRDefault="00C44E44" w:rsidP="00C44E44">
      <w:pPr>
        <w:pStyle w:val="NoSpacing"/>
        <w:rPr>
          <w:highlight w:val="yellow"/>
        </w:rPr>
      </w:pPr>
    </w:p>
    <w:tbl>
      <w:tblPr>
        <w:tblStyle w:val="TableGrid"/>
        <w:tblW w:w="0" w:type="auto"/>
        <w:jc w:val="center"/>
        <w:tblLayout w:type="fixed"/>
        <w:tblLook w:val="04A0" w:firstRow="1" w:lastRow="0" w:firstColumn="1" w:lastColumn="0" w:noHBand="0" w:noVBand="1"/>
        <w:tblCaption w:val="Risk - high rise fires"/>
        <w:tblDescription w:val="A table detailing the likelihood, consequence, risk score and overall assessment"/>
      </w:tblPr>
      <w:tblGrid>
        <w:gridCol w:w="4243"/>
        <w:gridCol w:w="1879"/>
      </w:tblGrid>
      <w:tr w:rsidR="00C44E44" w:rsidRPr="002B7E1B" w14:paraId="72A29EB0" w14:textId="77777777" w:rsidTr="00E373FB">
        <w:trPr>
          <w:tblHeade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8B4115" w14:textId="77777777" w:rsidR="00C44E44" w:rsidRPr="00C44E44" w:rsidRDefault="00C44E44" w:rsidP="009D68DC">
            <w:pPr>
              <w:pStyle w:val="Tabletext"/>
              <w:keepNext/>
              <w:rPr>
                <w:sz w:val="24"/>
              </w:rPr>
            </w:pPr>
            <w:r w:rsidRPr="00C44E44">
              <w:rPr>
                <w:b/>
                <w:bCs w:val="0"/>
                <w:sz w:val="24"/>
              </w:rPr>
              <w:t>Risk – High Rise fires</w:t>
            </w:r>
          </w:p>
        </w:tc>
        <w:tc>
          <w:tcPr>
            <w:tcW w:w="18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4C9FFF" w14:textId="77777777" w:rsidR="00C44E44" w:rsidRPr="00C44E44" w:rsidRDefault="00C44E44" w:rsidP="00E373FB">
            <w:pPr>
              <w:pStyle w:val="Tabletext"/>
              <w:rPr>
                <w:sz w:val="24"/>
              </w:rPr>
            </w:pPr>
            <w:r w:rsidRPr="00C44E44">
              <w:rPr>
                <w:b/>
                <w:sz w:val="24"/>
              </w:rPr>
              <w:t>Rating</w:t>
            </w:r>
          </w:p>
        </w:tc>
      </w:tr>
      <w:tr w:rsidR="00C44E44" w:rsidRPr="002B7E1B" w14:paraId="7A9F6611" w14:textId="77777777" w:rsidTr="00E373FB">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AEAC1A" w14:textId="77777777" w:rsidR="00C44E44" w:rsidRPr="00C44E44" w:rsidRDefault="00C44E44" w:rsidP="009D68DC">
            <w:pPr>
              <w:pStyle w:val="Tabletext"/>
              <w:keepNext/>
              <w:rPr>
                <w:b/>
                <w:bCs w:val="0"/>
                <w:sz w:val="24"/>
              </w:rPr>
            </w:pPr>
            <w:r w:rsidRPr="00C44E44">
              <w:rPr>
                <w:b/>
                <w:bCs w:val="0"/>
                <w:sz w:val="24"/>
              </w:rPr>
              <w:t>Likelihood</w:t>
            </w:r>
          </w:p>
        </w:tc>
        <w:tc>
          <w:tcPr>
            <w:tcW w:w="1879" w:type="dxa"/>
            <w:tcBorders>
              <w:top w:val="nil"/>
              <w:left w:val="nil"/>
              <w:bottom w:val="single" w:sz="8" w:space="0" w:color="auto"/>
              <w:right w:val="single" w:sz="8" w:space="0" w:color="auto"/>
            </w:tcBorders>
          </w:tcPr>
          <w:p w14:paraId="3F0D41BB" w14:textId="77777777" w:rsidR="00C44E44" w:rsidRPr="00C44E44" w:rsidRDefault="00C44E44" w:rsidP="00E373FB">
            <w:pPr>
              <w:pStyle w:val="Tabletext"/>
              <w:rPr>
                <w:sz w:val="24"/>
              </w:rPr>
            </w:pPr>
            <w:r w:rsidRPr="00C44E44">
              <w:rPr>
                <w:sz w:val="24"/>
              </w:rPr>
              <w:t>Medium Low</w:t>
            </w:r>
          </w:p>
        </w:tc>
      </w:tr>
      <w:tr w:rsidR="00C44E44" w:rsidRPr="002B7E1B" w14:paraId="0CA74DE7" w14:textId="77777777" w:rsidTr="00E373FB">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1B90C9" w14:textId="77777777" w:rsidR="00C44E44" w:rsidRPr="00C44E44" w:rsidRDefault="00C44E44" w:rsidP="009D68DC">
            <w:pPr>
              <w:pStyle w:val="Tabletext"/>
              <w:keepNext/>
              <w:rPr>
                <w:b/>
                <w:bCs w:val="0"/>
                <w:sz w:val="24"/>
              </w:rPr>
            </w:pPr>
            <w:r w:rsidRPr="00C44E44">
              <w:rPr>
                <w:b/>
                <w:bCs w:val="0"/>
                <w:sz w:val="24"/>
              </w:rPr>
              <w:t>Consequence</w:t>
            </w:r>
          </w:p>
        </w:tc>
        <w:tc>
          <w:tcPr>
            <w:tcW w:w="1879" w:type="dxa"/>
            <w:tcBorders>
              <w:top w:val="single" w:sz="8" w:space="0" w:color="auto"/>
              <w:left w:val="nil"/>
              <w:bottom w:val="single" w:sz="8" w:space="0" w:color="auto"/>
              <w:right w:val="single" w:sz="8" w:space="0" w:color="auto"/>
            </w:tcBorders>
          </w:tcPr>
          <w:p w14:paraId="4C8E5D8A" w14:textId="77777777" w:rsidR="00C44E44" w:rsidRPr="00C44E44" w:rsidRDefault="00C44E44" w:rsidP="00E373FB">
            <w:pPr>
              <w:pStyle w:val="Tabletext"/>
              <w:rPr>
                <w:sz w:val="24"/>
              </w:rPr>
            </w:pPr>
            <w:r w:rsidRPr="00C44E44">
              <w:rPr>
                <w:sz w:val="24"/>
              </w:rPr>
              <w:t>Significant</w:t>
            </w:r>
          </w:p>
        </w:tc>
      </w:tr>
      <w:tr w:rsidR="00C44E44" w:rsidRPr="002B7E1B" w14:paraId="2EB68027" w14:textId="77777777" w:rsidTr="00E373FB">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64576F" w14:textId="77777777" w:rsidR="00C44E44" w:rsidRPr="00C44E44" w:rsidRDefault="00C44E44" w:rsidP="009D68DC">
            <w:pPr>
              <w:pStyle w:val="Tabletext"/>
              <w:keepNext/>
              <w:rPr>
                <w:b/>
                <w:bCs w:val="0"/>
                <w:sz w:val="24"/>
              </w:rPr>
            </w:pPr>
            <w:r w:rsidRPr="00C44E44">
              <w:rPr>
                <w:b/>
                <w:bCs w:val="0"/>
                <w:sz w:val="24"/>
              </w:rPr>
              <w:t>Risk score</w:t>
            </w:r>
          </w:p>
        </w:tc>
        <w:tc>
          <w:tcPr>
            <w:tcW w:w="1879" w:type="dxa"/>
            <w:tcBorders>
              <w:top w:val="single" w:sz="8" w:space="0" w:color="auto"/>
              <w:left w:val="nil"/>
              <w:bottom w:val="single" w:sz="8" w:space="0" w:color="auto"/>
              <w:right w:val="single" w:sz="8" w:space="0" w:color="auto"/>
            </w:tcBorders>
          </w:tcPr>
          <w:p w14:paraId="697AFFDC" w14:textId="77777777" w:rsidR="00C44E44" w:rsidRPr="00C44E44" w:rsidRDefault="00C44E44" w:rsidP="00E373FB">
            <w:pPr>
              <w:pStyle w:val="Tabletext"/>
              <w:rPr>
                <w:sz w:val="24"/>
              </w:rPr>
            </w:pPr>
            <w:r w:rsidRPr="00C44E44">
              <w:rPr>
                <w:sz w:val="24"/>
              </w:rPr>
              <w:t>8.70</w:t>
            </w:r>
          </w:p>
        </w:tc>
      </w:tr>
      <w:tr w:rsidR="00C44E44" w:rsidRPr="002B7E1B" w14:paraId="20FE7A3B" w14:textId="77777777" w:rsidTr="00E373FB">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A5F1ADB" w14:textId="77777777" w:rsidR="00C44E44" w:rsidRPr="00C44E44" w:rsidRDefault="00C44E44" w:rsidP="00E373FB">
            <w:pPr>
              <w:pStyle w:val="Tabletext"/>
              <w:rPr>
                <w:b/>
                <w:bCs w:val="0"/>
                <w:sz w:val="24"/>
              </w:rPr>
            </w:pPr>
            <w:r w:rsidRPr="00C44E44">
              <w:rPr>
                <w:b/>
                <w:bCs w:val="0"/>
                <w:sz w:val="24"/>
              </w:rPr>
              <w:t>Overall assessment</w:t>
            </w:r>
          </w:p>
        </w:tc>
        <w:tc>
          <w:tcPr>
            <w:tcW w:w="1879" w:type="dxa"/>
            <w:tcBorders>
              <w:top w:val="single" w:sz="8" w:space="0" w:color="auto"/>
              <w:left w:val="nil"/>
              <w:bottom w:val="single" w:sz="8" w:space="0" w:color="auto"/>
              <w:right w:val="single" w:sz="8" w:space="0" w:color="auto"/>
            </w:tcBorders>
            <w:shd w:val="clear" w:color="auto" w:fill="E60000"/>
          </w:tcPr>
          <w:p w14:paraId="1D96105D" w14:textId="77777777" w:rsidR="00C44E44" w:rsidRPr="00C44E44" w:rsidRDefault="00C44E44" w:rsidP="00E373FB">
            <w:pPr>
              <w:pStyle w:val="Tabletext"/>
              <w:rPr>
                <w:color w:val="FFFFFF" w:themeColor="background1"/>
                <w:sz w:val="24"/>
              </w:rPr>
            </w:pPr>
            <w:r w:rsidRPr="00C44E44">
              <w:rPr>
                <w:color w:val="FFFFFF" w:themeColor="background1"/>
                <w:sz w:val="24"/>
              </w:rPr>
              <w:t>Very High</w:t>
            </w:r>
          </w:p>
        </w:tc>
      </w:tr>
    </w:tbl>
    <w:p w14:paraId="37918591" w14:textId="77777777" w:rsidR="00C44E44" w:rsidRDefault="00C44E44" w:rsidP="009D68DC">
      <w:pPr>
        <w:pStyle w:val="NoSpacing"/>
        <w:rPr>
          <w:highlight w:val="yellow"/>
        </w:rPr>
      </w:pPr>
    </w:p>
    <w:p w14:paraId="47C18CC0" w14:textId="030A2747" w:rsidR="005067E2" w:rsidRPr="0004701D" w:rsidRDefault="005067E2" w:rsidP="005067E2">
      <w:pPr>
        <w:pStyle w:val="Heading2"/>
        <w:rPr>
          <w:b w:val="0"/>
        </w:rPr>
      </w:pPr>
      <w:bookmarkStart w:id="86" w:name="_Toc208329964"/>
      <w:r w:rsidRPr="0004701D">
        <w:t>Hazardous materials incident (Hazmat)</w:t>
      </w:r>
      <w:bookmarkEnd w:id="86"/>
    </w:p>
    <w:p w14:paraId="67416C9A" w14:textId="53B8D40F" w:rsidR="005067E2" w:rsidRPr="0004701D" w:rsidRDefault="005067E2" w:rsidP="005067E2">
      <w:pPr>
        <w:rPr>
          <w:rFonts w:cs="Arial"/>
          <w:color w:val="000000" w:themeColor="text1"/>
          <w:szCs w:val="24"/>
        </w:rPr>
      </w:pPr>
      <w:r w:rsidRPr="0004701D">
        <w:rPr>
          <w:rFonts w:cs="Arial"/>
          <w:color w:val="000000" w:themeColor="text1"/>
          <w:szCs w:val="24"/>
        </w:rPr>
        <w:t xml:space="preserve">There are </w:t>
      </w:r>
      <w:r w:rsidRPr="0004701D">
        <w:t xml:space="preserve">several pieces of legislation that place a duty on </w:t>
      </w:r>
      <w:r w:rsidR="003D2C08" w:rsidRPr="0004701D">
        <w:rPr>
          <w:lang w:eastAsia="en-GB"/>
        </w:rPr>
        <w:t xml:space="preserve">Lancashire </w:t>
      </w:r>
      <w:r w:rsidR="00C77080" w:rsidRPr="0004701D">
        <w:rPr>
          <w:lang w:eastAsia="en-GB"/>
        </w:rPr>
        <w:t>F</w:t>
      </w:r>
      <w:r w:rsidR="003D2C08" w:rsidRPr="0004701D">
        <w:rPr>
          <w:lang w:eastAsia="en-GB"/>
        </w:rPr>
        <w:t xml:space="preserve">ire and </w:t>
      </w:r>
      <w:r w:rsidR="00C77080" w:rsidRPr="0004701D">
        <w:rPr>
          <w:lang w:eastAsia="en-GB"/>
        </w:rPr>
        <w:t>R</w:t>
      </w:r>
      <w:r w:rsidR="003D2C08" w:rsidRPr="0004701D">
        <w:rPr>
          <w:lang w:eastAsia="en-GB"/>
        </w:rPr>
        <w:t xml:space="preserve">escue </w:t>
      </w:r>
      <w:r w:rsidR="00C77080" w:rsidRPr="0004701D">
        <w:rPr>
          <w:lang w:eastAsia="en-GB"/>
        </w:rPr>
        <w:t>S</w:t>
      </w:r>
      <w:r w:rsidR="003D2C08" w:rsidRPr="0004701D">
        <w:rPr>
          <w:lang w:eastAsia="en-GB"/>
        </w:rPr>
        <w:t>ervice</w:t>
      </w:r>
      <w:r w:rsidR="003D2C08" w:rsidRPr="0004701D">
        <w:t xml:space="preserve"> </w:t>
      </w:r>
      <w:r w:rsidRPr="0004701D">
        <w:t>to protect lives, property and the environment from the damaging effects of hazardous materials.  We work very closely with partner organisations, particularly the Environment Agency, to try to reduce the impact caused by hazardous materials.  Dangerous hazardous materials are regularly transported through the Service area via rail or road.  There are several other associated risks from hazardous materials, with some examples being</w:t>
      </w:r>
      <w:r w:rsidR="00E72A72" w:rsidRPr="0004701D">
        <w:t xml:space="preserve"> Control of Major Accident Hazard</w:t>
      </w:r>
      <w:r w:rsidRPr="0004701D">
        <w:t xml:space="preserve"> sites and a multitude of other industrial sites, farms (especially in some of the more rural locations), waste sites and water treatment plants.  There are also several high-pressure natural gas transmission pipelines </w:t>
      </w:r>
      <w:r w:rsidRPr="0004701D">
        <w:lastRenderedPageBreak/>
        <w:t>crossing the region.  This hazard arises from the high pressure and the possibility of fire and explosion from a release</w:t>
      </w:r>
      <w:r w:rsidRPr="0004701D">
        <w:rPr>
          <w:rFonts w:cs="Arial"/>
          <w:color w:val="000000" w:themeColor="text1"/>
          <w:szCs w:val="24"/>
        </w:rPr>
        <w:t xml:space="preserve"> if one of the pipelines failed or sustained damage.</w:t>
      </w:r>
    </w:p>
    <w:p w14:paraId="15AFB6B6" w14:textId="77777777" w:rsidR="00C44E44" w:rsidRPr="0004701D" w:rsidRDefault="00C44E44" w:rsidP="00C44E44">
      <w:pPr>
        <w:pStyle w:val="Heading2"/>
        <w:rPr>
          <w:b w:val="0"/>
        </w:rPr>
      </w:pPr>
      <w:bookmarkStart w:id="87" w:name="_Toc208329965"/>
      <w:r w:rsidRPr="0004701D">
        <w:t>Hazardous materials incident (Minor)</w:t>
      </w:r>
      <w:bookmarkEnd w:id="87"/>
    </w:p>
    <w:p w14:paraId="11012695" w14:textId="6280E4AA" w:rsidR="00C44E44" w:rsidRPr="00D0558B" w:rsidRDefault="00C44E44" w:rsidP="00C44E44">
      <w:pPr>
        <w:rPr>
          <w:rFonts w:cs="Arial"/>
          <w:color w:val="000000" w:themeColor="text1"/>
          <w:szCs w:val="24"/>
        </w:rPr>
      </w:pPr>
      <w:r w:rsidRPr="0004701D">
        <w:rPr>
          <w:lang w:eastAsia="en-GB"/>
        </w:rPr>
        <w:t>Lancashire Fire and Rescue Service</w:t>
      </w:r>
      <w:r w:rsidRPr="0004701D">
        <w:rPr>
          <w:rFonts w:cs="Arial"/>
          <w:color w:val="000000" w:themeColor="text1"/>
          <w:szCs w:val="24"/>
        </w:rPr>
        <w:t xml:space="preserve"> have categorised a </w:t>
      </w:r>
      <w:r w:rsidRPr="0004701D">
        <w:t xml:space="preserve">hazardous materials incident to be </w:t>
      </w:r>
      <w:r w:rsidRPr="00CE7BDE">
        <w:t xml:space="preserve">minor if less than four pumping appliances attended.  Over the previous five years, we have attended an average of </w:t>
      </w:r>
      <w:r w:rsidR="00CE7BDE" w:rsidRPr="0085725E">
        <w:t>94</w:t>
      </w:r>
      <w:r w:rsidR="00CE7BDE" w:rsidRPr="00CE7BDE">
        <w:t xml:space="preserve"> </w:t>
      </w:r>
      <w:r w:rsidRPr="00CE7BDE">
        <w:t xml:space="preserve">incidents of this type a year.  </w:t>
      </w:r>
      <w:r w:rsidRPr="00D0558B">
        <w:t xml:space="preserve">Of the </w:t>
      </w:r>
      <w:r w:rsidR="00CE7BDE" w:rsidRPr="0085725E">
        <w:t>472</w:t>
      </w:r>
      <w:r w:rsidR="00CE7BDE" w:rsidRPr="00D0558B">
        <w:t xml:space="preserve"> </w:t>
      </w:r>
      <w:r w:rsidRPr="00D0558B">
        <w:t xml:space="preserve">incidents attended, </w:t>
      </w:r>
      <w:r w:rsidR="009338CE" w:rsidRPr="0085725E">
        <w:t>eleven</w:t>
      </w:r>
      <w:r w:rsidR="009338CE" w:rsidRPr="00D0558B">
        <w:t xml:space="preserve"> </w:t>
      </w:r>
      <w:r w:rsidRPr="00D0558B">
        <w:t xml:space="preserve">resulted in fatalities and there were </w:t>
      </w:r>
      <w:r w:rsidR="009338CE" w:rsidRPr="0085725E">
        <w:t>12</w:t>
      </w:r>
      <w:r w:rsidR="009338CE" w:rsidRPr="00D0558B">
        <w:t xml:space="preserve"> </w:t>
      </w:r>
      <w:r w:rsidRPr="00D0558B">
        <w:t xml:space="preserve">serious injuries sustained.  </w:t>
      </w:r>
      <w:r w:rsidR="009338CE" w:rsidRPr="0085725E">
        <w:t>68</w:t>
      </w:r>
      <w:r w:rsidRPr="00D0558B">
        <w:t xml:space="preserve">% of the incidents occurred in a domestic dwelling environment, whilst others included </w:t>
      </w:r>
      <w:r w:rsidR="009338CE" w:rsidRPr="0085725E">
        <w:t xml:space="preserve">non-residential </w:t>
      </w:r>
      <w:r w:rsidR="006C55D1" w:rsidRPr="0085725E">
        <w:t>environments</w:t>
      </w:r>
      <w:r w:rsidR="009338CE" w:rsidRPr="0085725E">
        <w:t>, outdoors,</w:t>
      </w:r>
      <w:r w:rsidR="009338CE" w:rsidRPr="00D0558B">
        <w:t xml:space="preserve"> </w:t>
      </w:r>
      <w:r w:rsidRPr="00D0558B">
        <w:t xml:space="preserve">and road vehicles.  </w:t>
      </w:r>
      <w:r w:rsidR="009338CE" w:rsidRPr="0085725E">
        <w:t>64</w:t>
      </w:r>
      <w:r w:rsidRPr="00D0558B">
        <w:t>% of the incidents involved</w:t>
      </w:r>
      <w:r w:rsidRPr="00D0558B">
        <w:rPr>
          <w:rFonts w:cs="Arial"/>
          <w:color w:val="000000" w:themeColor="text1"/>
          <w:szCs w:val="24"/>
        </w:rPr>
        <w:t xml:space="preserve"> a gas release.</w:t>
      </w:r>
    </w:p>
    <w:p w14:paraId="7431E586" w14:textId="77777777" w:rsidR="00C44E44" w:rsidRPr="0085725E" w:rsidRDefault="00C44E44" w:rsidP="00C44E44">
      <w:pPr>
        <w:pStyle w:val="NoSpacing"/>
        <w:rPr>
          <w:highlight w:val="yellow"/>
        </w:rPr>
      </w:pPr>
    </w:p>
    <w:tbl>
      <w:tblPr>
        <w:tblStyle w:val="TableGrid"/>
        <w:tblW w:w="0" w:type="auto"/>
        <w:jc w:val="center"/>
        <w:tblLook w:val="04A0" w:firstRow="1" w:lastRow="0" w:firstColumn="1" w:lastColumn="0" w:noHBand="0" w:noVBand="1"/>
        <w:tblCaption w:val="Risk - hazmat incident (minor)"/>
        <w:tblDescription w:val="A table detailing the likelihood, consequence, risk score and overall assessment"/>
      </w:tblPr>
      <w:tblGrid>
        <w:gridCol w:w="5199"/>
        <w:gridCol w:w="1630"/>
      </w:tblGrid>
      <w:tr w:rsidR="00C44E44" w:rsidRPr="002B7E1B" w14:paraId="59A56285" w14:textId="77777777" w:rsidTr="00007ED6">
        <w:trPr>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93F4180" w14:textId="77777777" w:rsidR="00C44E44" w:rsidRPr="00C44E44" w:rsidRDefault="00C44E44" w:rsidP="00007ED6">
            <w:pPr>
              <w:pStyle w:val="Tabletext"/>
              <w:keepNext/>
              <w:rPr>
                <w:sz w:val="24"/>
              </w:rPr>
            </w:pPr>
            <w:r w:rsidRPr="00C44E44">
              <w:rPr>
                <w:b/>
                <w:bCs w:val="0"/>
                <w:sz w:val="24"/>
              </w:rPr>
              <w:t>Risk –</w:t>
            </w:r>
            <w:r w:rsidRPr="00C44E44">
              <w:t xml:space="preserve"> </w:t>
            </w:r>
            <w:r w:rsidRPr="00C44E44">
              <w:rPr>
                <w:b/>
                <w:bCs w:val="0"/>
                <w:sz w:val="24"/>
              </w:rPr>
              <w:t>Hazardous materials incident (Minor)</w:t>
            </w:r>
          </w:p>
        </w:tc>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C09873" w14:textId="77777777" w:rsidR="00C44E44" w:rsidRPr="00C44E44" w:rsidRDefault="00C44E44" w:rsidP="00E373FB">
            <w:pPr>
              <w:pStyle w:val="Tabletext"/>
              <w:rPr>
                <w:sz w:val="24"/>
              </w:rPr>
            </w:pPr>
            <w:r w:rsidRPr="00C44E44">
              <w:rPr>
                <w:b/>
                <w:sz w:val="24"/>
              </w:rPr>
              <w:t>Rating</w:t>
            </w:r>
          </w:p>
        </w:tc>
      </w:tr>
      <w:tr w:rsidR="00C44E44" w:rsidRPr="002B7E1B" w14:paraId="34709842" w14:textId="77777777" w:rsidTr="00007ED6">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8C173FD" w14:textId="77777777" w:rsidR="00C44E44" w:rsidRPr="00C44E44" w:rsidRDefault="00C44E44" w:rsidP="00007ED6">
            <w:pPr>
              <w:pStyle w:val="Tabletext"/>
              <w:keepNext/>
              <w:rPr>
                <w:b/>
                <w:bCs w:val="0"/>
                <w:sz w:val="24"/>
              </w:rPr>
            </w:pPr>
            <w:r w:rsidRPr="00C44E44">
              <w:rPr>
                <w:b/>
                <w:bCs w:val="0"/>
                <w:sz w:val="24"/>
              </w:rPr>
              <w:t>Likelihood</w:t>
            </w:r>
          </w:p>
        </w:tc>
        <w:tc>
          <w:tcPr>
            <w:tcW w:w="0" w:type="auto"/>
            <w:tcBorders>
              <w:top w:val="nil"/>
              <w:left w:val="nil"/>
              <w:bottom w:val="single" w:sz="8" w:space="0" w:color="auto"/>
              <w:right w:val="single" w:sz="8" w:space="0" w:color="auto"/>
            </w:tcBorders>
          </w:tcPr>
          <w:p w14:paraId="708B8B6C" w14:textId="77777777" w:rsidR="00C44E44" w:rsidRPr="00C44E44" w:rsidRDefault="00C44E44" w:rsidP="00E373FB">
            <w:pPr>
              <w:pStyle w:val="Tabletext"/>
              <w:rPr>
                <w:sz w:val="24"/>
              </w:rPr>
            </w:pPr>
            <w:r w:rsidRPr="00C44E44">
              <w:rPr>
                <w:sz w:val="24"/>
              </w:rPr>
              <w:t>Medium High</w:t>
            </w:r>
          </w:p>
        </w:tc>
      </w:tr>
      <w:tr w:rsidR="00C44E44" w:rsidRPr="002B7E1B" w14:paraId="0901D1AA" w14:textId="77777777" w:rsidTr="00007ED6">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8DF6B7" w14:textId="77777777" w:rsidR="00C44E44" w:rsidRPr="00C44E44" w:rsidRDefault="00C44E44" w:rsidP="00007ED6">
            <w:pPr>
              <w:pStyle w:val="Tabletext"/>
              <w:keepNext/>
              <w:rPr>
                <w:b/>
                <w:bCs w:val="0"/>
                <w:sz w:val="24"/>
              </w:rPr>
            </w:pPr>
            <w:r w:rsidRPr="00C44E44">
              <w:rPr>
                <w:b/>
                <w:bCs w:val="0"/>
                <w:sz w:val="24"/>
              </w:rPr>
              <w:t>Consequence</w:t>
            </w:r>
          </w:p>
        </w:tc>
        <w:tc>
          <w:tcPr>
            <w:tcW w:w="0" w:type="auto"/>
            <w:tcBorders>
              <w:top w:val="single" w:sz="8" w:space="0" w:color="auto"/>
              <w:left w:val="nil"/>
              <w:bottom w:val="single" w:sz="8" w:space="0" w:color="auto"/>
              <w:right w:val="single" w:sz="8" w:space="0" w:color="auto"/>
            </w:tcBorders>
          </w:tcPr>
          <w:p w14:paraId="073EA30D" w14:textId="77777777" w:rsidR="00C44E44" w:rsidRPr="00C44E44" w:rsidRDefault="00C44E44" w:rsidP="00E373FB">
            <w:pPr>
              <w:pStyle w:val="Tabletext"/>
              <w:rPr>
                <w:sz w:val="24"/>
              </w:rPr>
            </w:pPr>
            <w:r w:rsidRPr="00C44E44">
              <w:rPr>
                <w:sz w:val="24"/>
              </w:rPr>
              <w:t>Limited</w:t>
            </w:r>
          </w:p>
        </w:tc>
      </w:tr>
      <w:tr w:rsidR="00C44E44" w:rsidRPr="002B7E1B" w14:paraId="3127265F" w14:textId="77777777" w:rsidTr="00007ED6">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5D5131E" w14:textId="77777777" w:rsidR="00C44E44" w:rsidRPr="00C44E44" w:rsidRDefault="00C44E44" w:rsidP="00007ED6">
            <w:pPr>
              <w:pStyle w:val="Tabletext"/>
              <w:keepNext/>
              <w:rPr>
                <w:b/>
                <w:bCs w:val="0"/>
                <w:sz w:val="24"/>
              </w:rPr>
            </w:pPr>
            <w:r w:rsidRPr="00C44E44">
              <w:rPr>
                <w:b/>
                <w:bCs w:val="0"/>
                <w:sz w:val="24"/>
              </w:rPr>
              <w:t>Risk score</w:t>
            </w:r>
          </w:p>
        </w:tc>
        <w:tc>
          <w:tcPr>
            <w:tcW w:w="0" w:type="auto"/>
            <w:tcBorders>
              <w:top w:val="single" w:sz="8" w:space="0" w:color="auto"/>
              <w:left w:val="nil"/>
              <w:bottom w:val="single" w:sz="8" w:space="0" w:color="auto"/>
              <w:right w:val="single" w:sz="8" w:space="0" w:color="auto"/>
            </w:tcBorders>
          </w:tcPr>
          <w:p w14:paraId="7A4B2DC0" w14:textId="77777777" w:rsidR="00C44E44" w:rsidRPr="00C44E44" w:rsidRDefault="00C44E44" w:rsidP="00E373FB">
            <w:pPr>
              <w:pStyle w:val="Tabletext"/>
              <w:rPr>
                <w:sz w:val="24"/>
              </w:rPr>
            </w:pPr>
            <w:r w:rsidRPr="00C44E44">
              <w:rPr>
                <w:sz w:val="24"/>
              </w:rPr>
              <w:t>8.25</w:t>
            </w:r>
          </w:p>
        </w:tc>
      </w:tr>
      <w:tr w:rsidR="00C44E44" w:rsidRPr="002B7E1B" w14:paraId="724B4E38" w14:textId="77777777" w:rsidTr="00007ED6">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F7DBA9" w14:textId="77777777" w:rsidR="00C44E44" w:rsidRPr="00C44E44" w:rsidRDefault="00C44E44" w:rsidP="00E373FB">
            <w:pPr>
              <w:pStyle w:val="Tabletext"/>
              <w:rPr>
                <w:b/>
                <w:bCs w:val="0"/>
                <w:sz w:val="24"/>
              </w:rPr>
            </w:pPr>
            <w:r w:rsidRPr="00C44E44">
              <w:rPr>
                <w:b/>
                <w:bCs w:val="0"/>
                <w:sz w:val="24"/>
              </w:rPr>
              <w:t>Overall assessment</w:t>
            </w:r>
          </w:p>
        </w:tc>
        <w:tc>
          <w:tcPr>
            <w:tcW w:w="0" w:type="auto"/>
            <w:tcBorders>
              <w:top w:val="single" w:sz="8" w:space="0" w:color="auto"/>
              <w:left w:val="nil"/>
              <w:bottom w:val="single" w:sz="8" w:space="0" w:color="auto"/>
              <w:right w:val="single" w:sz="8" w:space="0" w:color="auto"/>
            </w:tcBorders>
            <w:shd w:val="clear" w:color="auto" w:fill="FFC000"/>
          </w:tcPr>
          <w:p w14:paraId="50B2B15E" w14:textId="77777777" w:rsidR="00C44E44" w:rsidRPr="00C44E44" w:rsidRDefault="00C44E44" w:rsidP="00E373FB">
            <w:pPr>
              <w:pStyle w:val="Tabletext"/>
              <w:rPr>
                <w:sz w:val="24"/>
              </w:rPr>
            </w:pPr>
            <w:r w:rsidRPr="00C44E44">
              <w:rPr>
                <w:sz w:val="24"/>
              </w:rPr>
              <w:t>High</w:t>
            </w:r>
          </w:p>
        </w:tc>
      </w:tr>
    </w:tbl>
    <w:p w14:paraId="286CBDE5" w14:textId="77777777" w:rsidR="00C44E44" w:rsidRDefault="00C44E44" w:rsidP="00007ED6">
      <w:pPr>
        <w:pStyle w:val="NoSpacing"/>
        <w:rPr>
          <w:highlight w:val="yellow"/>
        </w:rPr>
      </w:pPr>
    </w:p>
    <w:p w14:paraId="53F03B64" w14:textId="60AB5870" w:rsidR="005067E2" w:rsidRPr="0004701D" w:rsidRDefault="00A54CED" w:rsidP="005067E2">
      <w:pPr>
        <w:pStyle w:val="Heading2"/>
        <w:rPr>
          <w:b w:val="0"/>
        </w:rPr>
      </w:pPr>
      <w:bookmarkStart w:id="88" w:name="_Toc208329966"/>
      <w:r w:rsidRPr="0004701D">
        <w:t xml:space="preserve">Hazardous materials </w:t>
      </w:r>
      <w:r w:rsidR="005067E2" w:rsidRPr="0004701D">
        <w:t>incident (Major)</w:t>
      </w:r>
      <w:bookmarkEnd w:id="88"/>
    </w:p>
    <w:p w14:paraId="4223574D" w14:textId="32A8E8F3" w:rsidR="005067E2" w:rsidRPr="00CE7BDE" w:rsidRDefault="003D2C08" w:rsidP="005067E2">
      <w:pPr>
        <w:rPr>
          <w:rFonts w:cs="Arial"/>
          <w:color w:val="000000" w:themeColor="text1"/>
          <w:szCs w:val="24"/>
        </w:rPr>
      </w:pPr>
      <w:r w:rsidRPr="0004701D">
        <w:rPr>
          <w:lang w:eastAsia="en-GB"/>
        </w:rPr>
        <w:t xml:space="preserve">Lancashire </w:t>
      </w:r>
      <w:r w:rsidR="00C77080" w:rsidRPr="0004701D">
        <w:rPr>
          <w:lang w:eastAsia="en-GB"/>
        </w:rPr>
        <w:t>F</w:t>
      </w:r>
      <w:r w:rsidRPr="0004701D">
        <w:rPr>
          <w:lang w:eastAsia="en-GB"/>
        </w:rPr>
        <w:t xml:space="preserve">ire and </w:t>
      </w:r>
      <w:r w:rsidR="00C77080" w:rsidRPr="0004701D">
        <w:rPr>
          <w:lang w:eastAsia="en-GB"/>
        </w:rPr>
        <w:t>R</w:t>
      </w:r>
      <w:r w:rsidRPr="0004701D">
        <w:rPr>
          <w:lang w:eastAsia="en-GB"/>
        </w:rPr>
        <w:t xml:space="preserve">escue </w:t>
      </w:r>
      <w:r w:rsidR="00C77080" w:rsidRPr="0004701D">
        <w:rPr>
          <w:lang w:eastAsia="en-GB"/>
        </w:rPr>
        <w:t>S</w:t>
      </w:r>
      <w:r w:rsidRPr="0004701D">
        <w:rPr>
          <w:lang w:eastAsia="en-GB"/>
        </w:rPr>
        <w:t>ervice</w:t>
      </w:r>
      <w:r w:rsidRPr="0004701D">
        <w:rPr>
          <w:rFonts w:cs="Arial"/>
          <w:color w:val="000000" w:themeColor="text1"/>
          <w:szCs w:val="24"/>
        </w:rPr>
        <w:t xml:space="preserve"> </w:t>
      </w:r>
      <w:r w:rsidR="005067E2" w:rsidRPr="0004701D">
        <w:rPr>
          <w:rFonts w:cs="Arial"/>
          <w:color w:val="000000" w:themeColor="text1"/>
          <w:szCs w:val="24"/>
        </w:rPr>
        <w:t xml:space="preserve">have categorised a </w:t>
      </w:r>
      <w:r w:rsidR="00A54CED" w:rsidRPr="0004701D">
        <w:rPr>
          <w:rFonts w:cs="Arial"/>
          <w:color w:val="000000" w:themeColor="text1"/>
          <w:szCs w:val="24"/>
        </w:rPr>
        <w:t>h</w:t>
      </w:r>
      <w:r w:rsidR="00A54CED" w:rsidRPr="0004701D">
        <w:t xml:space="preserve">azardous materials </w:t>
      </w:r>
      <w:r w:rsidR="00A54CED" w:rsidRPr="0004701D">
        <w:rPr>
          <w:rFonts w:cs="Arial"/>
          <w:color w:val="000000" w:themeColor="text1"/>
          <w:szCs w:val="24"/>
        </w:rPr>
        <w:t>incident</w:t>
      </w:r>
      <w:r w:rsidR="005067E2" w:rsidRPr="0004701D">
        <w:rPr>
          <w:rFonts w:cs="Arial"/>
          <w:color w:val="000000" w:themeColor="text1"/>
          <w:szCs w:val="24"/>
        </w:rPr>
        <w:t xml:space="preserve"> to </w:t>
      </w:r>
      <w:r w:rsidR="005067E2" w:rsidRPr="0004701D">
        <w:t xml:space="preserve">be major if four or more pumping appliances attended.  </w:t>
      </w:r>
      <w:r w:rsidR="005067E2" w:rsidRPr="00CE7BDE">
        <w:t xml:space="preserve">Over the previous five years, we have attended a total of </w:t>
      </w:r>
      <w:r w:rsidR="00CE7BDE" w:rsidRPr="0085725E">
        <w:t>19</w:t>
      </w:r>
      <w:r w:rsidR="00CE7BDE" w:rsidRPr="00CE7BDE">
        <w:t xml:space="preserve"> </w:t>
      </w:r>
      <w:r w:rsidR="005067E2" w:rsidRPr="00CE7BDE">
        <w:t xml:space="preserve">incidents of this type resulting in </w:t>
      </w:r>
      <w:r w:rsidR="005D1AAC">
        <w:t>four</w:t>
      </w:r>
      <w:r w:rsidR="005D1AAC" w:rsidRPr="00CE7BDE">
        <w:t xml:space="preserve"> </w:t>
      </w:r>
      <w:r w:rsidR="005067E2" w:rsidRPr="00CE7BDE">
        <w:t>people susta</w:t>
      </w:r>
      <w:r w:rsidR="005067E2" w:rsidRPr="00CE7BDE">
        <w:rPr>
          <w:rFonts w:cs="Arial"/>
          <w:color w:val="000000" w:themeColor="text1"/>
          <w:szCs w:val="24"/>
        </w:rPr>
        <w:t>ining slight injuries.</w:t>
      </w:r>
    </w:p>
    <w:p w14:paraId="60D8F4FF" w14:textId="77777777" w:rsidR="005067E2" w:rsidRPr="0085725E" w:rsidRDefault="005067E2" w:rsidP="005067E2">
      <w:pPr>
        <w:pStyle w:val="NoSpacing"/>
        <w:rPr>
          <w:highlight w:val="yellow"/>
        </w:rPr>
      </w:pPr>
    </w:p>
    <w:tbl>
      <w:tblPr>
        <w:tblStyle w:val="TableGrid"/>
        <w:tblW w:w="0" w:type="auto"/>
        <w:jc w:val="center"/>
        <w:tblLook w:val="04A0" w:firstRow="1" w:lastRow="0" w:firstColumn="1" w:lastColumn="0" w:noHBand="0" w:noVBand="1"/>
        <w:tblCaption w:val="Risk - hazmat incident (major)"/>
        <w:tblDescription w:val="A table detailing the likelihood, consequence, risk score and overall assessment"/>
      </w:tblPr>
      <w:tblGrid>
        <w:gridCol w:w="5186"/>
        <w:gridCol w:w="1577"/>
      </w:tblGrid>
      <w:tr w:rsidR="005067E2" w:rsidRPr="002B7E1B" w14:paraId="56DFAB40" w14:textId="77777777" w:rsidTr="00007ED6">
        <w:trPr>
          <w:tblHeader/>
          <w:jc w:val="center"/>
        </w:trPr>
        <w:tc>
          <w:tcPr>
            <w:tcW w:w="0" w:type="auto"/>
            <w:shd w:val="clear" w:color="auto" w:fill="D9D9D9" w:themeFill="background1" w:themeFillShade="D9"/>
          </w:tcPr>
          <w:p w14:paraId="7E3BB42C" w14:textId="024A56FD" w:rsidR="005067E2" w:rsidRPr="00C44E44" w:rsidRDefault="005067E2" w:rsidP="00007ED6">
            <w:pPr>
              <w:pStyle w:val="Tabletext"/>
              <w:keepNext/>
              <w:rPr>
                <w:sz w:val="24"/>
              </w:rPr>
            </w:pPr>
            <w:r w:rsidRPr="00C44E44">
              <w:rPr>
                <w:b/>
                <w:bCs w:val="0"/>
                <w:sz w:val="24"/>
              </w:rPr>
              <w:t xml:space="preserve">Risk </w:t>
            </w:r>
            <w:r w:rsidR="00AB1C0E" w:rsidRPr="00C44E44">
              <w:rPr>
                <w:b/>
                <w:bCs w:val="0"/>
                <w:sz w:val="24"/>
              </w:rPr>
              <w:t>– Hazardous</w:t>
            </w:r>
            <w:r w:rsidR="00A54CED" w:rsidRPr="00C44E44">
              <w:rPr>
                <w:b/>
                <w:bCs w:val="0"/>
                <w:sz w:val="24"/>
              </w:rPr>
              <w:t xml:space="preserve"> materials</w:t>
            </w:r>
            <w:r w:rsidR="00A54CED" w:rsidRPr="00C44E44">
              <w:t xml:space="preserve"> </w:t>
            </w:r>
            <w:r w:rsidRPr="00C44E44">
              <w:rPr>
                <w:b/>
                <w:bCs w:val="0"/>
                <w:sz w:val="24"/>
              </w:rPr>
              <w:t>incident (Major)</w:t>
            </w:r>
          </w:p>
        </w:tc>
        <w:tc>
          <w:tcPr>
            <w:tcW w:w="0" w:type="auto"/>
            <w:shd w:val="clear" w:color="auto" w:fill="D9D9D9" w:themeFill="background1" w:themeFillShade="D9"/>
          </w:tcPr>
          <w:p w14:paraId="537BFE82" w14:textId="77777777" w:rsidR="005067E2" w:rsidRPr="00C44E44" w:rsidRDefault="005067E2" w:rsidP="005604A2">
            <w:pPr>
              <w:pStyle w:val="Tabletext"/>
              <w:rPr>
                <w:sz w:val="24"/>
              </w:rPr>
            </w:pPr>
            <w:r w:rsidRPr="00C44E44">
              <w:rPr>
                <w:b/>
                <w:sz w:val="24"/>
              </w:rPr>
              <w:t>Rating</w:t>
            </w:r>
          </w:p>
        </w:tc>
      </w:tr>
      <w:tr w:rsidR="005067E2" w:rsidRPr="002B7E1B" w14:paraId="1D1736BB" w14:textId="77777777" w:rsidTr="00007ED6">
        <w:trPr>
          <w:jc w:val="center"/>
        </w:trPr>
        <w:tc>
          <w:tcPr>
            <w:tcW w:w="0" w:type="auto"/>
            <w:shd w:val="clear" w:color="auto" w:fill="D9D9D9" w:themeFill="background1" w:themeFillShade="D9"/>
          </w:tcPr>
          <w:p w14:paraId="5DB990E9" w14:textId="77777777" w:rsidR="005067E2" w:rsidRPr="00C44E44" w:rsidRDefault="005067E2" w:rsidP="00007ED6">
            <w:pPr>
              <w:pStyle w:val="Tabletext"/>
              <w:keepNext/>
              <w:rPr>
                <w:b/>
                <w:bCs w:val="0"/>
                <w:sz w:val="24"/>
              </w:rPr>
            </w:pPr>
            <w:r w:rsidRPr="00C44E44">
              <w:rPr>
                <w:b/>
                <w:bCs w:val="0"/>
                <w:sz w:val="24"/>
              </w:rPr>
              <w:t>Likelihood</w:t>
            </w:r>
          </w:p>
        </w:tc>
        <w:tc>
          <w:tcPr>
            <w:tcW w:w="0" w:type="auto"/>
          </w:tcPr>
          <w:p w14:paraId="32F9329B" w14:textId="77777777" w:rsidR="005067E2" w:rsidRPr="00C44E44" w:rsidRDefault="005067E2" w:rsidP="005604A2">
            <w:pPr>
              <w:pStyle w:val="Tabletext"/>
              <w:rPr>
                <w:sz w:val="24"/>
              </w:rPr>
            </w:pPr>
            <w:r w:rsidRPr="00C44E44">
              <w:rPr>
                <w:sz w:val="24"/>
              </w:rPr>
              <w:t>Medium Low</w:t>
            </w:r>
          </w:p>
        </w:tc>
      </w:tr>
      <w:tr w:rsidR="005067E2" w:rsidRPr="002B7E1B" w14:paraId="4AFE1E45" w14:textId="77777777" w:rsidTr="00007ED6">
        <w:trPr>
          <w:jc w:val="center"/>
        </w:trPr>
        <w:tc>
          <w:tcPr>
            <w:tcW w:w="0" w:type="auto"/>
            <w:shd w:val="clear" w:color="auto" w:fill="D9D9D9" w:themeFill="background1" w:themeFillShade="D9"/>
          </w:tcPr>
          <w:p w14:paraId="1E9B7648" w14:textId="77777777" w:rsidR="005067E2" w:rsidRPr="00C44E44" w:rsidRDefault="005067E2" w:rsidP="00007ED6">
            <w:pPr>
              <w:pStyle w:val="Tabletext"/>
              <w:keepNext/>
              <w:rPr>
                <w:b/>
                <w:bCs w:val="0"/>
                <w:sz w:val="24"/>
              </w:rPr>
            </w:pPr>
            <w:r w:rsidRPr="00C44E44">
              <w:rPr>
                <w:b/>
                <w:bCs w:val="0"/>
                <w:sz w:val="24"/>
              </w:rPr>
              <w:t>Consequence</w:t>
            </w:r>
          </w:p>
        </w:tc>
        <w:tc>
          <w:tcPr>
            <w:tcW w:w="0" w:type="auto"/>
          </w:tcPr>
          <w:p w14:paraId="4D157389" w14:textId="77777777" w:rsidR="005067E2" w:rsidRPr="00C44E44" w:rsidRDefault="005067E2" w:rsidP="005604A2">
            <w:pPr>
              <w:pStyle w:val="Tabletext"/>
              <w:rPr>
                <w:sz w:val="24"/>
              </w:rPr>
            </w:pPr>
            <w:r w:rsidRPr="00C44E44">
              <w:rPr>
                <w:sz w:val="24"/>
              </w:rPr>
              <w:t>Significant</w:t>
            </w:r>
          </w:p>
        </w:tc>
      </w:tr>
      <w:tr w:rsidR="005067E2" w:rsidRPr="002B7E1B" w14:paraId="5E4EAAAA" w14:textId="77777777" w:rsidTr="00007ED6">
        <w:trPr>
          <w:jc w:val="center"/>
        </w:trPr>
        <w:tc>
          <w:tcPr>
            <w:tcW w:w="0" w:type="auto"/>
            <w:shd w:val="clear" w:color="auto" w:fill="D9D9D9" w:themeFill="background1" w:themeFillShade="D9"/>
          </w:tcPr>
          <w:p w14:paraId="11DC0C32" w14:textId="77777777" w:rsidR="005067E2" w:rsidRPr="00C44E44" w:rsidRDefault="005067E2" w:rsidP="00007ED6">
            <w:pPr>
              <w:pStyle w:val="Tabletext"/>
              <w:keepNext/>
              <w:rPr>
                <w:b/>
                <w:bCs w:val="0"/>
                <w:sz w:val="24"/>
              </w:rPr>
            </w:pPr>
            <w:r w:rsidRPr="00C44E44">
              <w:rPr>
                <w:b/>
                <w:bCs w:val="0"/>
                <w:sz w:val="24"/>
              </w:rPr>
              <w:t>Risk score</w:t>
            </w:r>
          </w:p>
        </w:tc>
        <w:tc>
          <w:tcPr>
            <w:tcW w:w="0" w:type="auto"/>
          </w:tcPr>
          <w:p w14:paraId="41CC8672" w14:textId="07248D51" w:rsidR="005067E2" w:rsidRPr="00C44E44" w:rsidRDefault="00C44E44" w:rsidP="005604A2">
            <w:pPr>
              <w:pStyle w:val="Tabletext"/>
              <w:rPr>
                <w:sz w:val="24"/>
              </w:rPr>
            </w:pPr>
            <w:r w:rsidRPr="00C44E44">
              <w:rPr>
                <w:sz w:val="24"/>
              </w:rPr>
              <w:t>8.16</w:t>
            </w:r>
          </w:p>
        </w:tc>
      </w:tr>
      <w:tr w:rsidR="005067E2" w:rsidRPr="002B7E1B" w14:paraId="0F802A2B" w14:textId="77777777" w:rsidTr="00007ED6">
        <w:trPr>
          <w:jc w:val="center"/>
        </w:trPr>
        <w:tc>
          <w:tcPr>
            <w:tcW w:w="0" w:type="auto"/>
            <w:shd w:val="clear" w:color="auto" w:fill="D9D9D9" w:themeFill="background1" w:themeFillShade="D9"/>
          </w:tcPr>
          <w:p w14:paraId="0AF62124" w14:textId="77777777" w:rsidR="005067E2" w:rsidRPr="00C44E44" w:rsidRDefault="005067E2" w:rsidP="005604A2">
            <w:pPr>
              <w:pStyle w:val="Tabletext"/>
              <w:rPr>
                <w:b/>
                <w:bCs w:val="0"/>
                <w:sz w:val="24"/>
              </w:rPr>
            </w:pPr>
            <w:r w:rsidRPr="00C44E44">
              <w:rPr>
                <w:b/>
                <w:bCs w:val="0"/>
                <w:sz w:val="24"/>
              </w:rPr>
              <w:t>Overall assessment</w:t>
            </w:r>
          </w:p>
        </w:tc>
        <w:tc>
          <w:tcPr>
            <w:tcW w:w="0" w:type="auto"/>
            <w:shd w:val="clear" w:color="auto" w:fill="FFC000"/>
          </w:tcPr>
          <w:p w14:paraId="1F620C57" w14:textId="77777777" w:rsidR="005067E2" w:rsidRPr="00C44E44" w:rsidRDefault="005067E2" w:rsidP="005604A2">
            <w:pPr>
              <w:pStyle w:val="Tabletext"/>
              <w:rPr>
                <w:sz w:val="24"/>
              </w:rPr>
            </w:pPr>
            <w:r w:rsidRPr="00C44E44">
              <w:rPr>
                <w:sz w:val="24"/>
              </w:rPr>
              <w:t>High</w:t>
            </w:r>
          </w:p>
        </w:tc>
      </w:tr>
    </w:tbl>
    <w:p w14:paraId="42DE6ED1" w14:textId="77777777" w:rsidR="005067E2" w:rsidRPr="0085725E" w:rsidRDefault="005067E2" w:rsidP="005067E2">
      <w:pPr>
        <w:pStyle w:val="NoSpacing"/>
        <w:rPr>
          <w:highlight w:val="yellow"/>
        </w:rPr>
      </w:pPr>
    </w:p>
    <w:p w14:paraId="51AD3672" w14:textId="77777777" w:rsidR="00C44E44" w:rsidRPr="0004701D" w:rsidRDefault="00C44E44" w:rsidP="00C44E44">
      <w:pPr>
        <w:pStyle w:val="Heading2"/>
        <w:rPr>
          <w:b w:val="0"/>
        </w:rPr>
      </w:pPr>
      <w:bookmarkStart w:id="89" w:name="_Toc208329967"/>
      <w:r w:rsidRPr="0004701D">
        <w:t>Building under construction fires</w:t>
      </w:r>
      <w:bookmarkEnd w:id="89"/>
    </w:p>
    <w:p w14:paraId="7D0E8ADA" w14:textId="77777777" w:rsidR="00C44E44" w:rsidRPr="0004701D" w:rsidRDefault="00C44E44" w:rsidP="00C44E44">
      <w:pPr>
        <w:rPr>
          <w:lang w:val="en"/>
        </w:rPr>
      </w:pPr>
      <w:r w:rsidRPr="0004701D">
        <w:rPr>
          <w:lang w:val="en"/>
        </w:rPr>
        <w:t xml:space="preserve">When dealing with any fire in buildings under construction or demolition, whatever its size or complexity, they pose risks to </w:t>
      </w:r>
      <w:r w:rsidRPr="0004701D">
        <w:t xml:space="preserve">fire and rescue service </w:t>
      </w:r>
      <w:r w:rsidRPr="0004701D">
        <w:rPr>
          <w:lang w:val="en"/>
        </w:rPr>
        <w:t xml:space="preserve">personnel.  There is often a </w:t>
      </w:r>
      <w:r w:rsidRPr="0004701D">
        <w:rPr>
          <w:lang w:val="en"/>
        </w:rPr>
        <w:lastRenderedPageBreak/>
        <w:t>presumption that construction, demolition or building work complies with relevant regulations.  This may not always be the case and if work is unregulated or in direct contravention of regulations, this could have a significant impact on the incident and firefighter safety.</w:t>
      </w:r>
    </w:p>
    <w:p w14:paraId="31F1CC6D" w14:textId="77777777" w:rsidR="00C44E44" w:rsidRPr="0004701D" w:rsidRDefault="00C44E44" w:rsidP="00C44E44">
      <w:pPr>
        <w:rPr>
          <w:lang w:val="en"/>
        </w:rPr>
      </w:pPr>
      <w:r w:rsidRPr="0004701D">
        <w:rPr>
          <w:lang w:val="en"/>
        </w:rPr>
        <w:t>Some small construction sites or buildings undergoing building work may be unknown to fire and rescue services, making pre-planning difficult.  Sites known to fire and rescue services may alter significantly throughout the life of the project such as changes to access and egress, hazardous material storage, layout and fire protection features.  Information obtained from site visits and inspections should be regularly reviewed, updated and communicated to relevant fire and rescue service personnel.</w:t>
      </w:r>
    </w:p>
    <w:p w14:paraId="243C358F" w14:textId="77777777" w:rsidR="00C44E44" w:rsidRPr="0004701D" w:rsidRDefault="00C44E44" w:rsidP="00C44E44">
      <w:pPr>
        <w:rPr>
          <w:lang w:val="en"/>
        </w:rPr>
      </w:pPr>
      <w:r w:rsidRPr="0004701D">
        <w:rPr>
          <w:lang w:val="en"/>
        </w:rPr>
        <w:t>Existing buildings may contain hazardous substances that are associated with either the previous use of the building or building materials.  This could include substances such as asbestos, which may not have been highlighted in a survey.  If disturbed during building work or firefighting, asbestos presents a significant risk to health.  Although sites should be well-secured, using high fencing, hoardings, or other security measures, these may be compromised allowing the public to gain unauthorised access.</w:t>
      </w:r>
    </w:p>
    <w:p w14:paraId="34DF7F20" w14:textId="77777777" w:rsidR="00C44E44" w:rsidRPr="0004701D" w:rsidRDefault="00C44E44" w:rsidP="00C44E44">
      <w:pPr>
        <w:rPr>
          <w:lang w:val="en"/>
        </w:rPr>
      </w:pPr>
      <w:r w:rsidRPr="0004701D">
        <w:rPr>
          <w:lang w:eastAsia="en-GB"/>
        </w:rPr>
        <w:t>Lancashire Fire and Rescue Service</w:t>
      </w:r>
      <w:r w:rsidRPr="0004701D">
        <w:rPr>
          <w:lang w:val="en"/>
        </w:rPr>
        <w:t xml:space="preserve"> has invested time and money in identifying risks associated with buildings under construction by assembling a built environment assessment team.</w:t>
      </w:r>
    </w:p>
    <w:p w14:paraId="7D1CAFBC" w14:textId="5569E3AE" w:rsidR="00C44E44" w:rsidRPr="00D0558B" w:rsidRDefault="00C44E44" w:rsidP="00C44E44">
      <w:r w:rsidRPr="00CE7BDE">
        <w:t xml:space="preserve">Over the previous five years, we attended </w:t>
      </w:r>
      <w:r w:rsidR="00CE7BDE" w:rsidRPr="0085725E">
        <w:t>84</w:t>
      </w:r>
      <w:r w:rsidR="00CE7BDE" w:rsidRPr="00CE7BDE">
        <w:t xml:space="preserve"> </w:t>
      </w:r>
      <w:r w:rsidRPr="00CE7BDE">
        <w:t xml:space="preserve">incidents involving </w:t>
      </w:r>
      <w:r w:rsidRPr="00D0558B">
        <w:t xml:space="preserve">buildings under construction.  This averages out at </w:t>
      </w:r>
      <w:r w:rsidR="00CE7BDE" w:rsidRPr="0085725E">
        <w:t>17</w:t>
      </w:r>
      <w:r w:rsidR="00CE7BDE" w:rsidRPr="00D0558B">
        <w:t xml:space="preserve"> </w:t>
      </w:r>
      <w:r w:rsidRPr="00D0558B">
        <w:t xml:space="preserve">incidents of this type a year.  Single occupancy dwellings accounted for </w:t>
      </w:r>
      <w:r w:rsidR="0008370A" w:rsidRPr="0085725E">
        <w:t>37</w:t>
      </w:r>
      <w:r w:rsidRPr="00D0558B">
        <w:t>% of the incidents.</w:t>
      </w:r>
    </w:p>
    <w:p w14:paraId="508EB994" w14:textId="77777777" w:rsidR="00C44E44" w:rsidRPr="0085725E" w:rsidRDefault="00C44E44" w:rsidP="00C44E44">
      <w:pPr>
        <w:pStyle w:val="NoSpacing"/>
        <w:rPr>
          <w:highlight w:val="yellow"/>
        </w:rPr>
      </w:pPr>
    </w:p>
    <w:tbl>
      <w:tblPr>
        <w:tblStyle w:val="TableGrid"/>
        <w:tblW w:w="0" w:type="auto"/>
        <w:jc w:val="center"/>
        <w:tblLayout w:type="fixed"/>
        <w:tblLook w:val="04A0" w:firstRow="1" w:lastRow="0" w:firstColumn="1" w:lastColumn="0" w:noHBand="0" w:noVBand="1"/>
        <w:tblCaption w:val="Risk - building under construction fires"/>
        <w:tblDescription w:val="A table detailing the likelihood, consequence, risk score and overall assessment"/>
      </w:tblPr>
      <w:tblGrid>
        <w:gridCol w:w="4810"/>
        <w:gridCol w:w="1559"/>
      </w:tblGrid>
      <w:tr w:rsidR="00C44E44" w:rsidRPr="002B7E1B" w14:paraId="40863915" w14:textId="77777777" w:rsidTr="00E373FB">
        <w:trPr>
          <w:tblHeader/>
          <w:jc w:val="center"/>
        </w:trPr>
        <w:tc>
          <w:tcPr>
            <w:tcW w:w="4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724D64" w14:textId="77777777" w:rsidR="00C44E44" w:rsidRPr="00C44E44" w:rsidRDefault="00C44E44" w:rsidP="00007ED6">
            <w:pPr>
              <w:pStyle w:val="Tabletext"/>
              <w:keepNext/>
              <w:rPr>
                <w:sz w:val="24"/>
              </w:rPr>
            </w:pPr>
            <w:r w:rsidRPr="00C44E44">
              <w:rPr>
                <w:b/>
                <w:bCs w:val="0"/>
                <w:sz w:val="24"/>
              </w:rPr>
              <w:t>Risk – Building under construction fires</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0FBB03" w14:textId="77777777" w:rsidR="00C44E44" w:rsidRPr="00C44E44" w:rsidRDefault="00C44E44" w:rsidP="00E373FB">
            <w:pPr>
              <w:pStyle w:val="Tabletext"/>
              <w:rPr>
                <w:sz w:val="24"/>
              </w:rPr>
            </w:pPr>
            <w:r w:rsidRPr="00C44E44">
              <w:rPr>
                <w:b/>
                <w:sz w:val="24"/>
              </w:rPr>
              <w:t>Rating</w:t>
            </w:r>
          </w:p>
        </w:tc>
      </w:tr>
      <w:tr w:rsidR="00C44E44" w:rsidRPr="002B7E1B" w14:paraId="07746F9F" w14:textId="77777777" w:rsidTr="00E373FB">
        <w:trPr>
          <w:jc w:val="center"/>
        </w:trPr>
        <w:tc>
          <w:tcPr>
            <w:tcW w:w="4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48B00B" w14:textId="77777777" w:rsidR="00C44E44" w:rsidRPr="00C44E44" w:rsidRDefault="00C44E44" w:rsidP="00007ED6">
            <w:pPr>
              <w:pStyle w:val="Tabletext"/>
              <w:keepNext/>
              <w:rPr>
                <w:b/>
                <w:bCs w:val="0"/>
                <w:sz w:val="24"/>
              </w:rPr>
            </w:pPr>
            <w:r w:rsidRPr="00C44E44">
              <w:rPr>
                <w:b/>
                <w:bCs w:val="0"/>
                <w:sz w:val="24"/>
              </w:rPr>
              <w:t>Likelihood</w:t>
            </w:r>
          </w:p>
        </w:tc>
        <w:tc>
          <w:tcPr>
            <w:tcW w:w="1559" w:type="dxa"/>
            <w:tcBorders>
              <w:top w:val="nil"/>
              <w:left w:val="nil"/>
              <w:bottom w:val="single" w:sz="8" w:space="0" w:color="auto"/>
              <w:right w:val="single" w:sz="8" w:space="0" w:color="auto"/>
            </w:tcBorders>
          </w:tcPr>
          <w:p w14:paraId="179698E6" w14:textId="77777777" w:rsidR="00C44E44" w:rsidRPr="00C44E44" w:rsidRDefault="00C44E44" w:rsidP="00E373FB">
            <w:pPr>
              <w:pStyle w:val="Tabletext"/>
              <w:rPr>
                <w:sz w:val="24"/>
              </w:rPr>
            </w:pPr>
            <w:r w:rsidRPr="00C44E44">
              <w:rPr>
                <w:sz w:val="24"/>
              </w:rPr>
              <w:t>Medium</w:t>
            </w:r>
          </w:p>
        </w:tc>
      </w:tr>
      <w:tr w:rsidR="00C44E44" w:rsidRPr="002B7E1B" w14:paraId="127E0CD3" w14:textId="77777777" w:rsidTr="00E373FB">
        <w:trPr>
          <w:jc w:val="center"/>
        </w:trPr>
        <w:tc>
          <w:tcPr>
            <w:tcW w:w="4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8EAE5DB" w14:textId="77777777" w:rsidR="00C44E44" w:rsidRPr="00C44E44" w:rsidRDefault="00C44E44" w:rsidP="00007ED6">
            <w:pPr>
              <w:pStyle w:val="Tabletext"/>
              <w:keepNext/>
              <w:rPr>
                <w:b/>
                <w:bCs w:val="0"/>
                <w:sz w:val="24"/>
              </w:rPr>
            </w:pPr>
            <w:r w:rsidRPr="00C44E44">
              <w:rPr>
                <w:b/>
                <w:bCs w:val="0"/>
                <w:sz w:val="24"/>
              </w:rPr>
              <w:t>Consequence</w:t>
            </w:r>
          </w:p>
        </w:tc>
        <w:tc>
          <w:tcPr>
            <w:tcW w:w="1559" w:type="dxa"/>
            <w:tcBorders>
              <w:top w:val="single" w:sz="8" w:space="0" w:color="auto"/>
              <w:left w:val="nil"/>
              <w:bottom w:val="single" w:sz="8" w:space="0" w:color="auto"/>
              <w:right w:val="single" w:sz="8" w:space="0" w:color="auto"/>
            </w:tcBorders>
          </w:tcPr>
          <w:p w14:paraId="0680B3CA" w14:textId="77777777" w:rsidR="00C44E44" w:rsidRPr="00C44E44" w:rsidRDefault="00C44E44" w:rsidP="00E373FB">
            <w:pPr>
              <w:pStyle w:val="Tabletext"/>
              <w:rPr>
                <w:sz w:val="24"/>
              </w:rPr>
            </w:pPr>
            <w:r w:rsidRPr="00C44E44">
              <w:rPr>
                <w:sz w:val="24"/>
              </w:rPr>
              <w:t>Minor</w:t>
            </w:r>
          </w:p>
        </w:tc>
      </w:tr>
      <w:tr w:rsidR="00C44E44" w:rsidRPr="002B7E1B" w14:paraId="0F6D4DFB" w14:textId="77777777" w:rsidTr="00E373FB">
        <w:trPr>
          <w:jc w:val="center"/>
        </w:trPr>
        <w:tc>
          <w:tcPr>
            <w:tcW w:w="4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BEB639" w14:textId="77777777" w:rsidR="00C44E44" w:rsidRPr="00C44E44" w:rsidRDefault="00C44E44" w:rsidP="00007ED6">
            <w:pPr>
              <w:pStyle w:val="Tabletext"/>
              <w:keepNext/>
              <w:rPr>
                <w:b/>
                <w:bCs w:val="0"/>
                <w:sz w:val="24"/>
              </w:rPr>
            </w:pPr>
            <w:r w:rsidRPr="00C44E44">
              <w:rPr>
                <w:b/>
                <w:bCs w:val="0"/>
                <w:sz w:val="24"/>
              </w:rPr>
              <w:t>Risk score</w:t>
            </w:r>
          </w:p>
        </w:tc>
        <w:tc>
          <w:tcPr>
            <w:tcW w:w="1559" w:type="dxa"/>
            <w:tcBorders>
              <w:top w:val="single" w:sz="8" w:space="0" w:color="auto"/>
              <w:left w:val="nil"/>
              <w:bottom w:val="single" w:sz="8" w:space="0" w:color="auto"/>
              <w:right w:val="single" w:sz="8" w:space="0" w:color="auto"/>
            </w:tcBorders>
          </w:tcPr>
          <w:p w14:paraId="17616BB2" w14:textId="77777777" w:rsidR="00C44E44" w:rsidRPr="00C44E44" w:rsidRDefault="00C44E44" w:rsidP="00E373FB">
            <w:pPr>
              <w:pStyle w:val="Tabletext"/>
              <w:rPr>
                <w:sz w:val="24"/>
              </w:rPr>
            </w:pPr>
            <w:r w:rsidRPr="00C44E44">
              <w:rPr>
                <w:sz w:val="24"/>
              </w:rPr>
              <w:t>7.76</w:t>
            </w:r>
          </w:p>
        </w:tc>
      </w:tr>
      <w:tr w:rsidR="00C44E44" w:rsidRPr="002B7E1B" w14:paraId="44559F87" w14:textId="77777777" w:rsidTr="00E373FB">
        <w:trPr>
          <w:jc w:val="center"/>
        </w:trPr>
        <w:tc>
          <w:tcPr>
            <w:tcW w:w="4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F554024" w14:textId="77777777" w:rsidR="00C44E44" w:rsidRPr="00C44E44" w:rsidRDefault="00C44E44" w:rsidP="00E373FB">
            <w:pPr>
              <w:pStyle w:val="Tabletext"/>
              <w:rPr>
                <w:b/>
                <w:bCs w:val="0"/>
                <w:sz w:val="24"/>
              </w:rPr>
            </w:pPr>
            <w:r w:rsidRPr="00C44E44">
              <w:rPr>
                <w:b/>
                <w:bCs w:val="0"/>
                <w:sz w:val="24"/>
              </w:rPr>
              <w:t>Overall assessment</w:t>
            </w:r>
          </w:p>
        </w:tc>
        <w:tc>
          <w:tcPr>
            <w:tcW w:w="1559" w:type="dxa"/>
            <w:tcBorders>
              <w:top w:val="single" w:sz="8" w:space="0" w:color="auto"/>
              <w:left w:val="nil"/>
              <w:bottom w:val="single" w:sz="8" w:space="0" w:color="auto"/>
              <w:right w:val="single" w:sz="8" w:space="0" w:color="auto"/>
            </w:tcBorders>
            <w:shd w:val="clear" w:color="auto" w:fill="FFC000" w:themeFill="accent4"/>
          </w:tcPr>
          <w:p w14:paraId="348A9A7E" w14:textId="77777777" w:rsidR="00C44E44" w:rsidRPr="00C44E44" w:rsidRDefault="00C44E44" w:rsidP="00E373FB">
            <w:pPr>
              <w:pStyle w:val="Tabletext"/>
              <w:rPr>
                <w:sz w:val="24"/>
              </w:rPr>
            </w:pPr>
            <w:r w:rsidRPr="00C44E44">
              <w:rPr>
                <w:sz w:val="24"/>
              </w:rPr>
              <w:t>High</w:t>
            </w:r>
          </w:p>
        </w:tc>
      </w:tr>
    </w:tbl>
    <w:p w14:paraId="24DDFFFF" w14:textId="77777777" w:rsidR="00C44E44" w:rsidRDefault="00C44E44" w:rsidP="00007ED6">
      <w:pPr>
        <w:pStyle w:val="NoSpacing"/>
        <w:rPr>
          <w:highlight w:val="yellow"/>
        </w:rPr>
      </w:pPr>
    </w:p>
    <w:p w14:paraId="724E02B7" w14:textId="77777777" w:rsidR="00C44E44" w:rsidRPr="0004701D" w:rsidRDefault="00C44E44" w:rsidP="00C44E44">
      <w:pPr>
        <w:pStyle w:val="Heading2"/>
        <w:rPr>
          <w:b w:val="0"/>
        </w:rPr>
      </w:pPr>
      <w:bookmarkStart w:id="90" w:name="_Toc208329968"/>
      <w:r w:rsidRPr="0004701D">
        <w:t>Removal of people from objects and Removal of objects from people</w:t>
      </w:r>
      <w:bookmarkEnd w:id="90"/>
    </w:p>
    <w:p w14:paraId="35CB0BC9" w14:textId="77777777" w:rsidR="00C44E44" w:rsidRPr="0004701D" w:rsidRDefault="00C44E44" w:rsidP="00C44E44">
      <w:r w:rsidRPr="0004701D">
        <w:t xml:space="preserve">People often get stuck, some very seriously and sometimes through no fault of their own.  Fire and rescue services log callouts in a number of categories, including ‘removal of people from objects’ and the rather more wince-inducing ‘removal of objects from people’.  Quite often, these incidents are as simple as removing a ring from a finger, however sometimes over-confidence is to blame, having been spurred on by other people and </w:t>
      </w:r>
      <w:r w:rsidRPr="0004701D">
        <w:lastRenderedPageBreak/>
        <w:t xml:space="preserve">showing off, resulting in people getting stuck in objects that take fire and rescue service’s a little more time and resources to successfully deal with. </w:t>
      </w:r>
    </w:p>
    <w:p w14:paraId="0F963C3A" w14:textId="77777777" w:rsidR="00C44E44" w:rsidRPr="0004701D" w:rsidRDefault="00C44E44" w:rsidP="00C44E44">
      <w:pPr>
        <w:spacing w:before="60" w:after="60" w:line="240" w:lineRule="auto"/>
      </w:pPr>
      <w:r w:rsidRPr="0004701D">
        <w:t>Removal of objects from people</w:t>
      </w:r>
    </w:p>
    <w:p w14:paraId="1191471A" w14:textId="2BF969BB" w:rsidR="00C44E44" w:rsidRPr="00D0558B" w:rsidRDefault="00C44E44" w:rsidP="00C44E44">
      <w:r w:rsidRPr="00CE7BDE">
        <w:t xml:space="preserve">Over the previous five years, we have attended </w:t>
      </w:r>
      <w:r w:rsidR="00CE7BDE" w:rsidRPr="0085725E">
        <w:t>435</w:t>
      </w:r>
      <w:r w:rsidR="00CE7BDE" w:rsidRPr="00CE7BDE">
        <w:t xml:space="preserve"> </w:t>
      </w:r>
      <w:r w:rsidRPr="00CE7BDE">
        <w:t xml:space="preserve">incidents of this type.  This equates to an average of </w:t>
      </w:r>
      <w:r w:rsidR="00CE7BDE" w:rsidRPr="0085725E">
        <w:t>87</w:t>
      </w:r>
      <w:r w:rsidR="00CE7BDE" w:rsidRPr="00CE7BDE">
        <w:t xml:space="preserve"> </w:t>
      </w:r>
      <w:r w:rsidRPr="00CE7BDE">
        <w:t xml:space="preserve">incidents a </w:t>
      </w:r>
      <w:r w:rsidRPr="00D0558B">
        <w:t xml:space="preserve">year.  Ring removal accounted for </w:t>
      </w:r>
      <w:r w:rsidR="00C211D5" w:rsidRPr="0085725E">
        <w:t>75</w:t>
      </w:r>
      <w:r w:rsidRPr="00D0558B">
        <w:t>% of these incidents with other incidents attended including impalements, handcuff removal and removal of other objects such as railings.</w:t>
      </w:r>
    </w:p>
    <w:p w14:paraId="0D61759C" w14:textId="77777777" w:rsidR="00C44E44" w:rsidRPr="0085725E" w:rsidRDefault="00C44E44" w:rsidP="00C44E44">
      <w:pPr>
        <w:pStyle w:val="NoSpacing"/>
        <w:rPr>
          <w:highlight w:val="yellow"/>
        </w:rPr>
      </w:pPr>
    </w:p>
    <w:tbl>
      <w:tblPr>
        <w:tblStyle w:val="TableGrid"/>
        <w:tblW w:w="0" w:type="auto"/>
        <w:jc w:val="center"/>
        <w:tblLayout w:type="fixed"/>
        <w:tblLook w:val="04A0" w:firstRow="1" w:lastRow="0" w:firstColumn="1" w:lastColumn="0" w:noHBand="0" w:noVBand="1"/>
        <w:tblCaption w:val="Risk - removal of objects from people"/>
        <w:tblDescription w:val="A table detailing the likelihood, consequence, risk score and overall assessment"/>
      </w:tblPr>
      <w:tblGrid>
        <w:gridCol w:w="4668"/>
        <w:gridCol w:w="1701"/>
      </w:tblGrid>
      <w:tr w:rsidR="00C44E44" w:rsidRPr="002B7E1B" w14:paraId="25027F24" w14:textId="77777777" w:rsidTr="00E373FB">
        <w:trPr>
          <w:tblHeader/>
          <w:jc w:val="center"/>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E987E2" w14:textId="77777777" w:rsidR="00C44E44" w:rsidRPr="00C44E44" w:rsidRDefault="00C44E44" w:rsidP="00007ED6">
            <w:pPr>
              <w:pStyle w:val="Tabletext"/>
              <w:keepNext/>
              <w:rPr>
                <w:sz w:val="24"/>
              </w:rPr>
            </w:pPr>
            <w:r w:rsidRPr="00C44E44">
              <w:rPr>
                <w:b/>
                <w:bCs w:val="0"/>
                <w:sz w:val="24"/>
              </w:rPr>
              <w:t>Risk – Removal of objects from people</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00EDB5F" w14:textId="77777777" w:rsidR="00C44E44" w:rsidRPr="00C44E44" w:rsidRDefault="00C44E44" w:rsidP="00E373FB">
            <w:pPr>
              <w:pStyle w:val="Tabletext"/>
              <w:rPr>
                <w:sz w:val="24"/>
              </w:rPr>
            </w:pPr>
            <w:r w:rsidRPr="00C44E44">
              <w:rPr>
                <w:b/>
                <w:sz w:val="24"/>
              </w:rPr>
              <w:t>Rating</w:t>
            </w:r>
          </w:p>
        </w:tc>
      </w:tr>
      <w:tr w:rsidR="00C44E44" w:rsidRPr="002B7E1B" w14:paraId="0F8EFF06" w14:textId="77777777" w:rsidTr="00E373FB">
        <w:trPr>
          <w:jc w:val="center"/>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BD44152" w14:textId="77777777" w:rsidR="00C44E44" w:rsidRPr="00C44E44" w:rsidRDefault="00C44E44" w:rsidP="00007ED6">
            <w:pPr>
              <w:pStyle w:val="Tabletext"/>
              <w:keepNext/>
              <w:rPr>
                <w:b/>
                <w:bCs w:val="0"/>
                <w:sz w:val="24"/>
              </w:rPr>
            </w:pPr>
            <w:r w:rsidRPr="00C44E44">
              <w:rPr>
                <w:b/>
                <w:bCs w:val="0"/>
                <w:sz w:val="24"/>
              </w:rPr>
              <w:t>Likelihood</w:t>
            </w:r>
          </w:p>
        </w:tc>
        <w:tc>
          <w:tcPr>
            <w:tcW w:w="1701" w:type="dxa"/>
            <w:tcBorders>
              <w:top w:val="nil"/>
              <w:left w:val="nil"/>
              <w:bottom w:val="single" w:sz="8" w:space="0" w:color="auto"/>
              <w:right w:val="single" w:sz="8" w:space="0" w:color="auto"/>
            </w:tcBorders>
          </w:tcPr>
          <w:p w14:paraId="48DADE4D" w14:textId="77777777" w:rsidR="00C44E44" w:rsidRPr="00C44E44" w:rsidRDefault="00C44E44" w:rsidP="00E373FB">
            <w:pPr>
              <w:pStyle w:val="Tabletext"/>
              <w:rPr>
                <w:sz w:val="24"/>
              </w:rPr>
            </w:pPr>
            <w:r w:rsidRPr="00C44E44">
              <w:rPr>
                <w:sz w:val="24"/>
              </w:rPr>
              <w:t>Medium High</w:t>
            </w:r>
          </w:p>
        </w:tc>
      </w:tr>
      <w:tr w:rsidR="00C44E44" w:rsidRPr="002B7E1B" w14:paraId="5F25CF8A" w14:textId="77777777" w:rsidTr="00E373FB">
        <w:trPr>
          <w:jc w:val="center"/>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DA54DB" w14:textId="77777777" w:rsidR="00C44E44" w:rsidRPr="00C44E44" w:rsidRDefault="00C44E44" w:rsidP="00007ED6">
            <w:pPr>
              <w:pStyle w:val="Tabletext"/>
              <w:keepNext/>
              <w:rPr>
                <w:b/>
                <w:bCs w:val="0"/>
                <w:sz w:val="24"/>
              </w:rPr>
            </w:pPr>
            <w:r w:rsidRPr="00C44E44">
              <w:rPr>
                <w:b/>
                <w:bCs w:val="0"/>
                <w:sz w:val="24"/>
              </w:rPr>
              <w:t>Consequence</w:t>
            </w:r>
          </w:p>
        </w:tc>
        <w:tc>
          <w:tcPr>
            <w:tcW w:w="1701" w:type="dxa"/>
            <w:tcBorders>
              <w:top w:val="single" w:sz="8" w:space="0" w:color="auto"/>
              <w:left w:val="nil"/>
              <w:bottom w:val="single" w:sz="8" w:space="0" w:color="auto"/>
              <w:right w:val="single" w:sz="8" w:space="0" w:color="auto"/>
            </w:tcBorders>
          </w:tcPr>
          <w:p w14:paraId="01F640EF" w14:textId="77777777" w:rsidR="00C44E44" w:rsidRPr="00C44E44" w:rsidRDefault="00C44E44" w:rsidP="00E373FB">
            <w:pPr>
              <w:pStyle w:val="Tabletext"/>
              <w:rPr>
                <w:sz w:val="24"/>
              </w:rPr>
            </w:pPr>
            <w:r w:rsidRPr="00C44E44">
              <w:rPr>
                <w:sz w:val="24"/>
              </w:rPr>
              <w:t>Limited</w:t>
            </w:r>
          </w:p>
        </w:tc>
      </w:tr>
      <w:tr w:rsidR="00C44E44" w:rsidRPr="002B7E1B" w14:paraId="0CE6AFD2" w14:textId="77777777" w:rsidTr="00E373FB">
        <w:trPr>
          <w:jc w:val="center"/>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97BC3F" w14:textId="77777777" w:rsidR="00C44E44" w:rsidRPr="00C44E44" w:rsidRDefault="00C44E44" w:rsidP="00007ED6">
            <w:pPr>
              <w:pStyle w:val="Tabletext"/>
              <w:keepNext/>
              <w:rPr>
                <w:b/>
                <w:bCs w:val="0"/>
                <w:sz w:val="24"/>
              </w:rPr>
            </w:pPr>
            <w:r w:rsidRPr="00C44E44">
              <w:rPr>
                <w:b/>
                <w:bCs w:val="0"/>
                <w:sz w:val="24"/>
              </w:rPr>
              <w:t>Risk score</w:t>
            </w:r>
          </w:p>
        </w:tc>
        <w:tc>
          <w:tcPr>
            <w:tcW w:w="1701" w:type="dxa"/>
            <w:tcBorders>
              <w:top w:val="single" w:sz="8" w:space="0" w:color="auto"/>
              <w:left w:val="nil"/>
              <w:bottom w:val="single" w:sz="8" w:space="0" w:color="auto"/>
              <w:right w:val="single" w:sz="8" w:space="0" w:color="auto"/>
            </w:tcBorders>
          </w:tcPr>
          <w:p w14:paraId="001DA8F0" w14:textId="77777777" w:rsidR="00C44E44" w:rsidRPr="00C44E44" w:rsidRDefault="00C44E44" w:rsidP="00E373FB">
            <w:pPr>
              <w:pStyle w:val="Tabletext"/>
              <w:rPr>
                <w:sz w:val="24"/>
              </w:rPr>
            </w:pPr>
            <w:r w:rsidRPr="00C44E44">
              <w:rPr>
                <w:sz w:val="24"/>
              </w:rPr>
              <w:t>7.67</w:t>
            </w:r>
          </w:p>
        </w:tc>
      </w:tr>
      <w:tr w:rsidR="00C44E44" w:rsidRPr="002B7E1B" w14:paraId="11352C67" w14:textId="77777777" w:rsidTr="00E373FB">
        <w:trPr>
          <w:jc w:val="center"/>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F3BA59" w14:textId="77777777" w:rsidR="00C44E44" w:rsidRPr="00C44E44" w:rsidRDefault="00C44E44" w:rsidP="00E373FB">
            <w:pPr>
              <w:pStyle w:val="Tabletext"/>
              <w:rPr>
                <w:b/>
                <w:bCs w:val="0"/>
                <w:sz w:val="24"/>
              </w:rPr>
            </w:pPr>
            <w:r w:rsidRPr="00C44E44">
              <w:rPr>
                <w:b/>
                <w:bCs w:val="0"/>
                <w:sz w:val="24"/>
              </w:rPr>
              <w:t>Overall assessment</w:t>
            </w:r>
          </w:p>
        </w:tc>
        <w:tc>
          <w:tcPr>
            <w:tcW w:w="1701" w:type="dxa"/>
            <w:tcBorders>
              <w:top w:val="single" w:sz="8" w:space="0" w:color="auto"/>
              <w:left w:val="nil"/>
              <w:bottom w:val="single" w:sz="8" w:space="0" w:color="auto"/>
              <w:right w:val="single" w:sz="8" w:space="0" w:color="auto"/>
            </w:tcBorders>
            <w:shd w:val="clear" w:color="auto" w:fill="FFC000"/>
          </w:tcPr>
          <w:p w14:paraId="0940ACE3" w14:textId="77777777" w:rsidR="00C44E44" w:rsidRPr="00C44E44" w:rsidRDefault="00C44E44" w:rsidP="00E373FB">
            <w:pPr>
              <w:pStyle w:val="Tabletext"/>
              <w:rPr>
                <w:sz w:val="24"/>
              </w:rPr>
            </w:pPr>
            <w:r w:rsidRPr="00C44E44">
              <w:rPr>
                <w:sz w:val="24"/>
              </w:rPr>
              <w:t>High</w:t>
            </w:r>
          </w:p>
        </w:tc>
      </w:tr>
    </w:tbl>
    <w:p w14:paraId="204E99B3" w14:textId="77777777" w:rsidR="00C44E44" w:rsidRDefault="00C44E44" w:rsidP="00007ED6">
      <w:pPr>
        <w:pStyle w:val="NoSpacing"/>
        <w:rPr>
          <w:highlight w:val="yellow"/>
        </w:rPr>
      </w:pPr>
    </w:p>
    <w:p w14:paraId="55BB461D" w14:textId="77777777" w:rsidR="00C44E44" w:rsidRPr="0004701D" w:rsidRDefault="00C44E44" w:rsidP="00C44E44">
      <w:pPr>
        <w:pStyle w:val="Heading2"/>
        <w:rPr>
          <w:b w:val="0"/>
        </w:rPr>
      </w:pPr>
      <w:bookmarkStart w:id="91" w:name="_Toc208329969"/>
      <w:r w:rsidRPr="0004701D">
        <w:t>Rescue from height</w:t>
      </w:r>
      <w:bookmarkEnd w:id="91"/>
    </w:p>
    <w:p w14:paraId="0C7DA972" w14:textId="77777777" w:rsidR="00C44E44" w:rsidRPr="0085725E" w:rsidRDefault="00C44E44" w:rsidP="00C44E44">
      <w:pPr>
        <w:rPr>
          <w:highlight w:val="yellow"/>
        </w:rPr>
      </w:pPr>
      <w:r w:rsidRPr="0004701D">
        <w:t xml:space="preserve">Nationally, the fire and rescue service respond to a wide range of incidents at height involving a variety of environments, such as industry, buildings/dwellings (including buildings under construction) and natural environments (such as steep ground, rock faces).  Locally, </w:t>
      </w:r>
      <w:r w:rsidRPr="0004701D">
        <w:rPr>
          <w:lang w:eastAsia="en-GB"/>
        </w:rPr>
        <w:t>Lancashire Fire and Rescue Service</w:t>
      </w:r>
      <w:r w:rsidRPr="0004701D">
        <w:t xml:space="preserve"> covers a wide geographical area, including coastlines to the west, and fells and dales to the north.  We respond to incidents where people are stranded in inaccessible locations without specially trained rope rescue equipment, and where there is a high level </w:t>
      </w:r>
      <w:r w:rsidRPr="0037598D">
        <w:t xml:space="preserve">of risk.  Every wholetime firefighter in </w:t>
      </w:r>
      <w:r w:rsidRPr="0037598D">
        <w:rPr>
          <w:lang w:eastAsia="en-GB"/>
        </w:rPr>
        <w:t>Lancashire Fire and Rescue Service</w:t>
      </w:r>
      <w:r w:rsidRPr="0037598D">
        <w:t xml:space="preserve"> is trained to carry out a rescue using a rope pack and associated equipment, backed up by specialist teams from Chorley, or Bamber Bridge.</w:t>
      </w:r>
    </w:p>
    <w:p w14:paraId="4BDA24E6" w14:textId="79D3AF36" w:rsidR="00C44E44" w:rsidRPr="00D0558B" w:rsidRDefault="00C44E44" w:rsidP="00C44E44">
      <w:r w:rsidRPr="00CE7BDE">
        <w:t xml:space="preserve">Over the previous five years, we attended an average of </w:t>
      </w:r>
      <w:r w:rsidR="00CE7BDE" w:rsidRPr="0085725E">
        <w:t>67</w:t>
      </w:r>
      <w:r w:rsidR="00CE7BDE" w:rsidRPr="00CE7BDE">
        <w:t xml:space="preserve"> </w:t>
      </w:r>
      <w:r w:rsidRPr="00CE7BDE">
        <w:t xml:space="preserve">rescues from height incidents a year.  This equates to </w:t>
      </w:r>
      <w:r w:rsidR="00CE7BDE" w:rsidRPr="0085725E">
        <w:t>337</w:t>
      </w:r>
      <w:r w:rsidR="00CE7BDE" w:rsidRPr="00CE7BDE">
        <w:t xml:space="preserve"> </w:t>
      </w:r>
      <w:r w:rsidRPr="00CE7BDE">
        <w:t xml:space="preserve">incidents in total.  </w:t>
      </w:r>
      <w:r w:rsidRPr="00D0558B">
        <w:t xml:space="preserve">Of these, </w:t>
      </w:r>
      <w:r w:rsidR="00C211D5" w:rsidRPr="0085725E">
        <w:t>35</w:t>
      </w:r>
      <w:r w:rsidRPr="00D0558B">
        <w:t xml:space="preserve">% involved non-residential buildings, </w:t>
      </w:r>
      <w:r w:rsidR="00C211D5" w:rsidRPr="0085725E">
        <w:t>27</w:t>
      </w:r>
      <w:r w:rsidRPr="00D0558B">
        <w:t xml:space="preserve">% involved domestic dwellings and </w:t>
      </w:r>
      <w:r w:rsidR="00C211D5" w:rsidRPr="0085725E">
        <w:t>32</w:t>
      </w:r>
      <w:r w:rsidRPr="00D0558B">
        <w:t xml:space="preserve">% involved the outdoors, including rescues from trees and equipment in parks.  This incident type saw </w:t>
      </w:r>
      <w:r w:rsidR="00C211D5" w:rsidRPr="0085725E">
        <w:t>15</w:t>
      </w:r>
      <w:r w:rsidR="00C211D5" w:rsidRPr="00D0558B">
        <w:t xml:space="preserve"> </w:t>
      </w:r>
      <w:r w:rsidRPr="00D0558B">
        <w:t xml:space="preserve">serious injuries and </w:t>
      </w:r>
      <w:r w:rsidR="00C211D5" w:rsidRPr="0085725E">
        <w:t>28</w:t>
      </w:r>
      <w:r w:rsidR="00C211D5" w:rsidRPr="00D0558B">
        <w:t xml:space="preserve"> </w:t>
      </w:r>
      <w:r w:rsidRPr="00D0558B">
        <w:t>minor injuries.</w:t>
      </w:r>
    </w:p>
    <w:p w14:paraId="0AC66506" w14:textId="77777777" w:rsidR="00C44E44" w:rsidRPr="0085725E" w:rsidRDefault="00C44E44" w:rsidP="00C44E44">
      <w:pPr>
        <w:pStyle w:val="NoSpacing"/>
        <w:rPr>
          <w:highlight w:val="yellow"/>
        </w:rPr>
      </w:pPr>
    </w:p>
    <w:tbl>
      <w:tblPr>
        <w:tblStyle w:val="TableGrid"/>
        <w:tblW w:w="0" w:type="auto"/>
        <w:jc w:val="center"/>
        <w:tblLayout w:type="fixed"/>
        <w:tblLook w:val="04A0" w:firstRow="1" w:lastRow="0" w:firstColumn="1" w:lastColumn="0" w:noHBand="0" w:noVBand="1"/>
        <w:tblCaption w:val="Risk - rescue from height"/>
        <w:tblDescription w:val="A table detailing the likelihood, consequence, risk score and overall assessment"/>
      </w:tblPr>
      <w:tblGrid>
        <w:gridCol w:w="4101"/>
        <w:gridCol w:w="2021"/>
      </w:tblGrid>
      <w:tr w:rsidR="00C44E44" w:rsidRPr="002B7E1B" w14:paraId="49058D8F" w14:textId="77777777" w:rsidTr="00E373FB">
        <w:trPr>
          <w:tblHeade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1E4602" w14:textId="77777777" w:rsidR="00C44E44" w:rsidRPr="00C44E44" w:rsidRDefault="00C44E44" w:rsidP="00007ED6">
            <w:pPr>
              <w:pStyle w:val="Tabletext"/>
              <w:keepNext/>
              <w:rPr>
                <w:sz w:val="24"/>
              </w:rPr>
            </w:pPr>
            <w:r w:rsidRPr="00C44E44">
              <w:rPr>
                <w:b/>
                <w:bCs w:val="0"/>
                <w:sz w:val="24"/>
              </w:rPr>
              <w:lastRenderedPageBreak/>
              <w:t>Risk – Rescue from height</w:t>
            </w:r>
          </w:p>
        </w:tc>
        <w:tc>
          <w:tcPr>
            <w:tcW w:w="20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70A8B9" w14:textId="77777777" w:rsidR="00C44E44" w:rsidRPr="00C44E44" w:rsidRDefault="00C44E44" w:rsidP="00E373FB">
            <w:pPr>
              <w:pStyle w:val="Tabletext"/>
              <w:rPr>
                <w:sz w:val="24"/>
              </w:rPr>
            </w:pPr>
            <w:r w:rsidRPr="00C44E44">
              <w:rPr>
                <w:b/>
                <w:sz w:val="24"/>
              </w:rPr>
              <w:t>Rating</w:t>
            </w:r>
          </w:p>
        </w:tc>
      </w:tr>
      <w:tr w:rsidR="00C44E44" w:rsidRPr="002B7E1B" w14:paraId="2DA63E6A" w14:textId="77777777" w:rsidTr="00E373FB">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14844F" w14:textId="77777777" w:rsidR="00C44E44" w:rsidRPr="00C44E44" w:rsidRDefault="00C44E44" w:rsidP="00007ED6">
            <w:pPr>
              <w:pStyle w:val="Tabletext"/>
              <w:keepNext/>
              <w:rPr>
                <w:b/>
                <w:bCs w:val="0"/>
                <w:sz w:val="24"/>
              </w:rPr>
            </w:pPr>
            <w:r w:rsidRPr="00C44E44">
              <w:rPr>
                <w:b/>
                <w:bCs w:val="0"/>
                <w:sz w:val="24"/>
              </w:rPr>
              <w:t>Likelihood</w:t>
            </w:r>
          </w:p>
        </w:tc>
        <w:tc>
          <w:tcPr>
            <w:tcW w:w="2021" w:type="dxa"/>
            <w:tcBorders>
              <w:top w:val="nil"/>
              <w:left w:val="nil"/>
              <w:bottom w:val="single" w:sz="8" w:space="0" w:color="auto"/>
              <w:right w:val="single" w:sz="8" w:space="0" w:color="auto"/>
            </w:tcBorders>
          </w:tcPr>
          <w:p w14:paraId="2F24B0FA" w14:textId="77777777" w:rsidR="00C44E44" w:rsidRPr="00C44E44" w:rsidRDefault="00C44E44" w:rsidP="00E373FB">
            <w:pPr>
              <w:pStyle w:val="Tabletext"/>
              <w:rPr>
                <w:sz w:val="24"/>
              </w:rPr>
            </w:pPr>
            <w:r w:rsidRPr="00C44E44">
              <w:rPr>
                <w:sz w:val="24"/>
              </w:rPr>
              <w:t>Medium High</w:t>
            </w:r>
          </w:p>
        </w:tc>
      </w:tr>
      <w:tr w:rsidR="00C44E44" w:rsidRPr="002B7E1B" w14:paraId="714A20D1" w14:textId="77777777" w:rsidTr="00E373FB">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B528F2" w14:textId="77777777" w:rsidR="00C44E44" w:rsidRPr="00C44E44" w:rsidRDefault="00C44E44" w:rsidP="00007ED6">
            <w:pPr>
              <w:pStyle w:val="Tabletext"/>
              <w:keepNext/>
              <w:rPr>
                <w:b/>
                <w:bCs w:val="0"/>
                <w:sz w:val="24"/>
              </w:rPr>
            </w:pPr>
            <w:r w:rsidRPr="00C44E44">
              <w:rPr>
                <w:b/>
                <w:bCs w:val="0"/>
                <w:sz w:val="24"/>
              </w:rPr>
              <w:t>Consequence</w:t>
            </w:r>
          </w:p>
        </w:tc>
        <w:tc>
          <w:tcPr>
            <w:tcW w:w="2021" w:type="dxa"/>
            <w:tcBorders>
              <w:top w:val="single" w:sz="8" w:space="0" w:color="auto"/>
              <w:left w:val="nil"/>
              <w:bottom w:val="single" w:sz="8" w:space="0" w:color="auto"/>
              <w:right w:val="single" w:sz="8" w:space="0" w:color="auto"/>
            </w:tcBorders>
          </w:tcPr>
          <w:p w14:paraId="09F0ADD9" w14:textId="77777777" w:rsidR="00C44E44" w:rsidRPr="00C44E44" w:rsidRDefault="00C44E44" w:rsidP="00E373FB">
            <w:pPr>
              <w:pStyle w:val="Tabletext"/>
              <w:rPr>
                <w:sz w:val="24"/>
              </w:rPr>
            </w:pPr>
            <w:r w:rsidRPr="00C44E44">
              <w:rPr>
                <w:sz w:val="24"/>
              </w:rPr>
              <w:t>Limited</w:t>
            </w:r>
          </w:p>
        </w:tc>
      </w:tr>
      <w:tr w:rsidR="00C44E44" w:rsidRPr="002B7E1B" w14:paraId="0CFA03FD" w14:textId="77777777" w:rsidTr="00E373FB">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D9DA9A" w14:textId="77777777" w:rsidR="00C44E44" w:rsidRPr="00C44E44" w:rsidRDefault="00C44E44" w:rsidP="00007ED6">
            <w:pPr>
              <w:pStyle w:val="Tabletext"/>
              <w:keepNext/>
              <w:rPr>
                <w:b/>
                <w:bCs w:val="0"/>
                <w:sz w:val="24"/>
              </w:rPr>
            </w:pPr>
            <w:r w:rsidRPr="00C44E44">
              <w:rPr>
                <w:b/>
                <w:bCs w:val="0"/>
                <w:sz w:val="24"/>
              </w:rPr>
              <w:t>Risk score</w:t>
            </w:r>
          </w:p>
        </w:tc>
        <w:tc>
          <w:tcPr>
            <w:tcW w:w="2021" w:type="dxa"/>
            <w:tcBorders>
              <w:top w:val="single" w:sz="8" w:space="0" w:color="auto"/>
              <w:left w:val="nil"/>
              <w:bottom w:val="single" w:sz="8" w:space="0" w:color="auto"/>
              <w:right w:val="single" w:sz="8" w:space="0" w:color="auto"/>
            </w:tcBorders>
          </w:tcPr>
          <w:p w14:paraId="17A41659" w14:textId="0B1F207F" w:rsidR="00C44E44" w:rsidRPr="00C44E44" w:rsidRDefault="00C44E44" w:rsidP="00E373FB">
            <w:pPr>
              <w:pStyle w:val="Tabletext"/>
              <w:rPr>
                <w:sz w:val="24"/>
              </w:rPr>
            </w:pPr>
            <w:r w:rsidRPr="00C44E44">
              <w:rPr>
                <w:sz w:val="24"/>
              </w:rPr>
              <w:t>7.49</w:t>
            </w:r>
          </w:p>
        </w:tc>
      </w:tr>
      <w:tr w:rsidR="00C44E44" w:rsidRPr="002B7E1B" w14:paraId="68922073" w14:textId="77777777" w:rsidTr="00674C09">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77C877" w14:textId="77777777" w:rsidR="00C44E44" w:rsidRPr="00C44E44" w:rsidRDefault="00C44E44" w:rsidP="00E373FB">
            <w:pPr>
              <w:pStyle w:val="Tabletext"/>
              <w:rPr>
                <w:b/>
                <w:bCs w:val="0"/>
                <w:sz w:val="24"/>
              </w:rPr>
            </w:pPr>
            <w:r w:rsidRPr="00C44E44">
              <w:rPr>
                <w:b/>
                <w:bCs w:val="0"/>
                <w:sz w:val="24"/>
              </w:rPr>
              <w:t>Overall assessment</w:t>
            </w:r>
          </w:p>
        </w:tc>
        <w:tc>
          <w:tcPr>
            <w:tcW w:w="2021" w:type="dxa"/>
            <w:tcBorders>
              <w:top w:val="single" w:sz="8" w:space="0" w:color="auto"/>
              <w:left w:val="nil"/>
              <w:bottom w:val="single" w:sz="8" w:space="0" w:color="auto"/>
              <w:right w:val="single" w:sz="8" w:space="0" w:color="auto"/>
            </w:tcBorders>
            <w:shd w:val="clear" w:color="auto" w:fill="FFC000"/>
          </w:tcPr>
          <w:p w14:paraId="045268FB" w14:textId="08449303" w:rsidR="00C44E44" w:rsidRPr="00C44E44" w:rsidRDefault="00C44E44" w:rsidP="00E373FB">
            <w:pPr>
              <w:pStyle w:val="Tabletext"/>
              <w:rPr>
                <w:color w:val="FFFFFF" w:themeColor="background1"/>
                <w:sz w:val="24"/>
              </w:rPr>
            </w:pPr>
            <w:r w:rsidRPr="00674C09">
              <w:rPr>
                <w:sz w:val="24"/>
              </w:rPr>
              <w:t>High</w:t>
            </w:r>
          </w:p>
        </w:tc>
      </w:tr>
    </w:tbl>
    <w:p w14:paraId="4EF02A84" w14:textId="77777777" w:rsidR="00C44E44" w:rsidRDefault="00C44E44" w:rsidP="00007ED6">
      <w:pPr>
        <w:pStyle w:val="NoSpacing"/>
        <w:rPr>
          <w:highlight w:val="yellow"/>
        </w:rPr>
      </w:pPr>
    </w:p>
    <w:p w14:paraId="656D02A5" w14:textId="3FB99E06" w:rsidR="005067E2" w:rsidRPr="0004701D" w:rsidRDefault="005067E2" w:rsidP="005067E2">
      <w:pPr>
        <w:pStyle w:val="Heading2"/>
        <w:rPr>
          <w:b w:val="0"/>
        </w:rPr>
      </w:pPr>
      <w:bookmarkStart w:id="92" w:name="_Toc208329970"/>
      <w:r w:rsidRPr="0004701D">
        <w:t>Waste disposal site fires</w:t>
      </w:r>
      <w:bookmarkEnd w:id="92"/>
    </w:p>
    <w:p w14:paraId="220B6935" w14:textId="77777777" w:rsidR="005067E2" w:rsidRPr="0004701D" w:rsidRDefault="005067E2" w:rsidP="005067E2">
      <w:r w:rsidRPr="0004701D">
        <w:t>Waste disposal sites nationally are recognised as being susceptible to fires, whether accidental or through negligence.  Such fires are an increasingly growing risk and have the potential to impact upon resources and local communities for a significant period.</w:t>
      </w:r>
    </w:p>
    <w:p w14:paraId="2ACFD3FF" w14:textId="77777777" w:rsidR="005067E2" w:rsidRPr="0004701D" w:rsidRDefault="005067E2" w:rsidP="005067E2">
      <w:r w:rsidRPr="0004701D">
        <w:t>As well as the health risk to the residents of Lancashire, and firefighters dealing with this type of incident, waste disposal site fires also place a strain on partner agencies such as the Police, Environment Agency, public health, local authorities and the site owners.</w:t>
      </w:r>
    </w:p>
    <w:p w14:paraId="0204AAE4" w14:textId="77777777" w:rsidR="005067E2" w:rsidRPr="0004701D" w:rsidRDefault="005067E2" w:rsidP="005067E2">
      <w:r w:rsidRPr="0004701D">
        <w:t>There are several waste disposal and recycling centres across the Service area, including a mix of local authority-owned and privately-owned sites.  The local authority-owned sites are often regulated by regulatory bodies such as the Environment Agency, while the private sites are regularly managed through unclear management structures.</w:t>
      </w:r>
    </w:p>
    <w:p w14:paraId="081CAAB9" w14:textId="77777777" w:rsidR="005067E2" w:rsidRPr="0004701D" w:rsidRDefault="005067E2" w:rsidP="005067E2">
      <w:r w:rsidRPr="0004701D">
        <w:t>For this document, ‘waste disposal site fires’ are defined as primary fires where a recycling or refuse structure has been affected.</w:t>
      </w:r>
    </w:p>
    <w:p w14:paraId="4ECE3009" w14:textId="284FB039" w:rsidR="005067E2" w:rsidRPr="00D0558B" w:rsidRDefault="005067E2" w:rsidP="005067E2">
      <w:r w:rsidRPr="00CE7BDE">
        <w:t xml:space="preserve">Over the previous </w:t>
      </w:r>
      <w:r w:rsidRPr="00D0558B">
        <w:t xml:space="preserve">five years, we attended an average of </w:t>
      </w:r>
      <w:r w:rsidR="00CE7BDE" w:rsidRPr="0085725E">
        <w:t>17</w:t>
      </w:r>
      <w:r w:rsidR="00CE7BDE" w:rsidRPr="00D0558B">
        <w:t xml:space="preserve"> </w:t>
      </w:r>
      <w:r w:rsidRPr="00D0558B">
        <w:t xml:space="preserve">waste disposal site fires a year, equating to a total of </w:t>
      </w:r>
      <w:r w:rsidR="00CE7BDE" w:rsidRPr="0085725E">
        <w:t>86</w:t>
      </w:r>
      <w:r w:rsidRPr="00D0558B">
        <w:t xml:space="preserve">, of which </w:t>
      </w:r>
      <w:r w:rsidR="00C211D5" w:rsidRPr="0085725E">
        <w:t>64</w:t>
      </w:r>
      <w:r w:rsidRPr="00D0558B">
        <w:t>% (</w:t>
      </w:r>
      <w:r w:rsidR="00C211D5" w:rsidRPr="0085725E">
        <w:t>55</w:t>
      </w:r>
      <w:r w:rsidRPr="00D0558B">
        <w:t xml:space="preserve">) involved a refuse/rubbish tip with the remaining </w:t>
      </w:r>
      <w:r w:rsidR="00C211D5" w:rsidRPr="0085725E">
        <w:t>36</w:t>
      </w:r>
      <w:r w:rsidRPr="00D0558B">
        <w:t>% (</w:t>
      </w:r>
      <w:r w:rsidR="00C211D5" w:rsidRPr="0085725E">
        <w:t>31</w:t>
      </w:r>
      <w:r w:rsidRPr="00D0558B">
        <w:t>) involving industrial processing.</w:t>
      </w:r>
    </w:p>
    <w:p w14:paraId="571595E9"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waste disposal site fires"/>
        <w:tblDescription w:val="A table detailing the likelihood, consequence, risk score and overall assessment"/>
      </w:tblPr>
      <w:tblGrid>
        <w:gridCol w:w="4385"/>
        <w:gridCol w:w="1737"/>
      </w:tblGrid>
      <w:tr w:rsidR="005067E2" w:rsidRPr="002B7E1B" w14:paraId="72E035CC" w14:textId="77777777" w:rsidTr="005604A2">
        <w:trPr>
          <w:tblHeade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24F597" w14:textId="77777777" w:rsidR="005067E2" w:rsidRPr="00C44E44" w:rsidRDefault="005067E2" w:rsidP="00007ED6">
            <w:pPr>
              <w:pStyle w:val="Tabletext"/>
              <w:keepNext/>
              <w:rPr>
                <w:sz w:val="24"/>
              </w:rPr>
            </w:pPr>
            <w:r w:rsidRPr="00C44E44">
              <w:rPr>
                <w:b/>
                <w:bCs w:val="0"/>
                <w:sz w:val="24"/>
              </w:rPr>
              <w:t>Risk – Waste disposal site fires</w:t>
            </w:r>
          </w:p>
        </w:tc>
        <w:tc>
          <w:tcPr>
            <w:tcW w:w="17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EE9BEB" w14:textId="77777777" w:rsidR="005067E2" w:rsidRPr="00C44E44" w:rsidRDefault="005067E2" w:rsidP="005604A2">
            <w:pPr>
              <w:pStyle w:val="Tabletext"/>
              <w:rPr>
                <w:sz w:val="24"/>
              </w:rPr>
            </w:pPr>
            <w:r w:rsidRPr="00C44E44">
              <w:rPr>
                <w:b/>
                <w:sz w:val="24"/>
              </w:rPr>
              <w:t>Rating</w:t>
            </w:r>
          </w:p>
        </w:tc>
      </w:tr>
      <w:tr w:rsidR="005067E2" w:rsidRPr="002B7E1B" w14:paraId="6981F9E3"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E7CD27D" w14:textId="77777777" w:rsidR="005067E2" w:rsidRPr="00C44E44" w:rsidRDefault="005067E2" w:rsidP="00007ED6">
            <w:pPr>
              <w:pStyle w:val="Tabletext"/>
              <w:keepNext/>
              <w:rPr>
                <w:b/>
                <w:bCs w:val="0"/>
                <w:sz w:val="24"/>
              </w:rPr>
            </w:pPr>
            <w:r w:rsidRPr="00C44E44">
              <w:rPr>
                <w:b/>
                <w:bCs w:val="0"/>
                <w:color w:val="000000" w:themeColor="text1"/>
                <w:sz w:val="24"/>
              </w:rPr>
              <w:t>Likelihood</w:t>
            </w:r>
          </w:p>
        </w:tc>
        <w:tc>
          <w:tcPr>
            <w:tcW w:w="1737" w:type="dxa"/>
            <w:tcBorders>
              <w:top w:val="nil"/>
              <w:left w:val="nil"/>
              <w:bottom w:val="single" w:sz="8" w:space="0" w:color="auto"/>
              <w:right w:val="single" w:sz="8" w:space="0" w:color="auto"/>
            </w:tcBorders>
          </w:tcPr>
          <w:p w14:paraId="35A3D728" w14:textId="77777777" w:rsidR="005067E2" w:rsidRPr="00C44E44" w:rsidRDefault="005067E2" w:rsidP="005604A2">
            <w:pPr>
              <w:pStyle w:val="Tabletext"/>
              <w:rPr>
                <w:sz w:val="24"/>
              </w:rPr>
            </w:pPr>
            <w:r w:rsidRPr="00C44E44">
              <w:rPr>
                <w:sz w:val="24"/>
              </w:rPr>
              <w:t>Medium</w:t>
            </w:r>
          </w:p>
        </w:tc>
      </w:tr>
      <w:tr w:rsidR="005067E2" w:rsidRPr="002B7E1B" w14:paraId="16157619"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A5C69EF" w14:textId="77777777" w:rsidR="005067E2" w:rsidRPr="00C44E44" w:rsidRDefault="005067E2" w:rsidP="00007ED6">
            <w:pPr>
              <w:pStyle w:val="Tabletext"/>
              <w:keepNext/>
              <w:rPr>
                <w:b/>
                <w:bCs w:val="0"/>
                <w:sz w:val="24"/>
              </w:rPr>
            </w:pPr>
            <w:r w:rsidRPr="00C44E44">
              <w:rPr>
                <w:b/>
                <w:bCs w:val="0"/>
                <w:color w:val="000000" w:themeColor="text1"/>
                <w:sz w:val="24"/>
              </w:rPr>
              <w:t>Consequence</w:t>
            </w:r>
          </w:p>
        </w:tc>
        <w:tc>
          <w:tcPr>
            <w:tcW w:w="1737" w:type="dxa"/>
            <w:tcBorders>
              <w:top w:val="single" w:sz="8" w:space="0" w:color="auto"/>
              <w:left w:val="nil"/>
              <w:bottom w:val="single" w:sz="8" w:space="0" w:color="auto"/>
              <w:right w:val="single" w:sz="8" w:space="0" w:color="auto"/>
            </w:tcBorders>
          </w:tcPr>
          <w:p w14:paraId="0658C1F5" w14:textId="77777777" w:rsidR="005067E2" w:rsidRPr="00C44E44" w:rsidRDefault="005067E2" w:rsidP="005604A2">
            <w:pPr>
              <w:pStyle w:val="Tabletext"/>
              <w:rPr>
                <w:sz w:val="24"/>
              </w:rPr>
            </w:pPr>
            <w:r w:rsidRPr="00C44E44">
              <w:rPr>
                <w:sz w:val="24"/>
              </w:rPr>
              <w:t>Minor</w:t>
            </w:r>
          </w:p>
        </w:tc>
      </w:tr>
      <w:tr w:rsidR="005067E2" w:rsidRPr="002B7E1B" w14:paraId="07A949F7"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60695C" w14:textId="77777777" w:rsidR="005067E2" w:rsidRPr="00C44E44" w:rsidRDefault="005067E2" w:rsidP="00007ED6">
            <w:pPr>
              <w:pStyle w:val="Tabletext"/>
              <w:keepNext/>
              <w:rPr>
                <w:b/>
                <w:bCs w:val="0"/>
                <w:color w:val="000000" w:themeColor="text1"/>
                <w:sz w:val="24"/>
              </w:rPr>
            </w:pPr>
            <w:r w:rsidRPr="00C44E44">
              <w:rPr>
                <w:b/>
                <w:bCs w:val="0"/>
                <w:color w:val="000000" w:themeColor="text1"/>
                <w:sz w:val="24"/>
              </w:rPr>
              <w:t>Risk score</w:t>
            </w:r>
          </w:p>
        </w:tc>
        <w:tc>
          <w:tcPr>
            <w:tcW w:w="1737" w:type="dxa"/>
            <w:tcBorders>
              <w:top w:val="single" w:sz="8" w:space="0" w:color="auto"/>
              <w:left w:val="nil"/>
              <w:bottom w:val="single" w:sz="8" w:space="0" w:color="auto"/>
              <w:right w:val="single" w:sz="8" w:space="0" w:color="auto"/>
            </w:tcBorders>
          </w:tcPr>
          <w:p w14:paraId="1DB6C4D1" w14:textId="1E5AA2EC" w:rsidR="005067E2" w:rsidRPr="00C44E44" w:rsidRDefault="00C44E44" w:rsidP="005604A2">
            <w:pPr>
              <w:pStyle w:val="Tabletext"/>
              <w:rPr>
                <w:sz w:val="24"/>
              </w:rPr>
            </w:pPr>
            <w:r w:rsidRPr="00C44E44">
              <w:rPr>
                <w:sz w:val="24"/>
              </w:rPr>
              <w:t>7.45</w:t>
            </w:r>
          </w:p>
        </w:tc>
      </w:tr>
      <w:tr w:rsidR="005067E2" w:rsidRPr="002B7E1B" w14:paraId="2E1A0F6D" w14:textId="77777777" w:rsidTr="00674C09">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4873983" w14:textId="77777777" w:rsidR="005067E2" w:rsidRPr="00C44E44" w:rsidRDefault="005067E2" w:rsidP="005604A2">
            <w:pPr>
              <w:pStyle w:val="Tabletext"/>
              <w:rPr>
                <w:b/>
                <w:bCs w:val="0"/>
                <w:sz w:val="24"/>
              </w:rPr>
            </w:pPr>
            <w:r w:rsidRPr="00C44E44">
              <w:rPr>
                <w:b/>
                <w:bCs w:val="0"/>
                <w:color w:val="000000" w:themeColor="text1"/>
                <w:sz w:val="24"/>
              </w:rPr>
              <w:t>Overall assessment</w:t>
            </w:r>
          </w:p>
        </w:tc>
        <w:tc>
          <w:tcPr>
            <w:tcW w:w="1737" w:type="dxa"/>
            <w:tcBorders>
              <w:top w:val="single" w:sz="8" w:space="0" w:color="auto"/>
              <w:left w:val="nil"/>
              <w:bottom w:val="single" w:sz="8" w:space="0" w:color="auto"/>
              <w:right w:val="single" w:sz="8" w:space="0" w:color="auto"/>
            </w:tcBorders>
            <w:shd w:val="clear" w:color="auto" w:fill="FFC000"/>
          </w:tcPr>
          <w:p w14:paraId="52B61395" w14:textId="3AEAA0B6" w:rsidR="005067E2" w:rsidRPr="00C44E44" w:rsidRDefault="005067E2" w:rsidP="005604A2">
            <w:pPr>
              <w:pStyle w:val="Tabletext"/>
              <w:rPr>
                <w:color w:val="FFFFFF" w:themeColor="background1"/>
                <w:sz w:val="24"/>
              </w:rPr>
            </w:pPr>
            <w:r w:rsidRPr="00674C09">
              <w:rPr>
                <w:sz w:val="24"/>
              </w:rPr>
              <w:t>High</w:t>
            </w:r>
          </w:p>
        </w:tc>
      </w:tr>
    </w:tbl>
    <w:p w14:paraId="4FD986B5" w14:textId="77777777" w:rsidR="005067E2" w:rsidRPr="0085725E" w:rsidRDefault="005067E2" w:rsidP="005067E2">
      <w:pPr>
        <w:pStyle w:val="Heading2"/>
        <w:spacing w:before="120" w:after="120" w:line="240" w:lineRule="auto"/>
        <w:rPr>
          <w:sz w:val="16"/>
          <w:szCs w:val="16"/>
          <w:highlight w:val="yellow"/>
        </w:rPr>
      </w:pPr>
    </w:p>
    <w:p w14:paraId="732C0F9E" w14:textId="77777777" w:rsidR="00C44E44" w:rsidRPr="0085725E" w:rsidRDefault="00C44E44" w:rsidP="00007ED6">
      <w:pPr>
        <w:pStyle w:val="Heading2"/>
      </w:pPr>
      <w:bookmarkStart w:id="93" w:name="_Toc208329971"/>
      <w:r w:rsidRPr="0085725E">
        <w:t>Removal of people from objects</w:t>
      </w:r>
      <w:bookmarkEnd w:id="93"/>
    </w:p>
    <w:p w14:paraId="7C600B78" w14:textId="15A71E83" w:rsidR="00C44E44" w:rsidRPr="00D0558B" w:rsidRDefault="00C44E44" w:rsidP="00C44E44">
      <w:r w:rsidRPr="00CE7BDE">
        <w:t xml:space="preserve">Over the previous five years, we have attended an average of </w:t>
      </w:r>
      <w:r w:rsidR="00CE7BDE" w:rsidRPr="0085725E">
        <w:t>72</w:t>
      </w:r>
      <w:r w:rsidR="00CE7BDE" w:rsidRPr="00CE7BDE">
        <w:t xml:space="preserve"> </w:t>
      </w:r>
      <w:r w:rsidRPr="00CE7BDE">
        <w:t xml:space="preserve">incidents a year involving the removal of people from objects.  Of the </w:t>
      </w:r>
      <w:r w:rsidR="00CE7BDE" w:rsidRPr="0085725E">
        <w:t>361</w:t>
      </w:r>
      <w:r w:rsidR="00CE7BDE" w:rsidRPr="00CE7BDE">
        <w:t xml:space="preserve"> </w:t>
      </w:r>
      <w:r w:rsidRPr="00CE7BDE">
        <w:t xml:space="preserve">incidents </w:t>
      </w:r>
      <w:r w:rsidRPr="00D0558B">
        <w:t xml:space="preserve">attended, </w:t>
      </w:r>
      <w:r w:rsidR="00C211D5" w:rsidRPr="0085725E">
        <w:t>68</w:t>
      </w:r>
      <w:r w:rsidRPr="00D0558B">
        <w:t xml:space="preserve">% involved a trapped limb, with the other </w:t>
      </w:r>
      <w:r w:rsidR="002F18EB" w:rsidRPr="0085725E">
        <w:t>32</w:t>
      </w:r>
      <w:r w:rsidRPr="00D0558B">
        <w:t xml:space="preserve">% being recorded as ‘other’. </w:t>
      </w:r>
      <w:r w:rsidR="002F18EB" w:rsidRPr="0085725E">
        <w:t>42</w:t>
      </w:r>
      <w:r w:rsidRPr="00D0558B">
        <w:t>% of these incidents occurred in the domestic dwelling environment.</w:t>
      </w:r>
    </w:p>
    <w:p w14:paraId="34F3CA39"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removal of people from objects"/>
        <w:tblDescription w:val="A table detailing the likelihood, consequence, risk score and overall assessment"/>
      </w:tblPr>
      <w:tblGrid>
        <w:gridCol w:w="4815"/>
        <w:gridCol w:w="1701"/>
      </w:tblGrid>
      <w:tr w:rsidR="005067E2" w:rsidRPr="002B7E1B" w14:paraId="651A7A36" w14:textId="77777777" w:rsidTr="005604A2">
        <w:trPr>
          <w:tblHeader/>
          <w:jc w:val="center"/>
        </w:trPr>
        <w:tc>
          <w:tcPr>
            <w:tcW w:w="4815" w:type="dxa"/>
            <w:shd w:val="clear" w:color="auto" w:fill="D9D9D9" w:themeFill="background1" w:themeFillShade="D9"/>
          </w:tcPr>
          <w:p w14:paraId="07A1BBFC" w14:textId="77777777" w:rsidR="005067E2" w:rsidRPr="00C44E44" w:rsidRDefault="005067E2" w:rsidP="00007ED6">
            <w:pPr>
              <w:pStyle w:val="Tabletext"/>
              <w:keepNext/>
              <w:rPr>
                <w:sz w:val="24"/>
              </w:rPr>
            </w:pPr>
            <w:r w:rsidRPr="00C44E44">
              <w:rPr>
                <w:b/>
                <w:bCs w:val="0"/>
                <w:sz w:val="24"/>
              </w:rPr>
              <w:t>Risk – Removal of people from objects</w:t>
            </w:r>
          </w:p>
        </w:tc>
        <w:tc>
          <w:tcPr>
            <w:tcW w:w="1701" w:type="dxa"/>
            <w:shd w:val="clear" w:color="auto" w:fill="D9D9D9" w:themeFill="background1" w:themeFillShade="D9"/>
          </w:tcPr>
          <w:p w14:paraId="62B56CC4" w14:textId="77777777" w:rsidR="005067E2" w:rsidRPr="00C44E44" w:rsidRDefault="005067E2" w:rsidP="005604A2">
            <w:pPr>
              <w:pStyle w:val="Tabletext"/>
              <w:rPr>
                <w:sz w:val="24"/>
              </w:rPr>
            </w:pPr>
            <w:r w:rsidRPr="00C44E44">
              <w:rPr>
                <w:b/>
                <w:sz w:val="24"/>
              </w:rPr>
              <w:t>Rating</w:t>
            </w:r>
          </w:p>
        </w:tc>
      </w:tr>
      <w:tr w:rsidR="005067E2" w:rsidRPr="002B7E1B" w14:paraId="5AC4BACE" w14:textId="77777777" w:rsidTr="005604A2">
        <w:trPr>
          <w:jc w:val="center"/>
        </w:trPr>
        <w:tc>
          <w:tcPr>
            <w:tcW w:w="4815" w:type="dxa"/>
            <w:shd w:val="clear" w:color="auto" w:fill="D9D9D9" w:themeFill="background1" w:themeFillShade="D9"/>
          </w:tcPr>
          <w:p w14:paraId="43CF4FBF" w14:textId="77777777" w:rsidR="005067E2" w:rsidRPr="00C44E44" w:rsidRDefault="005067E2" w:rsidP="00007ED6">
            <w:pPr>
              <w:pStyle w:val="Tabletext"/>
              <w:keepNext/>
              <w:rPr>
                <w:b/>
                <w:bCs w:val="0"/>
                <w:sz w:val="24"/>
              </w:rPr>
            </w:pPr>
            <w:r w:rsidRPr="00C44E44">
              <w:rPr>
                <w:b/>
                <w:bCs w:val="0"/>
                <w:sz w:val="24"/>
              </w:rPr>
              <w:t>Likelihood</w:t>
            </w:r>
          </w:p>
        </w:tc>
        <w:tc>
          <w:tcPr>
            <w:tcW w:w="1701" w:type="dxa"/>
          </w:tcPr>
          <w:p w14:paraId="03331BF8" w14:textId="77777777" w:rsidR="005067E2" w:rsidRPr="00C44E44" w:rsidRDefault="005067E2" w:rsidP="005604A2">
            <w:pPr>
              <w:pStyle w:val="Tabletext"/>
              <w:rPr>
                <w:sz w:val="24"/>
              </w:rPr>
            </w:pPr>
            <w:r w:rsidRPr="00C44E44">
              <w:rPr>
                <w:sz w:val="24"/>
              </w:rPr>
              <w:t>Medium High</w:t>
            </w:r>
          </w:p>
        </w:tc>
      </w:tr>
      <w:tr w:rsidR="005067E2" w:rsidRPr="002B7E1B" w14:paraId="4D42A946" w14:textId="77777777" w:rsidTr="005604A2">
        <w:trPr>
          <w:jc w:val="center"/>
        </w:trPr>
        <w:tc>
          <w:tcPr>
            <w:tcW w:w="4815" w:type="dxa"/>
            <w:shd w:val="clear" w:color="auto" w:fill="D9D9D9" w:themeFill="background1" w:themeFillShade="D9"/>
          </w:tcPr>
          <w:p w14:paraId="483F5624" w14:textId="77777777" w:rsidR="005067E2" w:rsidRPr="00C44E44" w:rsidRDefault="005067E2" w:rsidP="00007ED6">
            <w:pPr>
              <w:pStyle w:val="Tabletext"/>
              <w:keepNext/>
              <w:rPr>
                <w:b/>
                <w:bCs w:val="0"/>
                <w:sz w:val="24"/>
              </w:rPr>
            </w:pPr>
            <w:r w:rsidRPr="00C44E44">
              <w:rPr>
                <w:b/>
                <w:bCs w:val="0"/>
                <w:sz w:val="24"/>
              </w:rPr>
              <w:t>Consequence</w:t>
            </w:r>
          </w:p>
        </w:tc>
        <w:tc>
          <w:tcPr>
            <w:tcW w:w="1701" w:type="dxa"/>
          </w:tcPr>
          <w:p w14:paraId="40D883BC" w14:textId="1D535DB1" w:rsidR="005067E2" w:rsidRPr="00C44E44" w:rsidRDefault="0004701D" w:rsidP="005604A2">
            <w:pPr>
              <w:pStyle w:val="Tabletext"/>
              <w:rPr>
                <w:sz w:val="24"/>
              </w:rPr>
            </w:pPr>
            <w:r>
              <w:rPr>
                <w:sz w:val="24"/>
              </w:rPr>
              <w:t>L</w:t>
            </w:r>
            <w:r w:rsidR="00674C09">
              <w:rPr>
                <w:sz w:val="24"/>
              </w:rPr>
              <w:t>imited</w:t>
            </w:r>
          </w:p>
        </w:tc>
      </w:tr>
      <w:tr w:rsidR="005067E2" w:rsidRPr="002B7E1B" w14:paraId="21616622" w14:textId="77777777" w:rsidTr="005604A2">
        <w:trPr>
          <w:jc w:val="center"/>
        </w:trPr>
        <w:tc>
          <w:tcPr>
            <w:tcW w:w="4815" w:type="dxa"/>
            <w:shd w:val="clear" w:color="auto" w:fill="D9D9D9" w:themeFill="background1" w:themeFillShade="D9"/>
          </w:tcPr>
          <w:p w14:paraId="1164C470" w14:textId="77777777" w:rsidR="005067E2" w:rsidRPr="00C44E44" w:rsidRDefault="005067E2" w:rsidP="00007ED6">
            <w:pPr>
              <w:pStyle w:val="Tabletext"/>
              <w:keepNext/>
              <w:rPr>
                <w:b/>
                <w:bCs w:val="0"/>
                <w:sz w:val="24"/>
              </w:rPr>
            </w:pPr>
            <w:r w:rsidRPr="00C44E44">
              <w:rPr>
                <w:b/>
                <w:bCs w:val="0"/>
                <w:sz w:val="24"/>
              </w:rPr>
              <w:t>Risk score</w:t>
            </w:r>
          </w:p>
        </w:tc>
        <w:tc>
          <w:tcPr>
            <w:tcW w:w="1701" w:type="dxa"/>
          </w:tcPr>
          <w:p w14:paraId="61D0C6A4" w14:textId="77777777" w:rsidR="005067E2" w:rsidRPr="00C44E44" w:rsidRDefault="005067E2" w:rsidP="005604A2">
            <w:pPr>
              <w:pStyle w:val="Tabletext"/>
              <w:rPr>
                <w:sz w:val="24"/>
              </w:rPr>
            </w:pPr>
            <w:r w:rsidRPr="00C44E44">
              <w:rPr>
                <w:sz w:val="24"/>
              </w:rPr>
              <w:t>7.17</w:t>
            </w:r>
          </w:p>
        </w:tc>
      </w:tr>
      <w:tr w:rsidR="005067E2" w:rsidRPr="002B7E1B" w14:paraId="415169B0" w14:textId="77777777" w:rsidTr="005604A2">
        <w:trPr>
          <w:jc w:val="center"/>
        </w:trPr>
        <w:tc>
          <w:tcPr>
            <w:tcW w:w="4815" w:type="dxa"/>
            <w:shd w:val="clear" w:color="auto" w:fill="D9D9D9" w:themeFill="background1" w:themeFillShade="D9"/>
          </w:tcPr>
          <w:p w14:paraId="3097F70D" w14:textId="77777777" w:rsidR="005067E2" w:rsidRPr="00C44E44" w:rsidRDefault="005067E2" w:rsidP="005604A2">
            <w:pPr>
              <w:pStyle w:val="Tabletext"/>
              <w:rPr>
                <w:b/>
                <w:bCs w:val="0"/>
                <w:sz w:val="24"/>
              </w:rPr>
            </w:pPr>
            <w:r w:rsidRPr="00C44E44">
              <w:rPr>
                <w:b/>
                <w:bCs w:val="0"/>
                <w:sz w:val="24"/>
              </w:rPr>
              <w:t>Overall assessment</w:t>
            </w:r>
          </w:p>
        </w:tc>
        <w:tc>
          <w:tcPr>
            <w:tcW w:w="1701" w:type="dxa"/>
            <w:shd w:val="clear" w:color="auto" w:fill="FFC000"/>
          </w:tcPr>
          <w:p w14:paraId="50ED7940" w14:textId="77777777" w:rsidR="005067E2" w:rsidRPr="00C44E44" w:rsidRDefault="005067E2" w:rsidP="005604A2">
            <w:pPr>
              <w:pStyle w:val="Tabletext"/>
              <w:rPr>
                <w:sz w:val="24"/>
              </w:rPr>
            </w:pPr>
            <w:r w:rsidRPr="00C44E44">
              <w:rPr>
                <w:sz w:val="24"/>
              </w:rPr>
              <w:t>High</w:t>
            </w:r>
          </w:p>
        </w:tc>
      </w:tr>
    </w:tbl>
    <w:p w14:paraId="6B504BD1" w14:textId="77777777" w:rsidR="005067E2" w:rsidRPr="0085725E" w:rsidRDefault="005067E2" w:rsidP="005067E2">
      <w:pPr>
        <w:pStyle w:val="NoSpacing"/>
        <w:rPr>
          <w:highlight w:val="yellow"/>
        </w:rPr>
      </w:pPr>
    </w:p>
    <w:p w14:paraId="02798AB0" w14:textId="77777777" w:rsidR="005067E2" w:rsidRPr="00674C09" w:rsidRDefault="005067E2" w:rsidP="005067E2">
      <w:pPr>
        <w:pStyle w:val="Heading2"/>
      </w:pPr>
      <w:bookmarkStart w:id="94" w:name="_Toc208329972"/>
      <w:r w:rsidRPr="00674C09">
        <w:t>Animal rescue</w:t>
      </w:r>
      <w:bookmarkEnd w:id="94"/>
    </w:p>
    <w:p w14:paraId="0BCA3BDC" w14:textId="203EE52E" w:rsidR="005067E2" w:rsidRPr="00674C09" w:rsidRDefault="005067E2" w:rsidP="005067E2">
      <w:r w:rsidRPr="00674C09">
        <w:t xml:space="preserve">For many years, firefighters have responded to a variety of incidents involving pets, livestock, and wild animals.  Animals in distress can pose a potentially serious risk to the public, staff from other agencies and firefighters.  There is also an element of risk of members of the public suffering serious injury should they decide to attempt an animal rescue themselves.  As Lancashire has large rural areas as well as densely populated </w:t>
      </w:r>
      <w:r w:rsidR="00CB72A0" w:rsidRPr="00674C09">
        <w:t>areas, Lancashire</w:t>
      </w:r>
      <w:r w:rsidR="00721973" w:rsidRPr="00674C09">
        <w:rPr>
          <w:lang w:eastAsia="en-GB"/>
        </w:rPr>
        <w:t xml:space="preserve"> Fire and Rescue Service</w:t>
      </w:r>
      <w:r w:rsidR="00721973" w:rsidRPr="00674C09">
        <w:t xml:space="preserve"> ine</w:t>
      </w:r>
      <w:r w:rsidRPr="00674C09">
        <w:t>vitably responds to incidents where a range of animals are in distress.  We therefore have a range of resources available to deal with this risk, including six specialist animal rescue trained stations based at strategic locations across the county.</w:t>
      </w:r>
    </w:p>
    <w:p w14:paraId="68672A0F" w14:textId="0452E386" w:rsidR="005067E2" w:rsidRPr="00D0558B" w:rsidRDefault="005067E2" w:rsidP="005067E2">
      <w:r w:rsidRPr="00CE7BDE">
        <w:t xml:space="preserve">Over the previous five years, we attended an average of </w:t>
      </w:r>
      <w:r w:rsidR="002F18EB">
        <w:t>182</w:t>
      </w:r>
      <w:r w:rsidR="002F18EB" w:rsidRPr="00CE7BDE">
        <w:t xml:space="preserve"> </w:t>
      </w:r>
      <w:r w:rsidRPr="00CE7BDE">
        <w:t xml:space="preserve">animal rescues per year, equating to </w:t>
      </w:r>
      <w:r w:rsidR="00CE7BDE" w:rsidRPr="0085725E">
        <w:t>911</w:t>
      </w:r>
      <w:r w:rsidR="00CE7BDE" w:rsidRPr="00CE7BDE">
        <w:t xml:space="preserve"> </w:t>
      </w:r>
      <w:r w:rsidRPr="00CE7BDE">
        <w:t xml:space="preserve">incidents in total.  </w:t>
      </w:r>
      <w:r w:rsidRPr="00D0558B">
        <w:t xml:space="preserve">Incidents involving trapped animals accounted for </w:t>
      </w:r>
      <w:r w:rsidR="002F18EB" w:rsidRPr="0085725E">
        <w:t>45</w:t>
      </w:r>
      <w:r w:rsidRPr="00D0558B">
        <w:t xml:space="preserve">% of the total, with the majority involving domestic animals.  </w:t>
      </w:r>
      <w:r w:rsidR="00AF2790" w:rsidRPr="0085725E">
        <w:t>26</w:t>
      </w:r>
      <w:r w:rsidRPr="00D0558B">
        <w:t xml:space="preserve">% of animal rescues involved a rescue from height with the majority involving domestic animals.  We attended </w:t>
      </w:r>
      <w:r w:rsidR="00AF2790" w:rsidRPr="0085725E">
        <w:t>153</w:t>
      </w:r>
      <w:r w:rsidR="002F18EB" w:rsidRPr="00D0558B">
        <w:t xml:space="preserve"> </w:t>
      </w:r>
      <w:r w:rsidRPr="00D0558B">
        <w:t>incidents (</w:t>
      </w:r>
      <w:r w:rsidR="002F18EB" w:rsidRPr="0085725E">
        <w:t>17</w:t>
      </w:r>
      <w:r w:rsidRPr="00D0558B">
        <w:t>%) involving rescues of animals from water or mud with over half of these involving livestock.</w:t>
      </w:r>
    </w:p>
    <w:p w14:paraId="58C568B1"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animal rescue"/>
        <w:tblDescription w:val="A table detailing the likelihood, consequence, risk score and overall assessment"/>
      </w:tblPr>
      <w:tblGrid>
        <w:gridCol w:w="4243"/>
        <w:gridCol w:w="2126"/>
      </w:tblGrid>
      <w:tr w:rsidR="005067E2" w:rsidRPr="002B7E1B" w14:paraId="4BEFF69B" w14:textId="77777777" w:rsidTr="005604A2">
        <w:trPr>
          <w:tblHeade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4E2465" w14:textId="77777777" w:rsidR="005067E2" w:rsidRPr="00B06574" w:rsidRDefault="005067E2" w:rsidP="00007ED6">
            <w:pPr>
              <w:pStyle w:val="Tabletext"/>
              <w:keepNext/>
              <w:rPr>
                <w:sz w:val="24"/>
              </w:rPr>
            </w:pPr>
            <w:r w:rsidRPr="00B06574">
              <w:rPr>
                <w:b/>
                <w:bCs w:val="0"/>
                <w:sz w:val="24"/>
              </w:rPr>
              <w:lastRenderedPageBreak/>
              <w:t>Risk – Animal rescue</w:t>
            </w:r>
          </w:p>
        </w:tc>
        <w:tc>
          <w:tcPr>
            <w:tcW w:w="21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D70537" w14:textId="77777777" w:rsidR="005067E2" w:rsidRPr="00B06574" w:rsidRDefault="005067E2" w:rsidP="005604A2">
            <w:pPr>
              <w:pStyle w:val="Tabletext"/>
              <w:rPr>
                <w:sz w:val="24"/>
              </w:rPr>
            </w:pPr>
            <w:r w:rsidRPr="00B06574">
              <w:rPr>
                <w:b/>
                <w:sz w:val="24"/>
              </w:rPr>
              <w:t>Rating</w:t>
            </w:r>
          </w:p>
        </w:tc>
      </w:tr>
      <w:tr w:rsidR="005067E2" w:rsidRPr="002B7E1B" w14:paraId="5BB07D02"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FD47A2A" w14:textId="77777777" w:rsidR="005067E2" w:rsidRPr="00B06574" w:rsidRDefault="005067E2" w:rsidP="00007ED6">
            <w:pPr>
              <w:pStyle w:val="Tabletext"/>
              <w:keepNext/>
              <w:rPr>
                <w:b/>
                <w:bCs w:val="0"/>
                <w:sz w:val="24"/>
              </w:rPr>
            </w:pPr>
            <w:r w:rsidRPr="00B06574">
              <w:rPr>
                <w:b/>
                <w:bCs w:val="0"/>
                <w:sz w:val="24"/>
              </w:rPr>
              <w:t>Likelihood</w:t>
            </w:r>
          </w:p>
        </w:tc>
        <w:tc>
          <w:tcPr>
            <w:tcW w:w="2126" w:type="dxa"/>
            <w:tcBorders>
              <w:top w:val="nil"/>
              <w:left w:val="nil"/>
              <w:bottom w:val="single" w:sz="8" w:space="0" w:color="auto"/>
              <w:right w:val="single" w:sz="8" w:space="0" w:color="auto"/>
            </w:tcBorders>
          </w:tcPr>
          <w:p w14:paraId="255F7FA4" w14:textId="77777777" w:rsidR="005067E2" w:rsidRPr="00B06574" w:rsidRDefault="005067E2" w:rsidP="005604A2">
            <w:pPr>
              <w:pStyle w:val="Tabletext"/>
              <w:rPr>
                <w:sz w:val="24"/>
              </w:rPr>
            </w:pPr>
            <w:r w:rsidRPr="00B06574">
              <w:rPr>
                <w:sz w:val="24"/>
              </w:rPr>
              <w:t>Medium High</w:t>
            </w:r>
          </w:p>
        </w:tc>
      </w:tr>
      <w:tr w:rsidR="005067E2" w:rsidRPr="002B7E1B" w14:paraId="476F812C"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B8AC0A" w14:textId="77777777" w:rsidR="005067E2" w:rsidRPr="00B06574" w:rsidRDefault="005067E2" w:rsidP="00007ED6">
            <w:pPr>
              <w:pStyle w:val="Tabletext"/>
              <w:keepNext/>
              <w:rPr>
                <w:b/>
                <w:bCs w:val="0"/>
                <w:sz w:val="24"/>
              </w:rPr>
            </w:pPr>
            <w:r w:rsidRPr="00B06574">
              <w:rPr>
                <w:b/>
                <w:bCs w:val="0"/>
                <w:sz w:val="24"/>
              </w:rPr>
              <w:t>Consequence</w:t>
            </w:r>
          </w:p>
        </w:tc>
        <w:tc>
          <w:tcPr>
            <w:tcW w:w="2126" w:type="dxa"/>
            <w:tcBorders>
              <w:top w:val="single" w:sz="8" w:space="0" w:color="auto"/>
              <w:left w:val="nil"/>
              <w:bottom w:val="single" w:sz="8" w:space="0" w:color="auto"/>
              <w:right w:val="single" w:sz="8" w:space="0" w:color="auto"/>
            </w:tcBorders>
          </w:tcPr>
          <w:p w14:paraId="73ACCE33" w14:textId="70242B25" w:rsidR="005067E2" w:rsidRPr="00B06574" w:rsidRDefault="00674C09" w:rsidP="005604A2">
            <w:pPr>
              <w:pStyle w:val="Tabletext"/>
              <w:rPr>
                <w:sz w:val="24"/>
              </w:rPr>
            </w:pPr>
            <w:r>
              <w:rPr>
                <w:sz w:val="24"/>
              </w:rPr>
              <w:t>Limited</w:t>
            </w:r>
          </w:p>
        </w:tc>
      </w:tr>
      <w:tr w:rsidR="005067E2" w:rsidRPr="002B7E1B" w14:paraId="49471495"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BB5E90" w14:textId="77777777" w:rsidR="005067E2" w:rsidRPr="00B06574" w:rsidRDefault="005067E2" w:rsidP="00007ED6">
            <w:pPr>
              <w:pStyle w:val="Tabletext"/>
              <w:keepNext/>
              <w:rPr>
                <w:b/>
                <w:bCs w:val="0"/>
                <w:sz w:val="24"/>
              </w:rPr>
            </w:pPr>
            <w:r w:rsidRPr="00B06574">
              <w:rPr>
                <w:b/>
                <w:bCs w:val="0"/>
                <w:sz w:val="24"/>
              </w:rPr>
              <w:t>Risk score</w:t>
            </w:r>
          </w:p>
        </w:tc>
        <w:tc>
          <w:tcPr>
            <w:tcW w:w="2126" w:type="dxa"/>
            <w:tcBorders>
              <w:top w:val="single" w:sz="8" w:space="0" w:color="auto"/>
              <w:left w:val="nil"/>
              <w:bottom w:val="single" w:sz="8" w:space="0" w:color="auto"/>
              <w:right w:val="single" w:sz="8" w:space="0" w:color="auto"/>
            </w:tcBorders>
          </w:tcPr>
          <w:p w14:paraId="7E276B2A" w14:textId="77777777" w:rsidR="005067E2" w:rsidRPr="00B06574" w:rsidRDefault="005067E2" w:rsidP="005604A2">
            <w:pPr>
              <w:pStyle w:val="Tabletext"/>
              <w:rPr>
                <w:sz w:val="24"/>
              </w:rPr>
            </w:pPr>
            <w:r w:rsidRPr="00B06574">
              <w:rPr>
                <w:sz w:val="24"/>
              </w:rPr>
              <w:t>7.17</w:t>
            </w:r>
          </w:p>
        </w:tc>
      </w:tr>
      <w:tr w:rsidR="005067E2" w:rsidRPr="002B7E1B" w14:paraId="103A2E97" w14:textId="77777777" w:rsidTr="005604A2">
        <w:trPr>
          <w:jc w:val="center"/>
        </w:trPr>
        <w:tc>
          <w:tcPr>
            <w:tcW w:w="4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ED6861" w14:textId="77777777" w:rsidR="005067E2" w:rsidRPr="00B06574" w:rsidRDefault="005067E2" w:rsidP="005604A2">
            <w:pPr>
              <w:pStyle w:val="Tabletext"/>
              <w:rPr>
                <w:b/>
                <w:bCs w:val="0"/>
                <w:sz w:val="24"/>
              </w:rPr>
            </w:pPr>
            <w:r w:rsidRPr="00B06574">
              <w:rPr>
                <w:b/>
                <w:bCs w:val="0"/>
                <w:sz w:val="24"/>
              </w:rPr>
              <w:t>Overall assessment</w:t>
            </w:r>
          </w:p>
        </w:tc>
        <w:tc>
          <w:tcPr>
            <w:tcW w:w="2126" w:type="dxa"/>
            <w:tcBorders>
              <w:top w:val="single" w:sz="8" w:space="0" w:color="auto"/>
              <w:left w:val="nil"/>
              <w:bottom w:val="single" w:sz="8" w:space="0" w:color="auto"/>
              <w:right w:val="single" w:sz="8" w:space="0" w:color="auto"/>
            </w:tcBorders>
            <w:shd w:val="clear" w:color="auto" w:fill="FFC000"/>
          </w:tcPr>
          <w:p w14:paraId="1CCA1952" w14:textId="77777777" w:rsidR="005067E2" w:rsidRPr="00B06574" w:rsidRDefault="005067E2" w:rsidP="005604A2">
            <w:pPr>
              <w:pStyle w:val="Tabletext"/>
              <w:rPr>
                <w:sz w:val="24"/>
              </w:rPr>
            </w:pPr>
            <w:r w:rsidRPr="00B06574">
              <w:rPr>
                <w:sz w:val="24"/>
              </w:rPr>
              <w:t>High</w:t>
            </w:r>
          </w:p>
        </w:tc>
      </w:tr>
    </w:tbl>
    <w:p w14:paraId="231A1B7E" w14:textId="77777777" w:rsidR="005067E2" w:rsidRPr="0085725E" w:rsidRDefault="005067E2" w:rsidP="005067E2">
      <w:pPr>
        <w:pStyle w:val="NoSpacing"/>
        <w:rPr>
          <w:highlight w:val="yellow"/>
        </w:rPr>
      </w:pPr>
    </w:p>
    <w:p w14:paraId="3B9D72F0" w14:textId="77777777" w:rsidR="005067E2" w:rsidRPr="00674C09" w:rsidRDefault="005067E2" w:rsidP="005067E2">
      <w:pPr>
        <w:pStyle w:val="Heading2"/>
        <w:rPr>
          <w:b w:val="0"/>
        </w:rPr>
      </w:pPr>
      <w:bookmarkStart w:id="95" w:name="_Toc208329973"/>
      <w:r w:rsidRPr="00674C09">
        <w:t>Other transport fires (air, boat, train)</w:t>
      </w:r>
      <w:bookmarkEnd w:id="95"/>
    </w:p>
    <w:p w14:paraId="224F2393" w14:textId="77777777" w:rsidR="005067E2" w:rsidRPr="00674C09" w:rsidRDefault="005067E2" w:rsidP="005067E2">
      <w:r w:rsidRPr="00674C09">
        <w:t>Although air is one of the safest modes of transport, incidents relating to air travel are still present across the UK, with many occurrences related to smaller aircraft such as microlights and gliders.  Within Lancashire, to the far west of the county, sits Blackpool airport, where the risk of an air transport fire is high due to the amount of traffic utilising the airport.</w:t>
      </w:r>
    </w:p>
    <w:p w14:paraId="511495B1" w14:textId="77777777" w:rsidR="005067E2" w:rsidRPr="00674C09" w:rsidRDefault="005067E2" w:rsidP="005067E2">
      <w:r w:rsidRPr="00674C09">
        <w:t>Lancashire has over 120 km’s of coastline, several rivers, lakes, reservoirs, canals and other water bodies that have the potential to have boats of varying sizes being used for business and pleasure purposes.</w:t>
      </w:r>
    </w:p>
    <w:p w14:paraId="1DBF9898" w14:textId="77777777" w:rsidR="005067E2" w:rsidRPr="00674C09" w:rsidRDefault="005067E2" w:rsidP="005067E2">
      <w:r w:rsidRPr="00674C09">
        <w:t>Incidents on the railways can also pose significant risks and potential danger to the community.  The west coast main line dissects Lancashire, with trains running between Edinburgh and London stopping at Preston.  There are also a few other local lines in operation, all of which pose their own unique levels of hazards and risks.</w:t>
      </w:r>
    </w:p>
    <w:p w14:paraId="5A4DCB45" w14:textId="57F90715" w:rsidR="005067E2" w:rsidRPr="00D0558B" w:rsidRDefault="005067E2" w:rsidP="005067E2">
      <w:r w:rsidRPr="00CE7BDE">
        <w:t xml:space="preserve">Over the previous five years, we have attended an average of </w:t>
      </w:r>
      <w:r w:rsidR="00CE7BDE" w:rsidRPr="0085725E">
        <w:t>3</w:t>
      </w:r>
      <w:r w:rsidR="00CE7BDE" w:rsidRPr="00CE7BDE">
        <w:t xml:space="preserve"> </w:t>
      </w:r>
      <w:r w:rsidRPr="00CE7BDE">
        <w:t xml:space="preserve">incidents a year involving vehicles other than those that are road based.  Of the </w:t>
      </w:r>
      <w:r w:rsidR="00CE7BDE" w:rsidRPr="0085725E">
        <w:t>16</w:t>
      </w:r>
      <w:r w:rsidR="00CE7BDE" w:rsidRPr="00CE7BDE">
        <w:t xml:space="preserve"> </w:t>
      </w:r>
      <w:r w:rsidRPr="00CE7BDE">
        <w:t xml:space="preserve">incidents that occurred over the </w:t>
      </w:r>
      <w:r w:rsidR="00AB1C0E" w:rsidRPr="00CE7BDE">
        <w:t>five-year</w:t>
      </w:r>
      <w:r w:rsidRPr="00CE7BDE">
        <w:t xml:space="preserve"> period</w:t>
      </w:r>
      <w:r w:rsidRPr="00D0558B">
        <w:t xml:space="preserve">, </w:t>
      </w:r>
      <w:r w:rsidR="006D79CD" w:rsidRPr="0085725E">
        <w:t>10</w:t>
      </w:r>
      <w:r w:rsidR="006D79CD" w:rsidRPr="00D0558B">
        <w:t xml:space="preserve"> </w:t>
      </w:r>
      <w:r w:rsidRPr="00D0558B">
        <w:t>were</w:t>
      </w:r>
      <w:r w:rsidR="00AF2790" w:rsidRPr="0085725E">
        <w:t xml:space="preserve"> an</w:t>
      </w:r>
      <w:r w:rsidRPr="00D0558B">
        <w:t xml:space="preserve"> accidental </w:t>
      </w:r>
      <w:r w:rsidR="006D79CD" w:rsidRPr="0085725E">
        <w:t xml:space="preserve">(or not known) </w:t>
      </w:r>
      <w:r w:rsidR="00746146" w:rsidRPr="0085725E">
        <w:t xml:space="preserve">cause </w:t>
      </w:r>
      <w:r w:rsidRPr="00D0558B">
        <w:t xml:space="preserve">and </w:t>
      </w:r>
      <w:r w:rsidR="00746146" w:rsidRPr="0085725E">
        <w:t>6</w:t>
      </w:r>
      <w:r w:rsidR="00746146" w:rsidRPr="00D0558B">
        <w:t xml:space="preserve"> </w:t>
      </w:r>
      <w:r w:rsidRPr="00D0558B">
        <w:t>were deliberate.  One incident involved a military aircraft, 2 incidents involved trains/trams, with the remainder (</w:t>
      </w:r>
      <w:r w:rsidR="00746146" w:rsidRPr="0085725E">
        <w:t>13</w:t>
      </w:r>
      <w:r w:rsidRPr="00D0558B">
        <w:t>) involving boats.</w:t>
      </w:r>
    </w:p>
    <w:p w14:paraId="757BFDEA"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other transport fires (air, boat and train)"/>
        <w:tblDescription w:val="A table detailing the likelihood, consequence, risk score and overall assessment"/>
      </w:tblPr>
      <w:tblGrid>
        <w:gridCol w:w="5377"/>
        <w:gridCol w:w="2126"/>
      </w:tblGrid>
      <w:tr w:rsidR="005067E2" w:rsidRPr="002B7E1B" w14:paraId="79FFA0EB" w14:textId="77777777" w:rsidTr="005604A2">
        <w:trPr>
          <w:tblHeader/>
          <w:jc w:val="center"/>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C8F0C5" w14:textId="77777777" w:rsidR="005067E2" w:rsidRPr="00B06574" w:rsidRDefault="005067E2" w:rsidP="00007ED6">
            <w:pPr>
              <w:pStyle w:val="Tabletext"/>
              <w:keepNext/>
              <w:rPr>
                <w:sz w:val="24"/>
              </w:rPr>
            </w:pPr>
            <w:r w:rsidRPr="00B06574">
              <w:rPr>
                <w:b/>
                <w:bCs w:val="0"/>
                <w:sz w:val="24"/>
              </w:rPr>
              <w:t>Risk – Other transport fires (Air, Boat, Train)</w:t>
            </w:r>
          </w:p>
        </w:tc>
        <w:tc>
          <w:tcPr>
            <w:tcW w:w="21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7C98BA9" w14:textId="77777777" w:rsidR="005067E2" w:rsidRPr="00B06574" w:rsidRDefault="005067E2" w:rsidP="005604A2">
            <w:pPr>
              <w:pStyle w:val="Tabletext"/>
              <w:rPr>
                <w:sz w:val="24"/>
              </w:rPr>
            </w:pPr>
            <w:r w:rsidRPr="00B06574">
              <w:rPr>
                <w:b/>
                <w:sz w:val="24"/>
              </w:rPr>
              <w:t>Rating</w:t>
            </w:r>
          </w:p>
        </w:tc>
      </w:tr>
      <w:tr w:rsidR="005067E2" w:rsidRPr="002B7E1B" w14:paraId="4A2E0A06" w14:textId="77777777" w:rsidTr="005604A2">
        <w:trPr>
          <w:jc w:val="center"/>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CD3EFF" w14:textId="77777777" w:rsidR="005067E2" w:rsidRPr="00B06574" w:rsidRDefault="005067E2" w:rsidP="00007ED6">
            <w:pPr>
              <w:pStyle w:val="Tabletext"/>
              <w:keepNext/>
              <w:rPr>
                <w:b/>
                <w:bCs w:val="0"/>
                <w:sz w:val="24"/>
              </w:rPr>
            </w:pPr>
            <w:r w:rsidRPr="00B06574">
              <w:rPr>
                <w:b/>
                <w:bCs w:val="0"/>
                <w:sz w:val="24"/>
              </w:rPr>
              <w:t>Likelihood</w:t>
            </w:r>
          </w:p>
        </w:tc>
        <w:tc>
          <w:tcPr>
            <w:tcW w:w="2126" w:type="dxa"/>
            <w:tcBorders>
              <w:top w:val="nil"/>
              <w:left w:val="nil"/>
              <w:bottom w:val="single" w:sz="8" w:space="0" w:color="auto"/>
              <w:right w:val="single" w:sz="8" w:space="0" w:color="auto"/>
            </w:tcBorders>
            <w:shd w:val="clear" w:color="auto" w:fill="FFFFFF" w:themeFill="background1"/>
          </w:tcPr>
          <w:p w14:paraId="02F69E92" w14:textId="77777777" w:rsidR="005067E2" w:rsidRPr="00B06574" w:rsidRDefault="005067E2" w:rsidP="005604A2">
            <w:pPr>
              <w:pStyle w:val="Tabletext"/>
              <w:rPr>
                <w:sz w:val="24"/>
              </w:rPr>
            </w:pPr>
            <w:r w:rsidRPr="00B06574">
              <w:rPr>
                <w:sz w:val="24"/>
              </w:rPr>
              <w:t>Medium Low</w:t>
            </w:r>
          </w:p>
        </w:tc>
      </w:tr>
      <w:tr w:rsidR="005067E2" w:rsidRPr="002B7E1B" w14:paraId="0DBD9274" w14:textId="77777777" w:rsidTr="005604A2">
        <w:trPr>
          <w:jc w:val="center"/>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4370DB" w14:textId="77777777" w:rsidR="005067E2" w:rsidRPr="00B06574" w:rsidRDefault="005067E2" w:rsidP="00007ED6">
            <w:pPr>
              <w:pStyle w:val="Tabletext"/>
              <w:keepNext/>
              <w:rPr>
                <w:b/>
                <w:bCs w:val="0"/>
                <w:sz w:val="24"/>
              </w:rPr>
            </w:pPr>
            <w:r w:rsidRPr="00B06574">
              <w:rPr>
                <w:b/>
                <w:bCs w:val="0"/>
                <w:sz w:val="24"/>
              </w:rPr>
              <w:t>Consequence</w:t>
            </w:r>
          </w:p>
        </w:tc>
        <w:tc>
          <w:tcPr>
            <w:tcW w:w="2126" w:type="dxa"/>
            <w:tcBorders>
              <w:top w:val="single" w:sz="8" w:space="0" w:color="auto"/>
              <w:left w:val="nil"/>
              <w:bottom w:val="single" w:sz="8" w:space="0" w:color="auto"/>
              <w:right w:val="single" w:sz="8" w:space="0" w:color="auto"/>
            </w:tcBorders>
            <w:shd w:val="clear" w:color="auto" w:fill="FFFFFF" w:themeFill="background1"/>
          </w:tcPr>
          <w:p w14:paraId="2D4D68E3" w14:textId="77777777" w:rsidR="005067E2" w:rsidRPr="00B06574" w:rsidRDefault="005067E2" w:rsidP="005604A2">
            <w:pPr>
              <w:pStyle w:val="Tabletext"/>
              <w:rPr>
                <w:sz w:val="24"/>
              </w:rPr>
            </w:pPr>
            <w:r w:rsidRPr="00B06574">
              <w:rPr>
                <w:sz w:val="24"/>
              </w:rPr>
              <w:t>Moderate</w:t>
            </w:r>
          </w:p>
        </w:tc>
      </w:tr>
      <w:tr w:rsidR="005067E2" w:rsidRPr="002B7E1B" w14:paraId="15196565" w14:textId="77777777" w:rsidTr="005604A2">
        <w:trPr>
          <w:jc w:val="center"/>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A81248" w14:textId="77777777" w:rsidR="005067E2" w:rsidRPr="00B06574" w:rsidRDefault="005067E2" w:rsidP="00007ED6">
            <w:pPr>
              <w:pStyle w:val="Tabletext"/>
              <w:keepNext/>
              <w:rPr>
                <w:b/>
                <w:bCs w:val="0"/>
                <w:sz w:val="24"/>
              </w:rPr>
            </w:pPr>
            <w:r w:rsidRPr="00B06574">
              <w:rPr>
                <w:b/>
                <w:bCs w:val="0"/>
                <w:sz w:val="24"/>
              </w:rPr>
              <w:t>Risk score</w:t>
            </w:r>
          </w:p>
        </w:tc>
        <w:tc>
          <w:tcPr>
            <w:tcW w:w="2126" w:type="dxa"/>
            <w:tcBorders>
              <w:top w:val="single" w:sz="8" w:space="0" w:color="auto"/>
              <w:left w:val="nil"/>
              <w:bottom w:val="single" w:sz="8" w:space="0" w:color="auto"/>
              <w:right w:val="single" w:sz="8" w:space="0" w:color="auto"/>
            </w:tcBorders>
            <w:shd w:val="clear" w:color="auto" w:fill="FFFFFF" w:themeFill="background1"/>
          </w:tcPr>
          <w:p w14:paraId="16D21918" w14:textId="77777777" w:rsidR="005067E2" w:rsidRPr="00B06574" w:rsidRDefault="005067E2" w:rsidP="005604A2">
            <w:pPr>
              <w:pStyle w:val="Tabletext"/>
              <w:rPr>
                <w:sz w:val="24"/>
              </w:rPr>
            </w:pPr>
            <w:r w:rsidRPr="00B06574">
              <w:rPr>
                <w:sz w:val="24"/>
              </w:rPr>
              <w:t>7.11</w:t>
            </w:r>
          </w:p>
        </w:tc>
      </w:tr>
      <w:tr w:rsidR="005067E2" w:rsidRPr="002B7E1B" w14:paraId="4082BCEF" w14:textId="77777777" w:rsidTr="005604A2">
        <w:trPr>
          <w:jc w:val="center"/>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538599" w14:textId="77777777" w:rsidR="005067E2" w:rsidRPr="00B06574" w:rsidRDefault="005067E2" w:rsidP="005604A2">
            <w:pPr>
              <w:pStyle w:val="Tabletext"/>
              <w:rPr>
                <w:b/>
                <w:bCs w:val="0"/>
                <w:sz w:val="24"/>
              </w:rPr>
            </w:pPr>
            <w:r w:rsidRPr="00B06574">
              <w:rPr>
                <w:b/>
                <w:bCs w:val="0"/>
                <w:sz w:val="24"/>
              </w:rPr>
              <w:t>Overall assessment</w:t>
            </w:r>
          </w:p>
        </w:tc>
        <w:tc>
          <w:tcPr>
            <w:tcW w:w="2126" w:type="dxa"/>
            <w:tcBorders>
              <w:top w:val="single" w:sz="8" w:space="0" w:color="auto"/>
              <w:left w:val="nil"/>
              <w:bottom w:val="single" w:sz="8" w:space="0" w:color="auto"/>
              <w:right w:val="single" w:sz="8" w:space="0" w:color="auto"/>
            </w:tcBorders>
            <w:shd w:val="clear" w:color="auto" w:fill="FFC000"/>
          </w:tcPr>
          <w:p w14:paraId="4138F102" w14:textId="77777777" w:rsidR="005067E2" w:rsidRPr="00B06574" w:rsidRDefault="005067E2" w:rsidP="005604A2">
            <w:pPr>
              <w:pStyle w:val="Tabletext"/>
              <w:rPr>
                <w:sz w:val="24"/>
              </w:rPr>
            </w:pPr>
            <w:r w:rsidRPr="00B06574">
              <w:rPr>
                <w:sz w:val="24"/>
              </w:rPr>
              <w:t>High</w:t>
            </w:r>
          </w:p>
        </w:tc>
      </w:tr>
    </w:tbl>
    <w:p w14:paraId="7296E32E" w14:textId="77777777" w:rsidR="005067E2" w:rsidRPr="0085725E" w:rsidRDefault="005067E2" w:rsidP="005067E2">
      <w:pPr>
        <w:pStyle w:val="NoSpacing"/>
        <w:rPr>
          <w:highlight w:val="yellow"/>
        </w:rPr>
      </w:pPr>
    </w:p>
    <w:p w14:paraId="21964B0E" w14:textId="2ED9C57F" w:rsidR="005067E2" w:rsidRPr="00674C09" w:rsidRDefault="005067E2" w:rsidP="005067E2">
      <w:pPr>
        <w:pStyle w:val="Heading2"/>
        <w:rPr>
          <w:rStyle w:val="Heading3Char"/>
          <w:b/>
          <w:sz w:val="26"/>
          <w:szCs w:val="26"/>
        </w:rPr>
      </w:pPr>
      <w:bookmarkStart w:id="96" w:name="_Toc208329974"/>
      <w:r w:rsidRPr="0085725E">
        <w:lastRenderedPageBreak/>
        <w:t>Secondary fires (anti-social behaviour - ASB)</w:t>
      </w:r>
      <w:bookmarkEnd w:id="96"/>
      <w:r w:rsidRPr="00674C09">
        <w:t xml:space="preserve"> </w:t>
      </w:r>
    </w:p>
    <w:p w14:paraId="1DCA2EEE" w14:textId="77777777" w:rsidR="005067E2" w:rsidRPr="00674C09" w:rsidRDefault="005067E2" w:rsidP="005067E2">
      <w:r w:rsidRPr="00674C09">
        <w:t>This type of incident incorporates fires with no casualties, rescues or valuable property loss.  These include outdoor fires, derelict property and derelict vehicle fires.  Outdoor fires may involve grass, refuse, wheelie bins and straw.</w:t>
      </w:r>
    </w:p>
    <w:p w14:paraId="707727F1" w14:textId="3F85F17E" w:rsidR="005067E2" w:rsidRPr="00674C09" w:rsidRDefault="005067E2" w:rsidP="005067E2">
      <w:r w:rsidRPr="00674C09">
        <w:t xml:space="preserve">Although there may be less damage incurred by secondary fires than primary fires, and these incident types generally occur outdoors, not involving people or property, the impact of deliberate secondary fires on </w:t>
      </w:r>
      <w:r w:rsidR="00721973" w:rsidRPr="00674C09">
        <w:rPr>
          <w:lang w:eastAsia="en-GB"/>
        </w:rPr>
        <w:t>Lancashire Fire and Rescue Service</w:t>
      </w:r>
      <w:r w:rsidR="00721973" w:rsidRPr="00674C09">
        <w:t xml:space="preserve"> i</w:t>
      </w:r>
      <w:r w:rsidRPr="00674C09">
        <w:t>s substantial.  Secondary fires are one of the biggest burdens placed on our resources.</w:t>
      </w:r>
    </w:p>
    <w:p w14:paraId="208BD532" w14:textId="473D7B03" w:rsidR="005067E2" w:rsidRPr="00D0558B" w:rsidRDefault="005067E2" w:rsidP="005067E2">
      <w:r w:rsidRPr="00CE7BDE">
        <w:t>Over the previous five years, we have attended an average of 1,</w:t>
      </w:r>
      <w:r w:rsidR="00CE7BDE" w:rsidRPr="0085725E">
        <w:t xml:space="preserve">1526 </w:t>
      </w:r>
      <w:r w:rsidRPr="00CE7BDE">
        <w:t xml:space="preserve">deliberate secondary fires a year, equating to </w:t>
      </w:r>
      <w:r w:rsidR="00CE7BDE" w:rsidRPr="0085725E">
        <w:t>7631</w:t>
      </w:r>
      <w:r w:rsidR="00CE7BDE" w:rsidRPr="00CE7BDE">
        <w:t xml:space="preserve"> </w:t>
      </w:r>
      <w:r w:rsidRPr="00CE7BDE">
        <w:t>in total</w:t>
      </w:r>
      <w:r w:rsidRPr="00D0558B">
        <w:t xml:space="preserve">.  Of these, </w:t>
      </w:r>
      <w:r w:rsidR="0047385A" w:rsidRPr="0085725E">
        <w:t>69</w:t>
      </w:r>
      <w:r w:rsidRPr="00D0558B">
        <w:t xml:space="preserve">% involved rubbish, in the form of either loose refuse, a skip, a small refuse container or a wheelie bin.  Over </w:t>
      </w:r>
      <w:r w:rsidR="0047385A" w:rsidRPr="0085725E">
        <w:t>50</w:t>
      </w:r>
      <w:r w:rsidRPr="00D0558B">
        <w:t>% of the total number of incidents occurred in the districts of Preston, Burnley, Blackpool or Blackburn with Darwen.</w:t>
      </w:r>
    </w:p>
    <w:p w14:paraId="28982F0D"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secondary fires (ASB)"/>
        <w:tblDescription w:val="A table detailing the likelihood, consequence, risk score and overall assessment"/>
      </w:tblPr>
      <w:tblGrid>
        <w:gridCol w:w="4526"/>
        <w:gridCol w:w="9"/>
        <w:gridCol w:w="1587"/>
      </w:tblGrid>
      <w:tr w:rsidR="005067E2" w:rsidRPr="002B7E1B" w14:paraId="4C9B7D8B" w14:textId="77777777" w:rsidTr="005604A2">
        <w:trPr>
          <w:tblHeade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151C269" w14:textId="77777777" w:rsidR="005067E2" w:rsidRPr="00B06574" w:rsidRDefault="005067E2" w:rsidP="00007ED6">
            <w:pPr>
              <w:pStyle w:val="Tabletext"/>
              <w:keepNext/>
              <w:rPr>
                <w:sz w:val="24"/>
              </w:rPr>
            </w:pPr>
            <w:r w:rsidRPr="00B06574">
              <w:rPr>
                <w:b/>
                <w:bCs w:val="0"/>
                <w:sz w:val="24"/>
              </w:rPr>
              <w:t>Risk – Secondary fires (ASB)</w:t>
            </w:r>
          </w:p>
        </w:tc>
        <w:tc>
          <w:tcPr>
            <w:tcW w:w="159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89C3B4A" w14:textId="77777777" w:rsidR="005067E2" w:rsidRPr="00B06574" w:rsidRDefault="005067E2" w:rsidP="00007ED6">
            <w:pPr>
              <w:pStyle w:val="Tabletext"/>
              <w:keepNext/>
              <w:rPr>
                <w:sz w:val="24"/>
              </w:rPr>
            </w:pPr>
            <w:r w:rsidRPr="00B06574">
              <w:rPr>
                <w:b/>
                <w:sz w:val="24"/>
              </w:rPr>
              <w:t>Rating</w:t>
            </w:r>
          </w:p>
        </w:tc>
      </w:tr>
      <w:tr w:rsidR="005067E2" w:rsidRPr="002B7E1B" w14:paraId="6A1E52EA" w14:textId="77777777" w:rsidTr="005604A2">
        <w:trPr>
          <w:jc w:val="center"/>
        </w:trPr>
        <w:tc>
          <w:tcPr>
            <w:tcW w:w="4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42C1A69" w14:textId="77777777" w:rsidR="005067E2" w:rsidRPr="00B06574" w:rsidRDefault="005067E2" w:rsidP="00007ED6">
            <w:pPr>
              <w:pStyle w:val="Tabletext"/>
              <w:keepNext/>
              <w:rPr>
                <w:b/>
                <w:bCs w:val="0"/>
                <w:sz w:val="24"/>
              </w:rPr>
            </w:pPr>
            <w:r w:rsidRPr="00B06574">
              <w:rPr>
                <w:b/>
                <w:bCs w:val="0"/>
                <w:sz w:val="24"/>
              </w:rPr>
              <w:t>Likelihood</w:t>
            </w:r>
          </w:p>
        </w:tc>
        <w:tc>
          <w:tcPr>
            <w:tcW w:w="1587" w:type="dxa"/>
            <w:tcBorders>
              <w:top w:val="nil"/>
              <w:left w:val="nil"/>
              <w:bottom w:val="single" w:sz="8" w:space="0" w:color="auto"/>
              <w:right w:val="single" w:sz="8" w:space="0" w:color="auto"/>
            </w:tcBorders>
          </w:tcPr>
          <w:p w14:paraId="2AFDEA9D" w14:textId="77777777" w:rsidR="005067E2" w:rsidRPr="00B06574" w:rsidRDefault="005067E2" w:rsidP="005604A2">
            <w:pPr>
              <w:pStyle w:val="Tabletext"/>
              <w:rPr>
                <w:sz w:val="24"/>
              </w:rPr>
            </w:pPr>
            <w:r w:rsidRPr="00B06574">
              <w:rPr>
                <w:sz w:val="24"/>
              </w:rPr>
              <w:t>High</w:t>
            </w:r>
          </w:p>
        </w:tc>
      </w:tr>
      <w:tr w:rsidR="005067E2" w:rsidRPr="002B7E1B" w14:paraId="66256EC9" w14:textId="77777777" w:rsidTr="005604A2">
        <w:trPr>
          <w:jc w:val="center"/>
        </w:trPr>
        <w:tc>
          <w:tcPr>
            <w:tcW w:w="4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5FB898" w14:textId="77777777" w:rsidR="005067E2" w:rsidRPr="00B06574" w:rsidRDefault="005067E2" w:rsidP="00007ED6">
            <w:pPr>
              <w:pStyle w:val="Tabletext"/>
              <w:keepNext/>
              <w:rPr>
                <w:b/>
                <w:bCs w:val="0"/>
                <w:sz w:val="24"/>
              </w:rPr>
            </w:pPr>
            <w:r w:rsidRPr="00B06574">
              <w:rPr>
                <w:b/>
                <w:bCs w:val="0"/>
                <w:sz w:val="24"/>
              </w:rPr>
              <w:t>Consequence</w:t>
            </w:r>
          </w:p>
        </w:tc>
        <w:tc>
          <w:tcPr>
            <w:tcW w:w="1587" w:type="dxa"/>
            <w:tcBorders>
              <w:top w:val="single" w:sz="8" w:space="0" w:color="auto"/>
              <w:left w:val="nil"/>
              <w:bottom w:val="single" w:sz="8" w:space="0" w:color="auto"/>
              <w:right w:val="single" w:sz="8" w:space="0" w:color="auto"/>
            </w:tcBorders>
          </w:tcPr>
          <w:p w14:paraId="7B397409" w14:textId="77777777" w:rsidR="005067E2" w:rsidRPr="00B06574" w:rsidRDefault="005067E2" w:rsidP="005604A2">
            <w:pPr>
              <w:pStyle w:val="Tabletext"/>
              <w:rPr>
                <w:sz w:val="24"/>
              </w:rPr>
            </w:pPr>
            <w:r w:rsidRPr="00B06574">
              <w:rPr>
                <w:sz w:val="24"/>
              </w:rPr>
              <w:t>Limited</w:t>
            </w:r>
          </w:p>
        </w:tc>
      </w:tr>
      <w:tr w:rsidR="005067E2" w:rsidRPr="002B7E1B" w14:paraId="1D83391D" w14:textId="77777777" w:rsidTr="005604A2">
        <w:trPr>
          <w:jc w:val="center"/>
        </w:trPr>
        <w:tc>
          <w:tcPr>
            <w:tcW w:w="4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17F60D" w14:textId="77777777" w:rsidR="005067E2" w:rsidRPr="00B06574" w:rsidRDefault="005067E2" w:rsidP="00007ED6">
            <w:pPr>
              <w:pStyle w:val="Tabletext"/>
              <w:keepNext/>
              <w:rPr>
                <w:b/>
                <w:bCs w:val="0"/>
                <w:sz w:val="24"/>
              </w:rPr>
            </w:pPr>
            <w:r w:rsidRPr="00B06574">
              <w:rPr>
                <w:b/>
                <w:bCs w:val="0"/>
                <w:sz w:val="24"/>
              </w:rPr>
              <w:t>Risk score</w:t>
            </w:r>
          </w:p>
        </w:tc>
        <w:tc>
          <w:tcPr>
            <w:tcW w:w="1587" w:type="dxa"/>
            <w:tcBorders>
              <w:top w:val="single" w:sz="8" w:space="0" w:color="auto"/>
              <w:left w:val="nil"/>
              <w:bottom w:val="single" w:sz="8" w:space="0" w:color="auto"/>
              <w:right w:val="single" w:sz="8" w:space="0" w:color="auto"/>
            </w:tcBorders>
          </w:tcPr>
          <w:p w14:paraId="4347332E" w14:textId="77777777" w:rsidR="005067E2" w:rsidRPr="00B06574" w:rsidRDefault="005067E2" w:rsidP="005604A2">
            <w:pPr>
              <w:pStyle w:val="Tabletext"/>
              <w:rPr>
                <w:sz w:val="24"/>
              </w:rPr>
            </w:pPr>
            <w:r w:rsidRPr="00B06574">
              <w:rPr>
                <w:sz w:val="24"/>
              </w:rPr>
              <w:t>7.06</w:t>
            </w:r>
          </w:p>
        </w:tc>
      </w:tr>
      <w:tr w:rsidR="005067E2" w:rsidRPr="002B7E1B" w14:paraId="43CEBDB2" w14:textId="77777777" w:rsidTr="005604A2">
        <w:trPr>
          <w:jc w:val="center"/>
        </w:trPr>
        <w:tc>
          <w:tcPr>
            <w:tcW w:w="4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32D95D" w14:textId="77777777" w:rsidR="005067E2" w:rsidRPr="00B06574" w:rsidRDefault="005067E2" w:rsidP="005604A2">
            <w:pPr>
              <w:pStyle w:val="Tabletext"/>
              <w:rPr>
                <w:b/>
                <w:bCs w:val="0"/>
                <w:sz w:val="24"/>
              </w:rPr>
            </w:pPr>
            <w:r w:rsidRPr="00B06574">
              <w:rPr>
                <w:b/>
                <w:bCs w:val="0"/>
                <w:sz w:val="24"/>
              </w:rPr>
              <w:t>Overall assessment</w:t>
            </w:r>
          </w:p>
        </w:tc>
        <w:tc>
          <w:tcPr>
            <w:tcW w:w="1587" w:type="dxa"/>
            <w:tcBorders>
              <w:top w:val="single" w:sz="8" w:space="0" w:color="auto"/>
              <w:left w:val="nil"/>
              <w:bottom w:val="single" w:sz="8" w:space="0" w:color="auto"/>
              <w:right w:val="single" w:sz="8" w:space="0" w:color="auto"/>
            </w:tcBorders>
            <w:shd w:val="clear" w:color="auto" w:fill="FFC000"/>
          </w:tcPr>
          <w:p w14:paraId="0FC997BC" w14:textId="77777777" w:rsidR="005067E2" w:rsidRPr="00B06574" w:rsidRDefault="005067E2" w:rsidP="005604A2">
            <w:pPr>
              <w:pStyle w:val="Tabletext"/>
              <w:rPr>
                <w:sz w:val="24"/>
              </w:rPr>
            </w:pPr>
            <w:r w:rsidRPr="00B06574">
              <w:rPr>
                <w:sz w:val="24"/>
              </w:rPr>
              <w:t>High</w:t>
            </w:r>
          </w:p>
        </w:tc>
      </w:tr>
    </w:tbl>
    <w:p w14:paraId="6D502A8E" w14:textId="77777777" w:rsidR="005067E2" w:rsidRPr="00007ED6" w:rsidRDefault="005067E2" w:rsidP="00007ED6">
      <w:pPr>
        <w:pStyle w:val="NoSpacing"/>
        <w:rPr>
          <w:highlight w:val="yellow"/>
        </w:rPr>
      </w:pPr>
    </w:p>
    <w:p w14:paraId="40E487E7" w14:textId="77777777" w:rsidR="00B06574" w:rsidRPr="00674C09" w:rsidRDefault="00B06574" w:rsidP="00B06574">
      <w:pPr>
        <w:pStyle w:val="Heading2"/>
        <w:rPr>
          <w:b w:val="0"/>
        </w:rPr>
      </w:pPr>
      <w:bookmarkStart w:id="97" w:name="_Toc208329975"/>
      <w:r w:rsidRPr="00674C09">
        <w:t>Heritage fires</w:t>
      </w:r>
      <w:bookmarkEnd w:id="97"/>
    </w:p>
    <w:p w14:paraId="1A3E763F" w14:textId="77777777" w:rsidR="00B06574" w:rsidRPr="00674C09" w:rsidRDefault="00B06574" w:rsidP="00B06574">
      <w:pPr>
        <w:rPr>
          <w:lang w:val="en"/>
        </w:rPr>
      </w:pPr>
      <w:r w:rsidRPr="00674C09">
        <w:rPr>
          <w:lang w:val="en"/>
        </w:rPr>
        <w:t>Heritage buildings or their contents may be of economic or cultural importance.  These buildings present unique hazards, having been built in a period with no fire safety regulations, using traditional materials and construction methods.  Utilities and associated protection measures are unlikely to meet current standards.  Wiring may have deteriorated, and circuits can have no isolation point, or isolation may not control all circuits.</w:t>
      </w:r>
    </w:p>
    <w:p w14:paraId="694B13BE" w14:textId="77777777" w:rsidR="00B06574" w:rsidRPr="00674C09" w:rsidRDefault="00B06574" w:rsidP="00B06574">
      <w:pPr>
        <w:rPr>
          <w:lang w:val="en"/>
        </w:rPr>
      </w:pPr>
      <w:r w:rsidRPr="00674C09">
        <w:rPr>
          <w:lang w:val="en"/>
        </w:rPr>
        <w:t>Heritage buildings that are open to the public or have had recent alterations may have been modified to meet current regulations.  During a building’s lifetime, it may have been altered or extended, using different materials and methods which can cause the structure to behave in unexpected ways.  In older properties, internal studded walls may support part of the weight of the property.  It is common for heritage buildings to have mezzanine floors, basements, tunnels, and attics.</w:t>
      </w:r>
    </w:p>
    <w:p w14:paraId="00415D75" w14:textId="77777777" w:rsidR="00B06574" w:rsidRPr="00674C09" w:rsidRDefault="00B06574" w:rsidP="00B06574">
      <w:pPr>
        <w:rPr>
          <w:lang w:val="en"/>
        </w:rPr>
      </w:pPr>
      <w:r w:rsidRPr="00674C09">
        <w:rPr>
          <w:lang w:val="en"/>
        </w:rPr>
        <w:t xml:space="preserve">The materials and design of heritage buildings can increase the expected rate of fire growth and spread.  Fire spread may travel in hidden voids, behind facades and in cavities to </w:t>
      </w:r>
      <w:r w:rsidRPr="00674C09">
        <w:rPr>
          <w:lang w:val="en"/>
        </w:rPr>
        <w:lastRenderedPageBreak/>
        <w:t>unexpected sections of the building.  Vaults and ducts can cause unchecked fire to spread underfoot.  Lack of compartmentation can cause fires to spread to additional rooms.  Fire spread may also occur between properties where shared roof spaces or voids exist.</w:t>
      </w:r>
    </w:p>
    <w:p w14:paraId="66AB0786" w14:textId="7F1BB187" w:rsidR="00B06574" w:rsidRPr="00CE7BDE" w:rsidRDefault="00B06574" w:rsidP="00B06574">
      <w:r w:rsidRPr="00CE7BDE">
        <w:t xml:space="preserve">Over the previous five years, we have attended </w:t>
      </w:r>
      <w:r w:rsidR="00CE7BDE" w:rsidRPr="0085725E">
        <w:t xml:space="preserve">37 </w:t>
      </w:r>
      <w:r w:rsidRPr="00CE7BDE">
        <w:t xml:space="preserve">incidents where there has been a fire within a 50-metre radius of a heritage property.  This is an average of </w:t>
      </w:r>
      <w:r w:rsidR="00CE7BDE" w:rsidRPr="0085725E">
        <w:t>7</w:t>
      </w:r>
      <w:r w:rsidR="00CE7BDE" w:rsidRPr="00CE7BDE">
        <w:t xml:space="preserve"> </w:t>
      </w:r>
      <w:r w:rsidRPr="00CE7BDE">
        <w:t>incidents of this type a year.</w:t>
      </w:r>
    </w:p>
    <w:p w14:paraId="4493FA91" w14:textId="77777777" w:rsidR="00B06574" w:rsidRPr="0085725E" w:rsidRDefault="00B06574" w:rsidP="00B06574">
      <w:pPr>
        <w:pStyle w:val="NoSpacing"/>
        <w:rPr>
          <w:highlight w:val="yellow"/>
        </w:rPr>
      </w:pPr>
    </w:p>
    <w:tbl>
      <w:tblPr>
        <w:tblStyle w:val="TableGrid"/>
        <w:tblW w:w="0" w:type="auto"/>
        <w:jc w:val="center"/>
        <w:tblLayout w:type="fixed"/>
        <w:tblLook w:val="04A0" w:firstRow="1" w:lastRow="0" w:firstColumn="1" w:lastColumn="0" w:noHBand="0" w:noVBand="1"/>
        <w:tblCaption w:val="Risk - heritage fires"/>
        <w:tblDescription w:val="A table detailing the likelihood, consequence, risk score and overall assessment"/>
      </w:tblPr>
      <w:tblGrid>
        <w:gridCol w:w="4385"/>
        <w:gridCol w:w="1737"/>
      </w:tblGrid>
      <w:tr w:rsidR="00B06574" w:rsidRPr="002B7E1B" w14:paraId="6EE954C9" w14:textId="77777777" w:rsidTr="00E373FB">
        <w:trPr>
          <w:tblHeade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006251" w14:textId="77777777" w:rsidR="00B06574" w:rsidRPr="00B06574" w:rsidRDefault="00B06574" w:rsidP="00007ED6">
            <w:pPr>
              <w:pStyle w:val="Tabletext"/>
              <w:keepNext/>
              <w:rPr>
                <w:sz w:val="24"/>
              </w:rPr>
            </w:pPr>
            <w:r w:rsidRPr="00B06574">
              <w:rPr>
                <w:b/>
                <w:bCs w:val="0"/>
                <w:sz w:val="24"/>
              </w:rPr>
              <w:t>Risk – Heritage fires</w:t>
            </w:r>
          </w:p>
        </w:tc>
        <w:tc>
          <w:tcPr>
            <w:tcW w:w="17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C8AEDE" w14:textId="77777777" w:rsidR="00B06574" w:rsidRPr="00B06574" w:rsidRDefault="00B06574" w:rsidP="00E373FB">
            <w:pPr>
              <w:pStyle w:val="Tabletext"/>
              <w:rPr>
                <w:sz w:val="24"/>
              </w:rPr>
            </w:pPr>
            <w:r w:rsidRPr="00B06574">
              <w:rPr>
                <w:b/>
                <w:sz w:val="24"/>
              </w:rPr>
              <w:t>Rating</w:t>
            </w:r>
          </w:p>
        </w:tc>
      </w:tr>
      <w:tr w:rsidR="00B06574" w:rsidRPr="002B7E1B" w14:paraId="56FB8A98"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669092" w14:textId="77777777" w:rsidR="00B06574" w:rsidRPr="00B06574" w:rsidRDefault="00B06574" w:rsidP="00007ED6">
            <w:pPr>
              <w:pStyle w:val="Tabletext"/>
              <w:keepNext/>
              <w:rPr>
                <w:b/>
                <w:bCs w:val="0"/>
                <w:sz w:val="24"/>
              </w:rPr>
            </w:pPr>
            <w:r w:rsidRPr="00B06574">
              <w:rPr>
                <w:b/>
                <w:bCs w:val="0"/>
                <w:sz w:val="24"/>
              </w:rPr>
              <w:t>Likelihood</w:t>
            </w:r>
          </w:p>
        </w:tc>
        <w:tc>
          <w:tcPr>
            <w:tcW w:w="1737" w:type="dxa"/>
            <w:tcBorders>
              <w:top w:val="nil"/>
              <w:left w:val="nil"/>
              <w:bottom w:val="single" w:sz="8" w:space="0" w:color="auto"/>
              <w:right w:val="single" w:sz="8" w:space="0" w:color="auto"/>
            </w:tcBorders>
          </w:tcPr>
          <w:p w14:paraId="61C4D3BB" w14:textId="77777777" w:rsidR="00B06574" w:rsidRPr="00B06574" w:rsidRDefault="00B06574" w:rsidP="00E373FB">
            <w:pPr>
              <w:pStyle w:val="Tabletext"/>
              <w:rPr>
                <w:sz w:val="24"/>
              </w:rPr>
            </w:pPr>
            <w:r w:rsidRPr="00B06574">
              <w:rPr>
                <w:sz w:val="24"/>
              </w:rPr>
              <w:t>Medium Low</w:t>
            </w:r>
          </w:p>
        </w:tc>
      </w:tr>
      <w:tr w:rsidR="00B06574" w:rsidRPr="002B7E1B" w14:paraId="0FC787D0"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B00C502" w14:textId="77777777" w:rsidR="00B06574" w:rsidRPr="00B06574" w:rsidRDefault="00B06574" w:rsidP="00007ED6">
            <w:pPr>
              <w:pStyle w:val="Tabletext"/>
              <w:keepNext/>
              <w:rPr>
                <w:b/>
                <w:bCs w:val="0"/>
                <w:sz w:val="24"/>
              </w:rPr>
            </w:pPr>
            <w:r w:rsidRPr="00B06574">
              <w:rPr>
                <w:b/>
                <w:bCs w:val="0"/>
                <w:sz w:val="24"/>
              </w:rPr>
              <w:t>Consequence</w:t>
            </w:r>
          </w:p>
        </w:tc>
        <w:tc>
          <w:tcPr>
            <w:tcW w:w="1737" w:type="dxa"/>
            <w:tcBorders>
              <w:top w:val="single" w:sz="8" w:space="0" w:color="auto"/>
              <w:left w:val="nil"/>
              <w:bottom w:val="single" w:sz="8" w:space="0" w:color="auto"/>
              <w:right w:val="single" w:sz="8" w:space="0" w:color="auto"/>
            </w:tcBorders>
          </w:tcPr>
          <w:p w14:paraId="3792A4C2" w14:textId="77777777" w:rsidR="00B06574" w:rsidRPr="00B06574" w:rsidRDefault="00B06574" w:rsidP="00E373FB">
            <w:pPr>
              <w:pStyle w:val="Tabletext"/>
              <w:rPr>
                <w:sz w:val="24"/>
              </w:rPr>
            </w:pPr>
            <w:r w:rsidRPr="00B06574">
              <w:rPr>
                <w:sz w:val="24"/>
              </w:rPr>
              <w:t>Moderate</w:t>
            </w:r>
          </w:p>
        </w:tc>
      </w:tr>
      <w:tr w:rsidR="00B06574" w:rsidRPr="002B7E1B" w14:paraId="59E45988"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4B1E82A" w14:textId="77777777" w:rsidR="00B06574" w:rsidRPr="00B06574" w:rsidRDefault="00B06574" w:rsidP="00007ED6">
            <w:pPr>
              <w:pStyle w:val="Tabletext"/>
              <w:keepNext/>
              <w:rPr>
                <w:b/>
                <w:bCs w:val="0"/>
                <w:sz w:val="24"/>
              </w:rPr>
            </w:pPr>
            <w:r w:rsidRPr="00B06574">
              <w:rPr>
                <w:b/>
                <w:bCs w:val="0"/>
                <w:sz w:val="24"/>
              </w:rPr>
              <w:t>Risk score</w:t>
            </w:r>
          </w:p>
        </w:tc>
        <w:tc>
          <w:tcPr>
            <w:tcW w:w="1737" w:type="dxa"/>
            <w:tcBorders>
              <w:top w:val="single" w:sz="8" w:space="0" w:color="auto"/>
              <w:left w:val="nil"/>
              <w:bottom w:val="single" w:sz="8" w:space="0" w:color="auto"/>
              <w:right w:val="single" w:sz="8" w:space="0" w:color="auto"/>
            </w:tcBorders>
          </w:tcPr>
          <w:p w14:paraId="68247689" w14:textId="77777777" w:rsidR="00B06574" w:rsidRPr="00B06574" w:rsidRDefault="00B06574" w:rsidP="00E373FB">
            <w:pPr>
              <w:pStyle w:val="Tabletext"/>
              <w:rPr>
                <w:sz w:val="24"/>
              </w:rPr>
            </w:pPr>
            <w:r w:rsidRPr="00B06574">
              <w:rPr>
                <w:sz w:val="24"/>
              </w:rPr>
              <w:t>6.57</w:t>
            </w:r>
          </w:p>
        </w:tc>
      </w:tr>
      <w:tr w:rsidR="00B06574" w:rsidRPr="002B7E1B" w14:paraId="1C0CBFCF"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4BA899" w14:textId="77777777" w:rsidR="00B06574" w:rsidRPr="00B06574" w:rsidRDefault="00B06574" w:rsidP="00E373FB">
            <w:pPr>
              <w:pStyle w:val="Tabletext"/>
              <w:rPr>
                <w:b/>
                <w:bCs w:val="0"/>
                <w:sz w:val="24"/>
              </w:rPr>
            </w:pPr>
            <w:r w:rsidRPr="00B06574">
              <w:rPr>
                <w:b/>
                <w:bCs w:val="0"/>
                <w:sz w:val="24"/>
              </w:rPr>
              <w:t>Overall assessment</w:t>
            </w:r>
          </w:p>
        </w:tc>
        <w:tc>
          <w:tcPr>
            <w:tcW w:w="1737" w:type="dxa"/>
            <w:tcBorders>
              <w:top w:val="single" w:sz="8" w:space="0" w:color="auto"/>
              <w:left w:val="nil"/>
              <w:bottom w:val="single" w:sz="8" w:space="0" w:color="auto"/>
              <w:right w:val="single" w:sz="8" w:space="0" w:color="auto"/>
            </w:tcBorders>
            <w:shd w:val="clear" w:color="auto" w:fill="FFC000"/>
          </w:tcPr>
          <w:p w14:paraId="798FC886" w14:textId="77777777" w:rsidR="00B06574" w:rsidRPr="00B06574" w:rsidRDefault="00B06574" w:rsidP="00E373FB">
            <w:pPr>
              <w:pStyle w:val="Tabletext"/>
              <w:rPr>
                <w:sz w:val="24"/>
              </w:rPr>
            </w:pPr>
            <w:r w:rsidRPr="00B06574">
              <w:rPr>
                <w:sz w:val="24"/>
              </w:rPr>
              <w:t>High</w:t>
            </w:r>
          </w:p>
        </w:tc>
      </w:tr>
    </w:tbl>
    <w:p w14:paraId="4C0C6334" w14:textId="77777777" w:rsidR="00007ED6" w:rsidRDefault="00007ED6" w:rsidP="00007ED6">
      <w:pPr>
        <w:pStyle w:val="NoSpacing"/>
      </w:pPr>
    </w:p>
    <w:p w14:paraId="1C385FFD" w14:textId="1EE18086" w:rsidR="00B06574" w:rsidRPr="00674C09" w:rsidRDefault="00B06574" w:rsidP="00B06574">
      <w:pPr>
        <w:pStyle w:val="Heading2"/>
        <w:rPr>
          <w:b w:val="0"/>
        </w:rPr>
      </w:pPr>
      <w:bookmarkStart w:id="98" w:name="_Toc208329976"/>
      <w:r w:rsidRPr="00674C09">
        <w:t>Lift release</w:t>
      </w:r>
      <w:bookmarkEnd w:id="98"/>
    </w:p>
    <w:p w14:paraId="39C71EAA" w14:textId="77777777" w:rsidR="00B06574" w:rsidRPr="00674C09" w:rsidRDefault="00B06574" w:rsidP="00B06574">
      <w:r w:rsidRPr="00674C09">
        <w:t>Fire and rescue services are not required to attend incidents where a person is shut in a lift, and not in any immediate physical or medical danger.  They should only be called in an emergency.  Maintenance and non-emergency lift releases are the responsibility of the building or lift owner, who should ensure there is a 24/7 lift release service provided, as well as communications facilities inside the elevator so a person can raise the alarm.</w:t>
      </w:r>
    </w:p>
    <w:p w14:paraId="26F02A9D" w14:textId="0034A17E" w:rsidR="00B06574" w:rsidRPr="00D0558B" w:rsidRDefault="00B06574" w:rsidP="00B06574">
      <w:pPr>
        <w:spacing w:before="0" w:after="160" w:line="259" w:lineRule="auto"/>
      </w:pPr>
      <w:r w:rsidRPr="00CE7BDE">
        <w:t xml:space="preserve">Over the previous five years, we have attended </w:t>
      </w:r>
      <w:r w:rsidR="00CE7BDE" w:rsidRPr="0085725E">
        <w:t>708</w:t>
      </w:r>
      <w:r w:rsidR="00CE7BDE" w:rsidRPr="00CE7BDE">
        <w:t xml:space="preserve"> </w:t>
      </w:r>
      <w:r w:rsidRPr="00CE7BDE">
        <w:t xml:space="preserve">incidents involving a lift release, equating to an average of </w:t>
      </w:r>
      <w:r w:rsidR="00CE7BDE" w:rsidRPr="0085725E">
        <w:t>142</w:t>
      </w:r>
      <w:r w:rsidR="00CE7BDE" w:rsidRPr="00CE7BDE">
        <w:t xml:space="preserve"> </w:t>
      </w:r>
      <w:r w:rsidRPr="00CE7BDE">
        <w:t>incidents a year</w:t>
      </w:r>
      <w:r w:rsidRPr="00D0558B">
        <w:t xml:space="preserve">.  </w:t>
      </w:r>
      <w:r w:rsidR="0047385A" w:rsidRPr="0085725E">
        <w:t>74</w:t>
      </w:r>
      <w:r w:rsidRPr="00D0558B">
        <w:t xml:space="preserve">% of these incidents involved a rescue of someone that was not in distress.  </w:t>
      </w:r>
      <w:r w:rsidR="0047385A" w:rsidRPr="0085725E">
        <w:t>68</w:t>
      </w:r>
      <w:r w:rsidRPr="00D0558B">
        <w:t>% of the total number of incidents involved a residential building.</w:t>
      </w:r>
    </w:p>
    <w:p w14:paraId="669F8E1E" w14:textId="77777777" w:rsidR="00B06574" w:rsidRPr="0085725E" w:rsidRDefault="00B06574" w:rsidP="00B06574">
      <w:pPr>
        <w:pStyle w:val="NoSpacing"/>
        <w:rPr>
          <w:highlight w:val="yellow"/>
        </w:rPr>
      </w:pPr>
    </w:p>
    <w:tbl>
      <w:tblPr>
        <w:tblStyle w:val="TableGrid"/>
        <w:tblW w:w="0" w:type="auto"/>
        <w:jc w:val="center"/>
        <w:tblLayout w:type="fixed"/>
        <w:tblLook w:val="04A0" w:firstRow="1" w:lastRow="0" w:firstColumn="1" w:lastColumn="0" w:noHBand="0" w:noVBand="1"/>
        <w:tblCaption w:val="Risk - lift release"/>
        <w:tblDescription w:val="A table detailing the likelihood, consequence, risk score and overall assessment"/>
      </w:tblPr>
      <w:tblGrid>
        <w:gridCol w:w="4101"/>
        <w:gridCol w:w="2021"/>
      </w:tblGrid>
      <w:tr w:rsidR="00B06574" w:rsidRPr="002B7E1B" w14:paraId="3B97A1CF" w14:textId="77777777" w:rsidTr="00E373FB">
        <w:trPr>
          <w:tblHeade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1C00E0" w14:textId="77777777" w:rsidR="00B06574" w:rsidRPr="00B06574" w:rsidRDefault="00B06574" w:rsidP="00007ED6">
            <w:pPr>
              <w:pStyle w:val="Tabletext"/>
              <w:keepNext/>
              <w:rPr>
                <w:sz w:val="24"/>
              </w:rPr>
            </w:pPr>
            <w:r w:rsidRPr="00B06574">
              <w:rPr>
                <w:b/>
                <w:bCs w:val="0"/>
                <w:sz w:val="24"/>
              </w:rPr>
              <w:t>Risk – Lift release</w:t>
            </w:r>
          </w:p>
        </w:tc>
        <w:tc>
          <w:tcPr>
            <w:tcW w:w="20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75A3B09" w14:textId="77777777" w:rsidR="00B06574" w:rsidRPr="00B06574" w:rsidRDefault="00B06574" w:rsidP="00E373FB">
            <w:pPr>
              <w:pStyle w:val="Tabletext"/>
              <w:rPr>
                <w:sz w:val="24"/>
              </w:rPr>
            </w:pPr>
            <w:r w:rsidRPr="00B06574">
              <w:rPr>
                <w:b/>
                <w:sz w:val="24"/>
              </w:rPr>
              <w:t>Rating</w:t>
            </w:r>
          </w:p>
        </w:tc>
      </w:tr>
      <w:tr w:rsidR="00B06574" w:rsidRPr="002B7E1B" w14:paraId="56AC0556" w14:textId="77777777" w:rsidTr="00E373FB">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275E5C" w14:textId="77777777" w:rsidR="00B06574" w:rsidRPr="00B06574" w:rsidRDefault="00B06574" w:rsidP="00007ED6">
            <w:pPr>
              <w:pStyle w:val="Tabletext"/>
              <w:keepNext/>
              <w:rPr>
                <w:b/>
                <w:bCs w:val="0"/>
                <w:sz w:val="24"/>
              </w:rPr>
            </w:pPr>
            <w:r w:rsidRPr="00B06574">
              <w:rPr>
                <w:b/>
                <w:bCs w:val="0"/>
                <w:sz w:val="24"/>
              </w:rPr>
              <w:t>Likelihood</w:t>
            </w:r>
          </w:p>
        </w:tc>
        <w:tc>
          <w:tcPr>
            <w:tcW w:w="2021" w:type="dxa"/>
            <w:tcBorders>
              <w:top w:val="nil"/>
              <w:left w:val="nil"/>
              <w:bottom w:val="single" w:sz="8" w:space="0" w:color="auto"/>
              <w:right w:val="single" w:sz="8" w:space="0" w:color="auto"/>
            </w:tcBorders>
          </w:tcPr>
          <w:p w14:paraId="585BD94B" w14:textId="77777777" w:rsidR="00B06574" w:rsidRPr="00B06574" w:rsidRDefault="00B06574" w:rsidP="00E373FB">
            <w:pPr>
              <w:pStyle w:val="Tabletext"/>
              <w:rPr>
                <w:sz w:val="24"/>
              </w:rPr>
            </w:pPr>
            <w:r w:rsidRPr="00B06574">
              <w:rPr>
                <w:sz w:val="24"/>
              </w:rPr>
              <w:t>Medium High</w:t>
            </w:r>
          </w:p>
        </w:tc>
      </w:tr>
      <w:tr w:rsidR="00B06574" w:rsidRPr="002B7E1B" w14:paraId="4D919C5D" w14:textId="77777777" w:rsidTr="00E373FB">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0558E15" w14:textId="77777777" w:rsidR="00B06574" w:rsidRPr="00B06574" w:rsidRDefault="00B06574" w:rsidP="00007ED6">
            <w:pPr>
              <w:pStyle w:val="Tabletext"/>
              <w:keepNext/>
              <w:rPr>
                <w:b/>
                <w:bCs w:val="0"/>
                <w:sz w:val="24"/>
              </w:rPr>
            </w:pPr>
            <w:r w:rsidRPr="00B06574">
              <w:rPr>
                <w:b/>
                <w:bCs w:val="0"/>
                <w:sz w:val="24"/>
              </w:rPr>
              <w:t>Consequence</w:t>
            </w:r>
          </w:p>
        </w:tc>
        <w:tc>
          <w:tcPr>
            <w:tcW w:w="2021" w:type="dxa"/>
            <w:tcBorders>
              <w:top w:val="single" w:sz="8" w:space="0" w:color="auto"/>
              <w:left w:val="nil"/>
              <w:bottom w:val="single" w:sz="8" w:space="0" w:color="auto"/>
              <w:right w:val="single" w:sz="8" w:space="0" w:color="auto"/>
            </w:tcBorders>
          </w:tcPr>
          <w:p w14:paraId="0D388D4E" w14:textId="77777777" w:rsidR="00B06574" w:rsidRPr="00B06574" w:rsidRDefault="00B06574" w:rsidP="00E373FB">
            <w:pPr>
              <w:pStyle w:val="Tabletext"/>
              <w:rPr>
                <w:sz w:val="24"/>
              </w:rPr>
            </w:pPr>
            <w:r w:rsidRPr="00B06574">
              <w:rPr>
                <w:sz w:val="24"/>
              </w:rPr>
              <w:t>Limited</w:t>
            </w:r>
          </w:p>
        </w:tc>
      </w:tr>
      <w:tr w:rsidR="00B06574" w:rsidRPr="002B7E1B" w14:paraId="082DEA73" w14:textId="77777777" w:rsidTr="00E373FB">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6286A02" w14:textId="77777777" w:rsidR="00B06574" w:rsidRPr="00B06574" w:rsidRDefault="00B06574" w:rsidP="00007ED6">
            <w:pPr>
              <w:pStyle w:val="Tabletext"/>
              <w:keepNext/>
              <w:rPr>
                <w:b/>
                <w:bCs w:val="0"/>
                <w:sz w:val="24"/>
              </w:rPr>
            </w:pPr>
            <w:r w:rsidRPr="00B06574">
              <w:rPr>
                <w:b/>
                <w:bCs w:val="0"/>
                <w:sz w:val="24"/>
              </w:rPr>
              <w:t>Risk score</w:t>
            </w:r>
          </w:p>
        </w:tc>
        <w:tc>
          <w:tcPr>
            <w:tcW w:w="2021" w:type="dxa"/>
            <w:tcBorders>
              <w:top w:val="single" w:sz="8" w:space="0" w:color="auto"/>
              <w:left w:val="nil"/>
              <w:bottom w:val="single" w:sz="8" w:space="0" w:color="auto"/>
              <w:right w:val="single" w:sz="8" w:space="0" w:color="auto"/>
            </w:tcBorders>
          </w:tcPr>
          <w:p w14:paraId="3777C0D8" w14:textId="77670CE2" w:rsidR="00B06574" w:rsidRPr="00B06574" w:rsidRDefault="00B06574" w:rsidP="00E373FB">
            <w:pPr>
              <w:pStyle w:val="Tabletext"/>
              <w:rPr>
                <w:sz w:val="24"/>
              </w:rPr>
            </w:pPr>
            <w:r w:rsidRPr="00B06574">
              <w:rPr>
                <w:sz w:val="24"/>
              </w:rPr>
              <w:t>6.57</w:t>
            </w:r>
          </w:p>
        </w:tc>
      </w:tr>
      <w:tr w:rsidR="00B06574" w:rsidRPr="002B7E1B" w14:paraId="6407D7A1" w14:textId="77777777" w:rsidTr="00E373FB">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87F84B" w14:textId="77777777" w:rsidR="00B06574" w:rsidRPr="00B06574" w:rsidRDefault="00B06574" w:rsidP="00E373FB">
            <w:pPr>
              <w:pStyle w:val="Tabletext"/>
              <w:rPr>
                <w:b/>
                <w:bCs w:val="0"/>
                <w:sz w:val="24"/>
              </w:rPr>
            </w:pPr>
            <w:r w:rsidRPr="00B06574">
              <w:rPr>
                <w:b/>
                <w:bCs w:val="0"/>
                <w:sz w:val="24"/>
              </w:rPr>
              <w:t>Overall assessment</w:t>
            </w:r>
          </w:p>
        </w:tc>
        <w:tc>
          <w:tcPr>
            <w:tcW w:w="2021" w:type="dxa"/>
            <w:tcBorders>
              <w:top w:val="single" w:sz="8" w:space="0" w:color="auto"/>
              <w:left w:val="nil"/>
              <w:bottom w:val="single" w:sz="8" w:space="0" w:color="auto"/>
              <w:right w:val="single" w:sz="8" w:space="0" w:color="auto"/>
            </w:tcBorders>
            <w:shd w:val="clear" w:color="auto" w:fill="FFC000"/>
          </w:tcPr>
          <w:p w14:paraId="4F4D5021" w14:textId="77777777" w:rsidR="00B06574" w:rsidRPr="00B06574" w:rsidRDefault="00B06574" w:rsidP="00E373FB">
            <w:pPr>
              <w:pStyle w:val="Tabletext"/>
              <w:rPr>
                <w:sz w:val="24"/>
              </w:rPr>
            </w:pPr>
            <w:r w:rsidRPr="00B06574">
              <w:rPr>
                <w:sz w:val="24"/>
              </w:rPr>
              <w:t>High</w:t>
            </w:r>
          </w:p>
        </w:tc>
      </w:tr>
    </w:tbl>
    <w:p w14:paraId="1B303ED7" w14:textId="77777777" w:rsidR="00007ED6" w:rsidRDefault="00007ED6" w:rsidP="00007ED6">
      <w:pPr>
        <w:pStyle w:val="NoSpacing"/>
      </w:pPr>
    </w:p>
    <w:p w14:paraId="62EF6366" w14:textId="566C7E25" w:rsidR="00B06574" w:rsidRPr="00674C09" w:rsidRDefault="00B06574" w:rsidP="00B06574">
      <w:pPr>
        <w:pStyle w:val="Heading2"/>
        <w:rPr>
          <w:b w:val="0"/>
        </w:rPr>
      </w:pPr>
      <w:bookmarkStart w:id="99" w:name="_Toc208329977"/>
      <w:r w:rsidRPr="00674C09">
        <w:lastRenderedPageBreak/>
        <w:t>Effecting entry/exit</w:t>
      </w:r>
      <w:bookmarkEnd w:id="99"/>
    </w:p>
    <w:p w14:paraId="14C524FC" w14:textId="77777777" w:rsidR="00B06574" w:rsidRPr="00674C09" w:rsidRDefault="00B06574" w:rsidP="00B06574">
      <w:r w:rsidRPr="00674C09">
        <w:t>The fire service is the ‘go to’ service when people need to get in to, or out of a building or vehicle in an emergency.  Incident types range from getting access to a house because somebody is in distress, children locked in their bedroom along with animals locked in cars.</w:t>
      </w:r>
    </w:p>
    <w:p w14:paraId="6A28A4B9" w14:textId="5471E231" w:rsidR="00B06574" w:rsidRPr="00D0558B" w:rsidRDefault="00B06574" w:rsidP="00B06574">
      <w:r w:rsidRPr="00CE7BDE">
        <w:t xml:space="preserve">Over the previous five years, we have attended an average of </w:t>
      </w:r>
      <w:r w:rsidR="00CE7BDE" w:rsidRPr="0085725E">
        <w:t xml:space="preserve">285 </w:t>
      </w:r>
      <w:r w:rsidRPr="00CE7BDE">
        <w:t xml:space="preserve">incidents a year of this type, totalling </w:t>
      </w:r>
      <w:r w:rsidR="00CE7BDE" w:rsidRPr="0085725E">
        <w:t>1</w:t>
      </w:r>
      <w:r w:rsidR="00CE7BDE">
        <w:t>,</w:t>
      </w:r>
      <w:r w:rsidR="00CE7BDE" w:rsidRPr="0085725E">
        <w:t>427</w:t>
      </w:r>
      <w:r w:rsidRPr="00CE7BDE">
        <w:t xml:space="preserve">.  </w:t>
      </w:r>
      <w:r w:rsidRPr="00D0558B">
        <w:t xml:space="preserve">Of these incidents, </w:t>
      </w:r>
      <w:r w:rsidR="00EB0A19" w:rsidRPr="0085725E">
        <w:t>54</w:t>
      </w:r>
      <w:r w:rsidRPr="00D0558B">
        <w:t xml:space="preserve">% involved </w:t>
      </w:r>
      <w:r w:rsidRPr="00D0558B">
        <w:rPr>
          <w:lang w:eastAsia="en-GB"/>
        </w:rPr>
        <w:t>Lancashire Fire and Rescue Service</w:t>
      </w:r>
      <w:r w:rsidRPr="00D0558B">
        <w:t xml:space="preserve"> effecting entry/exit to a dwelling due to somebody being in distress, being a child or, a medical case.  Children in vehicles accounted for </w:t>
      </w:r>
      <w:r w:rsidR="00EB0A19" w:rsidRPr="0085725E">
        <w:t>15</w:t>
      </w:r>
      <w:r w:rsidRPr="00D0558B">
        <w:t xml:space="preserve">% of the incidents.  Over this five-year period, this incident type has resulted in </w:t>
      </w:r>
      <w:r w:rsidR="00EB0A19" w:rsidRPr="0085725E">
        <w:t>16</w:t>
      </w:r>
      <w:r w:rsidR="00EB0A19" w:rsidRPr="00D0558B">
        <w:t xml:space="preserve"> </w:t>
      </w:r>
      <w:r w:rsidRPr="00D0558B">
        <w:t xml:space="preserve">fatalities, </w:t>
      </w:r>
      <w:r w:rsidR="00EB0A19" w:rsidRPr="0085725E">
        <w:t>64</w:t>
      </w:r>
      <w:r w:rsidR="00EB0A19" w:rsidRPr="00D0558B">
        <w:t xml:space="preserve"> </w:t>
      </w:r>
      <w:r w:rsidRPr="00D0558B">
        <w:t xml:space="preserve">serious injuries and </w:t>
      </w:r>
      <w:r w:rsidR="00EB0A19" w:rsidRPr="0085725E">
        <w:t>83</w:t>
      </w:r>
      <w:r w:rsidR="00EB0A19" w:rsidRPr="00D0558B">
        <w:t xml:space="preserve"> </w:t>
      </w:r>
      <w:r w:rsidRPr="00D0558B">
        <w:t>slight injuries to members of the public.</w:t>
      </w:r>
    </w:p>
    <w:p w14:paraId="34442A7E" w14:textId="77777777" w:rsidR="00B06574" w:rsidRPr="0085725E" w:rsidRDefault="00B06574" w:rsidP="00B06574">
      <w:pPr>
        <w:pStyle w:val="NoSpacing"/>
        <w:rPr>
          <w:highlight w:val="yellow"/>
        </w:rPr>
      </w:pPr>
    </w:p>
    <w:tbl>
      <w:tblPr>
        <w:tblStyle w:val="TableGrid"/>
        <w:tblW w:w="0" w:type="auto"/>
        <w:jc w:val="center"/>
        <w:tblLayout w:type="fixed"/>
        <w:tblLook w:val="04A0" w:firstRow="1" w:lastRow="0" w:firstColumn="1" w:lastColumn="0" w:noHBand="0" w:noVBand="1"/>
        <w:tblCaption w:val="Risk - effecting entry/exit"/>
        <w:tblDescription w:val="A table detailing the likelihood, consequence, risk score and overall assessment"/>
      </w:tblPr>
      <w:tblGrid>
        <w:gridCol w:w="4385"/>
        <w:gridCol w:w="1737"/>
      </w:tblGrid>
      <w:tr w:rsidR="00B06574" w:rsidRPr="002B7E1B" w14:paraId="709DC829" w14:textId="77777777" w:rsidTr="00E373FB">
        <w:trPr>
          <w:tblHeade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61F0315" w14:textId="77777777" w:rsidR="00B06574" w:rsidRPr="00B06574" w:rsidRDefault="00B06574" w:rsidP="00007ED6">
            <w:pPr>
              <w:pStyle w:val="Tabletext"/>
              <w:keepNext/>
              <w:rPr>
                <w:sz w:val="24"/>
              </w:rPr>
            </w:pPr>
            <w:r w:rsidRPr="00B06574">
              <w:rPr>
                <w:b/>
                <w:bCs w:val="0"/>
                <w:sz w:val="24"/>
              </w:rPr>
              <w:br w:type="page"/>
              <w:t>Risk – Effecting entry/exit</w:t>
            </w:r>
          </w:p>
        </w:tc>
        <w:tc>
          <w:tcPr>
            <w:tcW w:w="17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C61844" w14:textId="77777777" w:rsidR="00B06574" w:rsidRPr="00B06574" w:rsidRDefault="00B06574" w:rsidP="00E373FB">
            <w:pPr>
              <w:pStyle w:val="Tabletext"/>
              <w:rPr>
                <w:sz w:val="24"/>
              </w:rPr>
            </w:pPr>
            <w:r w:rsidRPr="00B06574">
              <w:rPr>
                <w:b/>
                <w:sz w:val="24"/>
              </w:rPr>
              <w:t>Rating</w:t>
            </w:r>
          </w:p>
        </w:tc>
      </w:tr>
      <w:tr w:rsidR="00B06574" w:rsidRPr="002B7E1B" w14:paraId="1D2DFF78"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14B677" w14:textId="77777777" w:rsidR="00B06574" w:rsidRPr="00B06574" w:rsidRDefault="00B06574" w:rsidP="00007ED6">
            <w:pPr>
              <w:pStyle w:val="Tabletext"/>
              <w:keepNext/>
              <w:rPr>
                <w:b/>
                <w:bCs w:val="0"/>
                <w:sz w:val="24"/>
              </w:rPr>
            </w:pPr>
            <w:r w:rsidRPr="00B06574">
              <w:rPr>
                <w:b/>
                <w:bCs w:val="0"/>
                <w:sz w:val="24"/>
              </w:rPr>
              <w:t>Likelihood</w:t>
            </w:r>
          </w:p>
        </w:tc>
        <w:tc>
          <w:tcPr>
            <w:tcW w:w="1737" w:type="dxa"/>
            <w:tcBorders>
              <w:top w:val="nil"/>
              <w:left w:val="nil"/>
              <w:bottom w:val="single" w:sz="8" w:space="0" w:color="auto"/>
              <w:right w:val="single" w:sz="8" w:space="0" w:color="auto"/>
            </w:tcBorders>
            <w:shd w:val="clear" w:color="auto" w:fill="FFFFFF" w:themeFill="background1"/>
          </w:tcPr>
          <w:p w14:paraId="65A8F0E2" w14:textId="77777777" w:rsidR="00B06574" w:rsidRPr="00B06574" w:rsidRDefault="00B06574" w:rsidP="00E373FB">
            <w:pPr>
              <w:pStyle w:val="Tabletext"/>
              <w:rPr>
                <w:sz w:val="24"/>
              </w:rPr>
            </w:pPr>
            <w:r w:rsidRPr="00B06574">
              <w:rPr>
                <w:sz w:val="24"/>
              </w:rPr>
              <w:t>Medium High</w:t>
            </w:r>
          </w:p>
        </w:tc>
      </w:tr>
      <w:tr w:rsidR="00B06574" w:rsidRPr="002B7E1B" w14:paraId="48846AFA"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AE719E" w14:textId="77777777" w:rsidR="00B06574" w:rsidRPr="00B06574" w:rsidRDefault="00B06574" w:rsidP="00007ED6">
            <w:pPr>
              <w:pStyle w:val="Tabletext"/>
              <w:keepNext/>
              <w:rPr>
                <w:b/>
                <w:bCs w:val="0"/>
                <w:sz w:val="24"/>
              </w:rPr>
            </w:pPr>
            <w:r w:rsidRPr="00B06574">
              <w:rPr>
                <w:b/>
                <w:bCs w:val="0"/>
                <w:sz w:val="24"/>
              </w:rPr>
              <w:t>Consequence</w:t>
            </w:r>
          </w:p>
        </w:tc>
        <w:tc>
          <w:tcPr>
            <w:tcW w:w="1737" w:type="dxa"/>
            <w:tcBorders>
              <w:top w:val="single" w:sz="8" w:space="0" w:color="auto"/>
              <w:left w:val="nil"/>
              <w:bottom w:val="single" w:sz="8" w:space="0" w:color="auto"/>
              <w:right w:val="single" w:sz="8" w:space="0" w:color="auto"/>
            </w:tcBorders>
            <w:shd w:val="clear" w:color="auto" w:fill="FFFFFF" w:themeFill="background1"/>
          </w:tcPr>
          <w:p w14:paraId="274977C4" w14:textId="77777777" w:rsidR="00B06574" w:rsidRPr="00B06574" w:rsidRDefault="00B06574" w:rsidP="00E373FB">
            <w:pPr>
              <w:pStyle w:val="Tabletext"/>
              <w:rPr>
                <w:sz w:val="24"/>
              </w:rPr>
            </w:pPr>
            <w:r w:rsidRPr="00B06574">
              <w:rPr>
                <w:sz w:val="24"/>
              </w:rPr>
              <w:t>Limited</w:t>
            </w:r>
          </w:p>
        </w:tc>
      </w:tr>
      <w:tr w:rsidR="00B06574" w:rsidRPr="002B7E1B" w14:paraId="556B2F47"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08CB52" w14:textId="77777777" w:rsidR="00B06574" w:rsidRPr="00B06574" w:rsidRDefault="00B06574" w:rsidP="00007ED6">
            <w:pPr>
              <w:pStyle w:val="Tabletext"/>
              <w:keepNext/>
              <w:rPr>
                <w:b/>
                <w:bCs w:val="0"/>
                <w:sz w:val="24"/>
              </w:rPr>
            </w:pPr>
            <w:r w:rsidRPr="00B06574">
              <w:rPr>
                <w:b/>
                <w:bCs w:val="0"/>
                <w:sz w:val="24"/>
              </w:rPr>
              <w:t>Risk score</w:t>
            </w:r>
          </w:p>
        </w:tc>
        <w:tc>
          <w:tcPr>
            <w:tcW w:w="1737" w:type="dxa"/>
            <w:tcBorders>
              <w:top w:val="single" w:sz="8" w:space="0" w:color="auto"/>
              <w:left w:val="nil"/>
              <w:bottom w:val="single" w:sz="8" w:space="0" w:color="auto"/>
              <w:right w:val="single" w:sz="8" w:space="0" w:color="auto"/>
            </w:tcBorders>
            <w:shd w:val="clear" w:color="auto" w:fill="FFFFFF" w:themeFill="background1"/>
          </w:tcPr>
          <w:p w14:paraId="3B6CBBBE" w14:textId="77777777" w:rsidR="00B06574" w:rsidRPr="00B06574" w:rsidRDefault="00B06574" w:rsidP="00E373FB">
            <w:pPr>
              <w:pStyle w:val="Tabletext"/>
              <w:rPr>
                <w:sz w:val="24"/>
              </w:rPr>
            </w:pPr>
            <w:r w:rsidRPr="00B06574">
              <w:rPr>
                <w:sz w:val="24"/>
              </w:rPr>
              <w:t>6.03</w:t>
            </w:r>
          </w:p>
        </w:tc>
      </w:tr>
      <w:tr w:rsidR="00B06574" w:rsidRPr="002B7E1B" w14:paraId="3FF37AA1" w14:textId="77777777" w:rsidTr="00E373FB">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01AD09" w14:textId="77777777" w:rsidR="00B06574" w:rsidRPr="00B06574" w:rsidRDefault="00B06574" w:rsidP="00E373FB">
            <w:pPr>
              <w:pStyle w:val="Tabletext"/>
              <w:rPr>
                <w:b/>
                <w:bCs w:val="0"/>
                <w:sz w:val="24"/>
              </w:rPr>
            </w:pPr>
            <w:r w:rsidRPr="00B06574">
              <w:rPr>
                <w:b/>
                <w:bCs w:val="0"/>
                <w:sz w:val="24"/>
              </w:rPr>
              <w:t>Overall assessment</w:t>
            </w:r>
          </w:p>
        </w:tc>
        <w:tc>
          <w:tcPr>
            <w:tcW w:w="1737" w:type="dxa"/>
            <w:tcBorders>
              <w:top w:val="single" w:sz="8" w:space="0" w:color="auto"/>
              <w:left w:val="nil"/>
              <w:bottom w:val="single" w:sz="8" w:space="0" w:color="auto"/>
              <w:right w:val="single" w:sz="8" w:space="0" w:color="auto"/>
            </w:tcBorders>
            <w:shd w:val="clear" w:color="auto" w:fill="FFC000"/>
          </w:tcPr>
          <w:p w14:paraId="3757D782" w14:textId="77777777" w:rsidR="00B06574" w:rsidRPr="00B06574" w:rsidRDefault="00B06574" w:rsidP="00E373FB">
            <w:pPr>
              <w:pStyle w:val="Tabletext"/>
              <w:rPr>
                <w:sz w:val="24"/>
              </w:rPr>
            </w:pPr>
            <w:r w:rsidRPr="00B06574">
              <w:rPr>
                <w:sz w:val="24"/>
              </w:rPr>
              <w:t>High</w:t>
            </w:r>
          </w:p>
        </w:tc>
      </w:tr>
    </w:tbl>
    <w:p w14:paraId="33AEAF38" w14:textId="77777777" w:rsidR="00B06574" w:rsidRPr="00007ED6" w:rsidRDefault="00B06574" w:rsidP="00007ED6">
      <w:pPr>
        <w:pStyle w:val="NoSpacing"/>
        <w:rPr>
          <w:highlight w:val="yellow"/>
        </w:rPr>
      </w:pPr>
    </w:p>
    <w:p w14:paraId="6FB19FB8" w14:textId="3BD86E3C" w:rsidR="00B06574" w:rsidRPr="00674C09" w:rsidRDefault="00B06574" w:rsidP="00007ED6">
      <w:pPr>
        <w:pStyle w:val="Heading2"/>
      </w:pPr>
      <w:bookmarkStart w:id="100" w:name="_Toc208329978"/>
      <w:r w:rsidRPr="0085725E">
        <w:t>Secondary fires (accidental)</w:t>
      </w:r>
      <w:bookmarkEnd w:id="100"/>
    </w:p>
    <w:p w14:paraId="040E2C3C" w14:textId="7E866E9B" w:rsidR="00B06574" w:rsidRPr="00D0558B" w:rsidRDefault="00B06574" w:rsidP="00B06574">
      <w:r w:rsidRPr="00CE7BDE">
        <w:t xml:space="preserve">Over </w:t>
      </w:r>
      <w:r w:rsidRPr="0085725E">
        <w:t>a</w:t>
      </w:r>
      <w:r w:rsidRPr="00CE7BDE">
        <w:t xml:space="preserve"> five-year period, we have attended an average of </w:t>
      </w:r>
      <w:r w:rsidR="00CE7BDE" w:rsidRPr="0085725E">
        <w:t>1,640</w:t>
      </w:r>
      <w:r w:rsidRPr="0085725E">
        <w:t xml:space="preserve"> </w:t>
      </w:r>
      <w:r w:rsidRPr="00CE7BDE">
        <w:t xml:space="preserve">accidental secondary fires a year, equating to </w:t>
      </w:r>
      <w:r w:rsidR="00CE7BDE" w:rsidRPr="0085725E">
        <w:t>8,199</w:t>
      </w:r>
      <w:r w:rsidRPr="00CE7BDE">
        <w:t xml:space="preserve"> in total.  </w:t>
      </w:r>
      <w:r w:rsidRPr="00D0558B">
        <w:t xml:space="preserve">Over </w:t>
      </w:r>
      <w:r w:rsidR="00EB0A19" w:rsidRPr="0085725E">
        <w:t>half</w:t>
      </w:r>
      <w:r w:rsidR="00EB0A19" w:rsidRPr="00D0558B">
        <w:t xml:space="preserve"> </w:t>
      </w:r>
      <w:r w:rsidRPr="00D0558B">
        <w:t>of these incidents occurred in the five districts of Blackburn with Darwen, Preston, Blackpool, Burnley</w:t>
      </w:r>
      <w:r w:rsidR="00D55DD6" w:rsidRPr="0085725E">
        <w:t>,</w:t>
      </w:r>
      <w:r w:rsidRPr="00D0558B">
        <w:t xml:space="preserve"> and Lancaster.  As with deliberate secondary fires these mainly involved refuse.</w:t>
      </w:r>
    </w:p>
    <w:p w14:paraId="51AC9CB5" w14:textId="77777777" w:rsidR="00B06574" w:rsidRPr="00007ED6" w:rsidRDefault="00B06574" w:rsidP="00007ED6">
      <w:pPr>
        <w:pStyle w:val="NoSpacing"/>
        <w:rPr>
          <w:highlight w:val="yellow"/>
        </w:rPr>
      </w:pPr>
    </w:p>
    <w:tbl>
      <w:tblPr>
        <w:tblStyle w:val="TableGrid"/>
        <w:tblW w:w="0" w:type="auto"/>
        <w:jc w:val="center"/>
        <w:tblLayout w:type="fixed"/>
        <w:tblLook w:val="04A0" w:firstRow="1" w:lastRow="0" w:firstColumn="1" w:lastColumn="0" w:noHBand="0" w:noVBand="1"/>
        <w:tblCaption w:val="Risk - secondary fires (accidental)"/>
        <w:tblDescription w:val="A table detailing the likelihood, consequence, risk score and overall assessment"/>
      </w:tblPr>
      <w:tblGrid>
        <w:gridCol w:w="4526"/>
        <w:gridCol w:w="1596"/>
      </w:tblGrid>
      <w:tr w:rsidR="005067E2" w:rsidRPr="002B7E1B" w14:paraId="778143BC" w14:textId="77777777" w:rsidTr="005604A2">
        <w:trPr>
          <w:tblHeade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77D8212" w14:textId="77777777" w:rsidR="005067E2" w:rsidRPr="00B06574" w:rsidRDefault="005067E2" w:rsidP="00007ED6">
            <w:pPr>
              <w:pStyle w:val="Tabletext"/>
              <w:keepNext/>
              <w:rPr>
                <w:sz w:val="24"/>
              </w:rPr>
            </w:pPr>
            <w:r w:rsidRPr="00B06574">
              <w:rPr>
                <w:b/>
                <w:bCs w:val="0"/>
                <w:sz w:val="24"/>
              </w:rPr>
              <w:t>Risk – Secondary fires (accidental)</w:t>
            </w:r>
          </w:p>
        </w:tc>
        <w:tc>
          <w:tcPr>
            <w:tcW w:w="15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F3C960" w14:textId="77777777" w:rsidR="005067E2" w:rsidRPr="00B06574" w:rsidRDefault="005067E2" w:rsidP="005604A2">
            <w:pPr>
              <w:pStyle w:val="Tabletext"/>
              <w:rPr>
                <w:sz w:val="24"/>
              </w:rPr>
            </w:pPr>
            <w:r w:rsidRPr="00B06574">
              <w:rPr>
                <w:b/>
                <w:sz w:val="24"/>
              </w:rPr>
              <w:t>Rating</w:t>
            </w:r>
          </w:p>
        </w:tc>
      </w:tr>
      <w:tr w:rsidR="005067E2" w:rsidRPr="002B7E1B" w14:paraId="3DEED185" w14:textId="77777777" w:rsidTr="005604A2">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1077A9" w14:textId="77777777" w:rsidR="005067E2" w:rsidRPr="00B06574" w:rsidRDefault="005067E2" w:rsidP="00007ED6">
            <w:pPr>
              <w:pStyle w:val="Tabletext"/>
              <w:keepNext/>
              <w:rPr>
                <w:b/>
                <w:bCs w:val="0"/>
                <w:sz w:val="24"/>
              </w:rPr>
            </w:pPr>
            <w:r w:rsidRPr="00B06574">
              <w:rPr>
                <w:b/>
                <w:bCs w:val="0"/>
                <w:sz w:val="24"/>
              </w:rPr>
              <w:t>Likelihood</w:t>
            </w:r>
          </w:p>
        </w:tc>
        <w:tc>
          <w:tcPr>
            <w:tcW w:w="1596" w:type="dxa"/>
            <w:tcBorders>
              <w:top w:val="nil"/>
              <w:left w:val="nil"/>
              <w:bottom w:val="single" w:sz="8" w:space="0" w:color="auto"/>
              <w:right w:val="single" w:sz="8" w:space="0" w:color="auto"/>
            </w:tcBorders>
          </w:tcPr>
          <w:p w14:paraId="53CB6BAE" w14:textId="77777777" w:rsidR="005067E2" w:rsidRPr="00B06574" w:rsidRDefault="005067E2" w:rsidP="005604A2">
            <w:pPr>
              <w:pStyle w:val="Tabletext"/>
              <w:rPr>
                <w:sz w:val="24"/>
              </w:rPr>
            </w:pPr>
            <w:r w:rsidRPr="00B06574">
              <w:rPr>
                <w:sz w:val="24"/>
              </w:rPr>
              <w:t>High</w:t>
            </w:r>
          </w:p>
        </w:tc>
      </w:tr>
      <w:tr w:rsidR="005067E2" w:rsidRPr="002B7E1B" w14:paraId="56BB3EA8" w14:textId="77777777" w:rsidTr="005604A2">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DE8B6F5" w14:textId="77777777" w:rsidR="005067E2" w:rsidRPr="00B06574" w:rsidRDefault="005067E2" w:rsidP="00007ED6">
            <w:pPr>
              <w:pStyle w:val="Tabletext"/>
              <w:keepNext/>
              <w:rPr>
                <w:b/>
                <w:bCs w:val="0"/>
                <w:sz w:val="24"/>
              </w:rPr>
            </w:pPr>
            <w:r w:rsidRPr="00B06574">
              <w:rPr>
                <w:b/>
                <w:bCs w:val="0"/>
                <w:sz w:val="24"/>
              </w:rPr>
              <w:t>Consequence</w:t>
            </w:r>
          </w:p>
        </w:tc>
        <w:tc>
          <w:tcPr>
            <w:tcW w:w="1596" w:type="dxa"/>
            <w:tcBorders>
              <w:top w:val="single" w:sz="8" w:space="0" w:color="auto"/>
              <w:left w:val="nil"/>
              <w:bottom w:val="single" w:sz="8" w:space="0" w:color="auto"/>
              <w:right w:val="single" w:sz="8" w:space="0" w:color="auto"/>
            </w:tcBorders>
          </w:tcPr>
          <w:p w14:paraId="33BF8E1A" w14:textId="77777777" w:rsidR="005067E2" w:rsidRPr="00B06574" w:rsidRDefault="005067E2" w:rsidP="005604A2">
            <w:pPr>
              <w:pStyle w:val="Tabletext"/>
              <w:rPr>
                <w:sz w:val="24"/>
              </w:rPr>
            </w:pPr>
            <w:r w:rsidRPr="00B06574">
              <w:rPr>
                <w:sz w:val="24"/>
              </w:rPr>
              <w:t>Limited</w:t>
            </w:r>
          </w:p>
        </w:tc>
      </w:tr>
      <w:tr w:rsidR="005067E2" w:rsidRPr="002B7E1B" w14:paraId="359B50CB" w14:textId="77777777" w:rsidTr="005604A2">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85F8A3F" w14:textId="77777777" w:rsidR="005067E2" w:rsidRPr="00B06574" w:rsidRDefault="005067E2" w:rsidP="00007ED6">
            <w:pPr>
              <w:pStyle w:val="Tabletext"/>
              <w:keepNext/>
              <w:rPr>
                <w:b/>
                <w:bCs w:val="0"/>
                <w:sz w:val="24"/>
              </w:rPr>
            </w:pPr>
            <w:r w:rsidRPr="00B06574">
              <w:rPr>
                <w:b/>
                <w:bCs w:val="0"/>
                <w:sz w:val="24"/>
              </w:rPr>
              <w:t>Risk score</w:t>
            </w:r>
          </w:p>
        </w:tc>
        <w:tc>
          <w:tcPr>
            <w:tcW w:w="1596" w:type="dxa"/>
            <w:tcBorders>
              <w:top w:val="single" w:sz="8" w:space="0" w:color="auto"/>
              <w:left w:val="nil"/>
              <w:bottom w:val="single" w:sz="8" w:space="0" w:color="auto"/>
              <w:right w:val="single" w:sz="8" w:space="0" w:color="auto"/>
            </w:tcBorders>
          </w:tcPr>
          <w:p w14:paraId="34477D36" w14:textId="305A0E4F" w:rsidR="005067E2" w:rsidRPr="00B06574" w:rsidRDefault="00B06574" w:rsidP="005604A2">
            <w:pPr>
              <w:pStyle w:val="Tabletext"/>
              <w:rPr>
                <w:sz w:val="24"/>
              </w:rPr>
            </w:pPr>
            <w:r w:rsidRPr="00B06574">
              <w:rPr>
                <w:sz w:val="24"/>
              </w:rPr>
              <w:t>5.94</w:t>
            </w:r>
          </w:p>
        </w:tc>
      </w:tr>
      <w:tr w:rsidR="005067E2" w:rsidRPr="002B7E1B" w14:paraId="21DBFDBB" w14:textId="77777777" w:rsidTr="005604A2">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2773CDC" w14:textId="77777777" w:rsidR="005067E2" w:rsidRPr="00B06574" w:rsidRDefault="005067E2" w:rsidP="005604A2">
            <w:pPr>
              <w:pStyle w:val="Tabletext"/>
              <w:rPr>
                <w:b/>
                <w:bCs w:val="0"/>
                <w:sz w:val="24"/>
              </w:rPr>
            </w:pPr>
            <w:r w:rsidRPr="00B06574">
              <w:rPr>
                <w:b/>
                <w:bCs w:val="0"/>
                <w:sz w:val="24"/>
              </w:rPr>
              <w:t>Overall assessment</w:t>
            </w:r>
          </w:p>
        </w:tc>
        <w:tc>
          <w:tcPr>
            <w:tcW w:w="1596" w:type="dxa"/>
            <w:tcBorders>
              <w:top w:val="single" w:sz="8" w:space="0" w:color="auto"/>
              <w:left w:val="nil"/>
              <w:bottom w:val="single" w:sz="8" w:space="0" w:color="auto"/>
              <w:right w:val="single" w:sz="8" w:space="0" w:color="auto"/>
            </w:tcBorders>
            <w:shd w:val="clear" w:color="auto" w:fill="FFC000"/>
          </w:tcPr>
          <w:p w14:paraId="536697D7" w14:textId="77777777" w:rsidR="005067E2" w:rsidRPr="00B06574" w:rsidRDefault="005067E2" w:rsidP="005604A2">
            <w:pPr>
              <w:pStyle w:val="Tabletext"/>
              <w:rPr>
                <w:sz w:val="24"/>
              </w:rPr>
            </w:pPr>
            <w:r w:rsidRPr="00B06574">
              <w:rPr>
                <w:sz w:val="24"/>
              </w:rPr>
              <w:t>High</w:t>
            </w:r>
          </w:p>
        </w:tc>
      </w:tr>
    </w:tbl>
    <w:p w14:paraId="184ED278" w14:textId="77777777" w:rsidR="005067E2" w:rsidRPr="0085725E" w:rsidRDefault="005067E2" w:rsidP="005067E2">
      <w:pPr>
        <w:pStyle w:val="NoSpacing"/>
        <w:rPr>
          <w:highlight w:val="yellow"/>
        </w:rPr>
      </w:pPr>
    </w:p>
    <w:p w14:paraId="7631ACCA" w14:textId="77777777" w:rsidR="00B06574" w:rsidRPr="00674C09" w:rsidRDefault="00B06574" w:rsidP="00B06574">
      <w:pPr>
        <w:pStyle w:val="Heading2"/>
        <w:rPr>
          <w:b w:val="0"/>
        </w:rPr>
      </w:pPr>
      <w:bookmarkStart w:id="101" w:name="_Toc208329979"/>
      <w:r w:rsidRPr="00674C09">
        <w:lastRenderedPageBreak/>
        <w:t>Rescue from water</w:t>
      </w:r>
      <w:bookmarkEnd w:id="101"/>
    </w:p>
    <w:p w14:paraId="6ABEC601" w14:textId="77777777" w:rsidR="00B06574" w:rsidRPr="00674C09" w:rsidRDefault="00B06574" w:rsidP="00B06574">
      <w:r w:rsidRPr="00674C09">
        <w:t>There are several water-related risks across Lancashire, with the Rivers Ribble, Lune, Wyre, Irwell and Calder, each posing their own risks.  The risk of members of the public entering the water and getting into difficulty appears to be on the increase.  The combination of the River Lune and River Ribble running directly through the cities of Preston and Lancaster respectively, and the growing student population in those cities brings an increased risk of water-related incidents occurring.  Lancashire has over 120 km’s of coastline, and there are several lakes, reservoirs and other water bodies across the Service area that pose risks to the community.  The west of the county also has three ports, Heysham, Fleetwood and Glasson.</w:t>
      </w:r>
    </w:p>
    <w:p w14:paraId="33BF01AF" w14:textId="77777777" w:rsidR="00B06574" w:rsidRPr="00674C09" w:rsidRDefault="00B06574" w:rsidP="00B06574">
      <w:r w:rsidRPr="00674C09">
        <w:t xml:space="preserve">Our crews carry out training in these areas to ensure their knowledge of the hazards posed and ability to respond are first class. </w:t>
      </w:r>
      <w:r w:rsidRPr="00674C09">
        <w:rPr>
          <w:lang w:eastAsia="en-GB"/>
        </w:rPr>
        <w:t>Lancashire Fire and Rescue Service</w:t>
      </w:r>
      <w:r w:rsidRPr="00674C09">
        <w:t xml:space="preserve"> continues to prepare for water rescue incidents daily and provides an emergency response 24 hours a day.</w:t>
      </w:r>
    </w:p>
    <w:p w14:paraId="41B070F0" w14:textId="2C666756" w:rsidR="00B06574" w:rsidRPr="00D0558B" w:rsidRDefault="00B06574" w:rsidP="00B06574">
      <w:r w:rsidRPr="00CE7BDE">
        <w:t xml:space="preserve">Over the previous five years, we attended an average of </w:t>
      </w:r>
      <w:r w:rsidR="00CE7BDE" w:rsidRPr="0085725E">
        <w:t>45</w:t>
      </w:r>
      <w:r w:rsidR="00CE7BDE" w:rsidRPr="00CE7BDE">
        <w:t xml:space="preserve"> </w:t>
      </w:r>
      <w:r w:rsidRPr="00CE7BDE">
        <w:t xml:space="preserve">water rescue related incidents a year.  Overall, this equates to </w:t>
      </w:r>
      <w:r w:rsidR="00CE7BDE" w:rsidRPr="0085725E">
        <w:t>227</w:t>
      </w:r>
      <w:r w:rsidR="00CE7BDE" w:rsidRPr="00CE7BDE">
        <w:t xml:space="preserve"> </w:t>
      </w:r>
      <w:r w:rsidRPr="00CE7BDE">
        <w:t xml:space="preserve">water rescue incidents in total.  </w:t>
      </w:r>
      <w:r w:rsidRPr="00D0558B">
        <w:t xml:space="preserve">These incidents have seen </w:t>
      </w:r>
      <w:r w:rsidR="00F4446B" w:rsidRPr="0085725E">
        <w:t>27</w:t>
      </w:r>
      <w:r w:rsidR="00F4446B" w:rsidRPr="00D0558B">
        <w:t xml:space="preserve"> </w:t>
      </w:r>
      <w:r w:rsidRPr="00D0558B">
        <w:t>fatalities,</w:t>
      </w:r>
      <w:r w:rsidR="00F4446B" w:rsidRPr="0085725E">
        <w:t>13</w:t>
      </w:r>
      <w:r w:rsidR="00F4446B" w:rsidRPr="00D0558B">
        <w:t xml:space="preserve"> </w:t>
      </w:r>
      <w:r w:rsidRPr="00D0558B">
        <w:t xml:space="preserve">serious and </w:t>
      </w:r>
      <w:r w:rsidR="00F4446B" w:rsidRPr="0085725E">
        <w:t>35</w:t>
      </w:r>
      <w:r w:rsidR="00F4446B" w:rsidRPr="00D0558B">
        <w:t xml:space="preserve"> </w:t>
      </w:r>
      <w:r w:rsidRPr="00D0558B">
        <w:t>minor injuries.  The main type of incident we attended involved rescues from rivers/canals (</w:t>
      </w:r>
      <w:r w:rsidR="00F4446B" w:rsidRPr="0085725E">
        <w:t>47</w:t>
      </w:r>
      <w:r w:rsidRPr="00D0558B">
        <w:t>%) and rescues from lakes/ponds/reservoirs (</w:t>
      </w:r>
      <w:r w:rsidR="00F4446B" w:rsidRPr="0085725E">
        <w:t>9</w:t>
      </w:r>
      <w:r w:rsidRPr="00D0558B">
        <w:t>%).</w:t>
      </w:r>
    </w:p>
    <w:p w14:paraId="28E98347" w14:textId="77777777" w:rsidR="00B06574" w:rsidRPr="0085725E" w:rsidRDefault="00B06574" w:rsidP="00B06574">
      <w:pPr>
        <w:pStyle w:val="NoSpacing"/>
        <w:rPr>
          <w:highlight w:val="yellow"/>
        </w:rPr>
      </w:pPr>
    </w:p>
    <w:tbl>
      <w:tblPr>
        <w:tblStyle w:val="TableGrid"/>
        <w:tblW w:w="0" w:type="auto"/>
        <w:jc w:val="center"/>
        <w:tblLayout w:type="fixed"/>
        <w:tblLook w:val="04A0" w:firstRow="1" w:lastRow="0" w:firstColumn="1" w:lastColumn="0" w:noHBand="0" w:noVBand="1"/>
        <w:tblCaption w:val="Risk - rescues from water"/>
        <w:tblDescription w:val="A table detailing the likelihood, consequence, risk score and overall assessment"/>
      </w:tblPr>
      <w:tblGrid>
        <w:gridCol w:w="4526"/>
        <w:gridCol w:w="1596"/>
      </w:tblGrid>
      <w:tr w:rsidR="00B06574" w:rsidRPr="002B7E1B" w14:paraId="1F409ED2" w14:textId="77777777" w:rsidTr="00E373FB">
        <w:trPr>
          <w:tblHeade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15DF756" w14:textId="77777777" w:rsidR="00B06574" w:rsidRPr="00B06574" w:rsidRDefault="00B06574" w:rsidP="00007ED6">
            <w:pPr>
              <w:pStyle w:val="Tabletext"/>
              <w:keepNext/>
              <w:rPr>
                <w:sz w:val="24"/>
              </w:rPr>
            </w:pPr>
            <w:r w:rsidRPr="00B06574">
              <w:rPr>
                <w:b/>
                <w:bCs w:val="0"/>
                <w:sz w:val="24"/>
              </w:rPr>
              <w:t>Risk – Rescues from water</w:t>
            </w:r>
          </w:p>
        </w:tc>
        <w:tc>
          <w:tcPr>
            <w:tcW w:w="15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CE66F17" w14:textId="77777777" w:rsidR="00B06574" w:rsidRPr="00B06574" w:rsidRDefault="00B06574" w:rsidP="00E373FB">
            <w:pPr>
              <w:pStyle w:val="Tabletext"/>
              <w:rPr>
                <w:sz w:val="24"/>
              </w:rPr>
            </w:pPr>
            <w:r w:rsidRPr="00B06574">
              <w:rPr>
                <w:b/>
                <w:sz w:val="24"/>
              </w:rPr>
              <w:t>Rating</w:t>
            </w:r>
          </w:p>
        </w:tc>
      </w:tr>
      <w:tr w:rsidR="00B06574" w:rsidRPr="002B7E1B" w14:paraId="6C87D68F" w14:textId="77777777" w:rsidTr="00E373FB">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D19B37C" w14:textId="77777777" w:rsidR="00B06574" w:rsidRPr="00B06574" w:rsidRDefault="00B06574" w:rsidP="00007ED6">
            <w:pPr>
              <w:pStyle w:val="Tabletext"/>
              <w:keepNext/>
              <w:rPr>
                <w:b/>
                <w:bCs w:val="0"/>
                <w:sz w:val="24"/>
              </w:rPr>
            </w:pPr>
            <w:r w:rsidRPr="00B06574">
              <w:rPr>
                <w:b/>
                <w:bCs w:val="0"/>
                <w:sz w:val="24"/>
              </w:rPr>
              <w:t>Likelihood</w:t>
            </w:r>
          </w:p>
        </w:tc>
        <w:tc>
          <w:tcPr>
            <w:tcW w:w="1596" w:type="dxa"/>
            <w:tcBorders>
              <w:top w:val="nil"/>
              <w:left w:val="nil"/>
              <w:bottom w:val="single" w:sz="8" w:space="0" w:color="auto"/>
              <w:right w:val="single" w:sz="8" w:space="0" w:color="auto"/>
            </w:tcBorders>
          </w:tcPr>
          <w:p w14:paraId="2E0763AE" w14:textId="77777777" w:rsidR="00B06574" w:rsidRPr="00B06574" w:rsidRDefault="00B06574" w:rsidP="00E373FB">
            <w:pPr>
              <w:pStyle w:val="Tabletext"/>
              <w:rPr>
                <w:sz w:val="24"/>
              </w:rPr>
            </w:pPr>
            <w:r w:rsidRPr="00B06574">
              <w:rPr>
                <w:sz w:val="24"/>
              </w:rPr>
              <w:t>Medium</w:t>
            </w:r>
          </w:p>
        </w:tc>
      </w:tr>
      <w:tr w:rsidR="00B06574" w:rsidRPr="002B7E1B" w14:paraId="60133319" w14:textId="77777777" w:rsidTr="00E373FB">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3F2FAD" w14:textId="77777777" w:rsidR="00B06574" w:rsidRPr="00B06574" w:rsidRDefault="00B06574" w:rsidP="00007ED6">
            <w:pPr>
              <w:pStyle w:val="Tabletext"/>
              <w:keepNext/>
              <w:rPr>
                <w:b/>
                <w:bCs w:val="0"/>
                <w:sz w:val="24"/>
              </w:rPr>
            </w:pPr>
            <w:r w:rsidRPr="00B06574">
              <w:rPr>
                <w:b/>
                <w:bCs w:val="0"/>
                <w:sz w:val="24"/>
              </w:rPr>
              <w:t>Consequence</w:t>
            </w:r>
          </w:p>
        </w:tc>
        <w:tc>
          <w:tcPr>
            <w:tcW w:w="1596" w:type="dxa"/>
            <w:tcBorders>
              <w:top w:val="single" w:sz="8" w:space="0" w:color="auto"/>
              <w:left w:val="nil"/>
              <w:bottom w:val="single" w:sz="8" w:space="0" w:color="auto"/>
              <w:right w:val="single" w:sz="8" w:space="0" w:color="auto"/>
            </w:tcBorders>
          </w:tcPr>
          <w:p w14:paraId="3D14BFE9" w14:textId="77777777" w:rsidR="00B06574" w:rsidRPr="00B06574" w:rsidRDefault="00B06574" w:rsidP="00E373FB">
            <w:pPr>
              <w:pStyle w:val="Tabletext"/>
              <w:rPr>
                <w:sz w:val="24"/>
              </w:rPr>
            </w:pPr>
            <w:r w:rsidRPr="00B06574">
              <w:rPr>
                <w:sz w:val="24"/>
              </w:rPr>
              <w:t>Limited</w:t>
            </w:r>
          </w:p>
        </w:tc>
      </w:tr>
      <w:tr w:rsidR="00B06574" w:rsidRPr="002B7E1B" w14:paraId="07CE7074" w14:textId="77777777" w:rsidTr="00E373FB">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9C1DAC" w14:textId="77777777" w:rsidR="00B06574" w:rsidRPr="00B06574" w:rsidRDefault="00B06574" w:rsidP="00007ED6">
            <w:pPr>
              <w:pStyle w:val="Tabletext"/>
              <w:keepNext/>
              <w:rPr>
                <w:b/>
                <w:bCs w:val="0"/>
                <w:sz w:val="24"/>
              </w:rPr>
            </w:pPr>
            <w:r w:rsidRPr="00B06574">
              <w:rPr>
                <w:b/>
                <w:bCs w:val="0"/>
                <w:sz w:val="24"/>
              </w:rPr>
              <w:t>Risk score</w:t>
            </w:r>
          </w:p>
        </w:tc>
        <w:tc>
          <w:tcPr>
            <w:tcW w:w="1596" w:type="dxa"/>
            <w:tcBorders>
              <w:top w:val="single" w:sz="8" w:space="0" w:color="auto"/>
              <w:left w:val="nil"/>
              <w:bottom w:val="single" w:sz="8" w:space="0" w:color="auto"/>
              <w:right w:val="single" w:sz="8" w:space="0" w:color="auto"/>
            </w:tcBorders>
          </w:tcPr>
          <w:p w14:paraId="0F2B364A" w14:textId="2A077BDA" w:rsidR="00B06574" w:rsidRPr="00B06574" w:rsidRDefault="00B06574" w:rsidP="00E373FB">
            <w:pPr>
              <w:pStyle w:val="Tabletext"/>
              <w:rPr>
                <w:sz w:val="24"/>
              </w:rPr>
            </w:pPr>
            <w:r w:rsidRPr="00B06574">
              <w:rPr>
                <w:sz w:val="24"/>
              </w:rPr>
              <w:t>5.86</w:t>
            </w:r>
          </w:p>
        </w:tc>
      </w:tr>
      <w:tr w:rsidR="00B06574" w:rsidRPr="002B7E1B" w14:paraId="76C2FB4B" w14:textId="77777777" w:rsidTr="00E373FB">
        <w:trPr>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5BCD521" w14:textId="77777777" w:rsidR="00B06574" w:rsidRPr="00B06574" w:rsidRDefault="00B06574" w:rsidP="00E373FB">
            <w:pPr>
              <w:pStyle w:val="Tabletext"/>
              <w:rPr>
                <w:b/>
                <w:bCs w:val="0"/>
                <w:sz w:val="24"/>
              </w:rPr>
            </w:pPr>
            <w:r w:rsidRPr="00B06574">
              <w:rPr>
                <w:b/>
                <w:bCs w:val="0"/>
                <w:sz w:val="24"/>
              </w:rPr>
              <w:t>Overall assessment</w:t>
            </w:r>
          </w:p>
        </w:tc>
        <w:tc>
          <w:tcPr>
            <w:tcW w:w="1596" w:type="dxa"/>
            <w:tcBorders>
              <w:top w:val="single" w:sz="8" w:space="0" w:color="auto"/>
              <w:left w:val="nil"/>
              <w:bottom w:val="single" w:sz="8" w:space="0" w:color="auto"/>
              <w:right w:val="single" w:sz="8" w:space="0" w:color="auto"/>
            </w:tcBorders>
            <w:shd w:val="clear" w:color="auto" w:fill="FFC000"/>
          </w:tcPr>
          <w:p w14:paraId="0849154E" w14:textId="77777777" w:rsidR="00B06574" w:rsidRPr="00B06574" w:rsidRDefault="00B06574" w:rsidP="00E373FB">
            <w:pPr>
              <w:pStyle w:val="Tabletext"/>
              <w:rPr>
                <w:sz w:val="24"/>
              </w:rPr>
            </w:pPr>
            <w:r w:rsidRPr="00B06574">
              <w:rPr>
                <w:sz w:val="24"/>
              </w:rPr>
              <w:t>High</w:t>
            </w:r>
          </w:p>
        </w:tc>
      </w:tr>
    </w:tbl>
    <w:p w14:paraId="672EB7EC" w14:textId="77777777" w:rsidR="005067E2" w:rsidRPr="0085725E" w:rsidRDefault="005067E2" w:rsidP="005067E2">
      <w:pPr>
        <w:pStyle w:val="NoSpacing"/>
        <w:rPr>
          <w:highlight w:val="yellow"/>
        </w:rPr>
      </w:pPr>
    </w:p>
    <w:p w14:paraId="0652C9F4" w14:textId="77777777" w:rsidR="005067E2" w:rsidRPr="00674C09" w:rsidRDefault="005067E2" w:rsidP="005067E2">
      <w:pPr>
        <w:pStyle w:val="Heading2"/>
        <w:rPr>
          <w:b w:val="0"/>
        </w:rPr>
      </w:pPr>
      <w:bookmarkStart w:id="102" w:name="_Toc208329980"/>
      <w:r w:rsidRPr="00674C09">
        <w:t>Other transport or making safe (not fire)</w:t>
      </w:r>
      <w:bookmarkEnd w:id="102"/>
    </w:p>
    <w:p w14:paraId="311A5ABA" w14:textId="2D6B5FBD" w:rsidR="005067E2" w:rsidRPr="00674C09" w:rsidRDefault="005067E2" w:rsidP="005067E2">
      <w:r w:rsidRPr="00674C09">
        <w:t xml:space="preserve">This incident type is split </w:t>
      </w:r>
      <w:r w:rsidR="00C77080" w:rsidRPr="00674C09">
        <w:t>into</w:t>
      </w:r>
      <w:r w:rsidRPr="00674C09">
        <w:t xml:space="preserve"> two categories, ‘making safe (not R</w:t>
      </w:r>
      <w:r w:rsidR="00C77080" w:rsidRPr="00674C09">
        <w:t>oad Traffic Collision</w:t>
      </w:r>
      <w:r w:rsidRPr="00674C09">
        <w:t xml:space="preserve">)’ and ‘other transport incident’.  Attendance at these incidents could be following a request from other emergency services or through the </w:t>
      </w:r>
      <w:r w:rsidR="00AB1C0E" w:rsidRPr="00674C09">
        <w:t>999-call</w:t>
      </w:r>
      <w:r w:rsidRPr="00674C09">
        <w:t xml:space="preserve"> route.  Incidents in these categories include cordoning off, body retrieval and stabilising an unsafe structure as well as making the scene safe, releasing a person and making a vehicle safe.</w:t>
      </w:r>
    </w:p>
    <w:p w14:paraId="5B17572D" w14:textId="2FCA6754" w:rsidR="005067E2" w:rsidRPr="00D0558B" w:rsidRDefault="005067E2" w:rsidP="005067E2">
      <w:r w:rsidRPr="00CE7BDE">
        <w:t xml:space="preserve">Over the previous five years, we have attended an average of </w:t>
      </w:r>
      <w:r w:rsidR="00CE7BDE" w:rsidRPr="0085725E">
        <w:t>203</w:t>
      </w:r>
      <w:r w:rsidR="00CE7BDE" w:rsidRPr="00CE7BDE">
        <w:t xml:space="preserve"> </w:t>
      </w:r>
      <w:r w:rsidRPr="00CE7BDE">
        <w:t xml:space="preserve">incidents a year of this type, totalling </w:t>
      </w:r>
      <w:r w:rsidR="00CE7BDE" w:rsidRPr="0085725E">
        <w:t>1,017</w:t>
      </w:r>
      <w:r w:rsidRPr="00CE7BDE">
        <w:t xml:space="preserve">.  Of the </w:t>
      </w:r>
      <w:r w:rsidR="00CE7BDE" w:rsidRPr="0085725E">
        <w:t>1,017</w:t>
      </w:r>
      <w:r w:rsidR="00CE7BDE" w:rsidRPr="00CE7BDE">
        <w:t xml:space="preserve"> </w:t>
      </w:r>
      <w:r w:rsidRPr="00CE7BDE">
        <w:t xml:space="preserve">incidents attended, </w:t>
      </w:r>
      <w:r w:rsidR="00E26EC2" w:rsidRPr="0085725E">
        <w:t>89</w:t>
      </w:r>
      <w:r w:rsidRPr="00D0558B">
        <w:t>% have resulted in</w:t>
      </w:r>
      <w:r w:rsidR="00721973" w:rsidRPr="00D0558B">
        <w:rPr>
          <w:lang w:eastAsia="en-GB"/>
        </w:rPr>
        <w:t xml:space="preserve"> Lancashire Fire and Rescue Service</w:t>
      </w:r>
      <w:r w:rsidR="00721973" w:rsidRPr="00D0558B">
        <w:t xml:space="preserve"> </w:t>
      </w:r>
      <w:r w:rsidRPr="00D0558B">
        <w:t xml:space="preserve">making the scene safe, with </w:t>
      </w:r>
      <w:r w:rsidR="00E26EC2" w:rsidRPr="0085725E">
        <w:t>51</w:t>
      </w:r>
      <w:r w:rsidRPr="00D0558B">
        <w:t xml:space="preserve">% of these incidents requiring us to stabilise, or otherwise make safe an unsafe structure.  The majority of these have been in a </w:t>
      </w:r>
      <w:r w:rsidRPr="00D0558B">
        <w:lastRenderedPageBreak/>
        <w:t xml:space="preserve">domestic environment however, numerous incidents involved retail, food and drink establishments and outdoor structures.  This incident type has resulted in </w:t>
      </w:r>
      <w:r w:rsidR="00E26EC2" w:rsidRPr="0085725E">
        <w:t>19</w:t>
      </w:r>
      <w:r w:rsidR="00E26EC2" w:rsidRPr="00D0558B">
        <w:t xml:space="preserve"> </w:t>
      </w:r>
      <w:r w:rsidRPr="00D0558B">
        <w:t xml:space="preserve">fatalities, </w:t>
      </w:r>
      <w:r w:rsidR="00E26EC2" w:rsidRPr="0085725E">
        <w:t>5</w:t>
      </w:r>
      <w:r w:rsidR="00E26EC2" w:rsidRPr="00D0558B">
        <w:t xml:space="preserve"> </w:t>
      </w:r>
      <w:r w:rsidRPr="00D0558B">
        <w:t xml:space="preserve">serious injuries and </w:t>
      </w:r>
      <w:r w:rsidR="00E26EC2" w:rsidRPr="0085725E">
        <w:t>25</w:t>
      </w:r>
      <w:r w:rsidR="00E26EC2" w:rsidRPr="00D0558B">
        <w:t xml:space="preserve"> </w:t>
      </w:r>
      <w:r w:rsidRPr="00D0558B">
        <w:t>minor injuries.</w:t>
      </w:r>
    </w:p>
    <w:p w14:paraId="29784FBC"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other transport or making safe (not fire)"/>
        <w:tblDescription w:val="A table detailing the likelihood, consequence, risk score and overall assessment"/>
      </w:tblPr>
      <w:tblGrid>
        <w:gridCol w:w="5802"/>
        <w:gridCol w:w="1701"/>
      </w:tblGrid>
      <w:tr w:rsidR="005067E2" w:rsidRPr="002B7E1B" w14:paraId="66A718CA" w14:textId="77777777" w:rsidTr="005604A2">
        <w:trPr>
          <w:tblHeader/>
          <w:jc w:val="center"/>
        </w:trPr>
        <w:tc>
          <w:tcPr>
            <w:tcW w:w="5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97B8D7" w14:textId="77777777" w:rsidR="005067E2" w:rsidRPr="00B06574" w:rsidRDefault="005067E2" w:rsidP="00007ED6">
            <w:pPr>
              <w:pStyle w:val="Tabletext"/>
              <w:keepNext/>
              <w:rPr>
                <w:sz w:val="24"/>
              </w:rPr>
            </w:pPr>
            <w:r w:rsidRPr="00B06574">
              <w:rPr>
                <w:b/>
                <w:bCs w:val="0"/>
                <w:sz w:val="24"/>
              </w:rPr>
              <w:t>Risk – Other transport or making safe (not fire)</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29AC5E7" w14:textId="77777777" w:rsidR="005067E2" w:rsidRPr="00B06574" w:rsidRDefault="005067E2" w:rsidP="005604A2">
            <w:pPr>
              <w:pStyle w:val="Tabletext"/>
              <w:rPr>
                <w:sz w:val="24"/>
              </w:rPr>
            </w:pPr>
            <w:r w:rsidRPr="00B06574">
              <w:rPr>
                <w:b/>
                <w:sz w:val="24"/>
              </w:rPr>
              <w:t>Rating</w:t>
            </w:r>
          </w:p>
        </w:tc>
      </w:tr>
      <w:tr w:rsidR="005067E2" w:rsidRPr="002B7E1B" w14:paraId="67F902C7" w14:textId="77777777" w:rsidTr="005604A2">
        <w:trPr>
          <w:jc w:val="center"/>
        </w:trPr>
        <w:tc>
          <w:tcPr>
            <w:tcW w:w="5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36EF079" w14:textId="77777777" w:rsidR="005067E2" w:rsidRPr="00B06574" w:rsidRDefault="005067E2" w:rsidP="00007ED6">
            <w:pPr>
              <w:pStyle w:val="Tabletext"/>
              <w:keepNext/>
              <w:rPr>
                <w:b/>
                <w:bCs w:val="0"/>
                <w:sz w:val="24"/>
              </w:rPr>
            </w:pPr>
            <w:r w:rsidRPr="00B06574">
              <w:rPr>
                <w:b/>
                <w:bCs w:val="0"/>
                <w:sz w:val="24"/>
              </w:rPr>
              <w:t>Likelihood</w:t>
            </w:r>
          </w:p>
        </w:tc>
        <w:tc>
          <w:tcPr>
            <w:tcW w:w="1701" w:type="dxa"/>
            <w:tcBorders>
              <w:top w:val="nil"/>
              <w:left w:val="nil"/>
              <w:bottom w:val="single" w:sz="8" w:space="0" w:color="auto"/>
              <w:right w:val="single" w:sz="8" w:space="0" w:color="auto"/>
            </w:tcBorders>
          </w:tcPr>
          <w:p w14:paraId="420C2BCC" w14:textId="77777777" w:rsidR="005067E2" w:rsidRPr="00B06574" w:rsidRDefault="005067E2" w:rsidP="005604A2">
            <w:pPr>
              <w:pStyle w:val="Tabletext"/>
              <w:rPr>
                <w:sz w:val="24"/>
              </w:rPr>
            </w:pPr>
            <w:r w:rsidRPr="00B06574">
              <w:rPr>
                <w:sz w:val="24"/>
              </w:rPr>
              <w:t>Medium High</w:t>
            </w:r>
          </w:p>
        </w:tc>
      </w:tr>
      <w:tr w:rsidR="005067E2" w:rsidRPr="002B7E1B" w14:paraId="7163243E" w14:textId="77777777" w:rsidTr="005604A2">
        <w:trPr>
          <w:jc w:val="center"/>
        </w:trPr>
        <w:tc>
          <w:tcPr>
            <w:tcW w:w="5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6EC8C0B" w14:textId="77777777" w:rsidR="005067E2" w:rsidRPr="00B06574" w:rsidRDefault="005067E2" w:rsidP="00007ED6">
            <w:pPr>
              <w:pStyle w:val="Tabletext"/>
              <w:keepNext/>
              <w:rPr>
                <w:b/>
                <w:bCs w:val="0"/>
                <w:sz w:val="24"/>
              </w:rPr>
            </w:pPr>
            <w:r w:rsidRPr="00B06574">
              <w:rPr>
                <w:b/>
                <w:bCs w:val="0"/>
                <w:sz w:val="24"/>
              </w:rPr>
              <w:t>Consequence</w:t>
            </w:r>
          </w:p>
        </w:tc>
        <w:tc>
          <w:tcPr>
            <w:tcW w:w="1701" w:type="dxa"/>
            <w:tcBorders>
              <w:top w:val="single" w:sz="8" w:space="0" w:color="auto"/>
              <w:left w:val="nil"/>
              <w:bottom w:val="single" w:sz="8" w:space="0" w:color="auto"/>
              <w:right w:val="single" w:sz="8" w:space="0" w:color="auto"/>
            </w:tcBorders>
          </w:tcPr>
          <w:p w14:paraId="4BC57696" w14:textId="77777777" w:rsidR="005067E2" w:rsidRPr="00B06574" w:rsidRDefault="005067E2" w:rsidP="005604A2">
            <w:pPr>
              <w:pStyle w:val="Tabletext"/>
              <w:rPr>
                <w:sz w:val="24"/>
              </w:rPr>
            </w:pPr>
            <w:r w:rsidRPr="00B06574">
              <w:rPr>
                <w:sz w:val="24"/>
              </w:rPr>
              <w:t>Limited</w:t>
            </w:r>
          </w:p>
        </w:tc>
      </w:tr>
      <w:tr w:rsidR="005067E2" w:rsidRPr="002B7E1B" w14:paraId="187978E2" w14:textId="77777777" w:rsidTr="005604A2">
        <w:trPr>
          <w:jc w:val="center"/>
        </w:trPr>
        <w:tc>
          <w:tcPr>
            <w:tcW w:w="5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7250DE" w14:textId="77777777" w:rsidR="005067E2" w:rsidRPr="00B06574" w:rsidRDefault="005067E2" w:rsidP="00007ED6">
            <w:pPr>
              <w:pStyle w:val="Tabletext"/>
              <w:keepNext/>
              <w:rPr>
                <w:b/>
                <w:bCs w:val="0"/>
                <w:sz w:val="24"/>
              </w:rPr>
            </w:pPr>
            <w:r w:rsidRPr="00B06574">
              <w:rPr>
                <w:b/>
                <w:bCs w:val="0"/>
                <w:sz w:val="24"/>
              </w:rPr>
              <w:t>Risk score</w:t>
            </w:r>
          </w:p>
        </w:tc>
        <w:tc>
          <w:tcPr>
            <w:tcW w:w="1701" w:type="dxa"/>
            <w:tcBorders>
              <w:top w:val="single" w:sz="8" w:space="0" w:color="auto"/>
              <w:left w:val="nil"/>
              <w:bottom w:val="single" w:sz="8" w:space="0" w:color="auto"/>
              <w:right w:val="single" w:sz="8" w:space="0" w:color="auto"/>
            </w:tcBorders>
          </w:tcPr>
          <w:p w14:paraId="53950F51" w14:textId="77777777" w:rsidR="005067E2" w:rsidRPr="00B06574" w:rsidRDefault="005067E2" w:rsidP="005604A2">
            <w:pPr>
              <w:pStyle w:val="Tabletext"/>
              <w:rPr>
                <w:sz w:val="24"/>
              </w:rPr>
            </w:pPr>
            <w:r w:rsidRPr="00B06574">
              <w:rPr>
                <w:sz w:val="24"/>
              </w:rPr>
              <w:t>5.78</w:t>
            </w:r>
          </w:p>
        </w:tc>
      </w:tr>
      <w:tr w:rsidR="005067E2" w:rsidRPr="002B7E1B" w14:paraId="6395943F" w14:textId="77777777" w:rsidTr="005604A2">
        <w:trPr>
          <w:jc w:val="center"/>
        </w:trPr>
        <w:tc>
          <w:tcPr>
            <w:tcW w:w="5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1F4382" w14:textId="77777777" w:rsidR="005067E2" w:rsidRPr="00B06574" w:rsidRDefault="005067E2" w:rsidP="005604A2">
            <w:pPr>
              <w:pStyle w:val="Tabletext"/>
              <w:rPr>
                <w:b/>
                <w:bCs w:val="0"/>
                <w:sz w:val="24"/>
              </w:rPr>
            </w:pPr>
            <w:r w:rsidRPr="00B06574">
              <w:rPr>
                <w:b/>
                <w:bCs w:val="0"/>
                <w:sz w:val="24"/>
              </w:rPr>
              <w:t>Overall assessment</w:t>
            </w:r>
          </w:p>
        </w:tc>
        <w:tc>
          <w:tcPr>
            <w:tcW w:w="1701" w:type="dxa"/>
            <w:tcBorders>
              <w:top w:val="single" w:sz="8" w:space="0" w:color="auto"/>
              <w:left w:val="nil"/>
              <w:bottom w:val="single" w:sz="8" w:space="0" w:color="auto"/>
              <w:right w:val="single" w:sz="8" w:space="0" w:color="auto"/>
            </w:tcBorders>
            <w:shd w:val="clear" w:color="auto" w:fill="FFC000"/>
          </w:tcPr>
          <w:p w14:paraId="556D77B1" w14:textId="77777777" w:rsidR="005067E2" w:rsidRPr="00B06574" w:rsidRDefault="005067E2" w:rsidP="005604A2">
            <w:pPr>
              <w:pStyle w:val="Tabletext"/>
              <w:rPr>
                <w:sz w:val="24"/>
              </w:rPr>
            </w:pPr>
            <w:r w:rsidRPr="00B06574">
              <w:rPr>
                <w:sz w:val="24"/>
              </w:rPr>
              <w:t>High</w:t>
            </w:r>
          </w:p>
        </w:tc>
      </w:tr>
    </w:tbl>
    <w:p w14:paraId="2068CAED" w14:textId="77777777" w:rsidR="005067E2" w:rsidRPr="0085725E" w:rsidRDefault="005067E2" w:rsidP="005067E2">
      <w:pPr>
        <w:pStyle w:val="NoSpacing"/>
        <w:rPr>
          <w:highlight w:val="yellow"/>
        </w:rPr>
      </w:pPr>
    </w:p>
    <w:p w14:paraId="6F3DB5AB" w14:textId="77777777" w:rsidR="005067E2" w:rsidRPr="00674C09" w:rsidRDefault="005067E2" w:rsidP="005067E2">
      <w:pPr>
        <w:pStyle w:val="Heading2"/>
        <w:rPr>
          <w:b w:val="0"/>
        </w:rPr>
      </w:pPr>
      <w:bookmarkStart w:id="103" w:name="_Toc208329981"/>
      <w:r w:rsidRPr="00674C09">
        <w:t>Malicious attacks/terrorist incidents</w:t>
      </w:r>
      <w:bookmarkEnd w:id="103"/>
    </w:p>
    <w:p w14:paraId="2D6F5D94" w14:textId="0B76A835" w:rsidR="005067E2" w:rsidRPr="00674C09" w:rsidRDefault="005067E2" w:rsidP="005067E2">
      <w:r w:rsidRPr="00674C09">
        <w:t>The UK faces a serious and sustained threat from terrorism, including from international groups, domestic extremists and Northern Ireland related groups.  The current UK threat level for terrorism is ‘substantial’, which means an attack is likely.  While most incidents have occurred in and around major cities in the UK, it is vital that all emergency services are prepared to deal with an incident in their area.  For the purposes of this document, ‘terrorist’ refers to any individual or group seeking to use threats or violence as a means of inflicting terror for the purpose of advancing political, religious, racial or ideological causes.  This includes a wide variety of individuals and groups of varying ideologies and backgrounds.  Incident types may include Marauding Terrorist Attack, Chemical</w:t>
      </w:r>
      <w:r w:rsidR="00E16B2E" w:rsidRPr="00674C09">
        <w:t>,</w:t>
      </w:r>
      <w:r w:rsidRPr="00674C09">
        <w:t xml:space="preserve"> Biological Radiological </w:t>
      </w:r>
      <w:r w:rsidR="00E16B2E" w:rsidRPr="00674C09">
        <w:t xml:space="preserve">or </w:t>
      </w:r>
      <w:r w:rsidRPr="00674C09">
        <w:t>Nuclear and explosives vehicles as a weapon of choice, or smaller-scale attacks.</w:t>
      </w:r>
    </w:p>
    <w:p w14:paraId="2465C55E" w14:textId="531B58CC" w:rsidR="005067E2" w:rsidRPr="0085725E" w:rsidRDefault="005067E2" w:rsidP="005067E2">
      <w:pPr>
        <w:rPr>
          <w:highlight w:val="yellow"/>
        </w:rPr>
      </w:pPr>
      <w:r w:rsidRPr="00674C09">
        <w:t xml:space="preserve">We prepare for such incidents by taking advice from the relevant authorities on the potential risks posed and assessing the impact that such an attack/incident may cause through working with key partners as part of the </w:t>
      </w:r>
      <w:r w:rsidR="00C82A3D" w:rsidRPr="00674C09">
        <w:t>Lancashire Resilience Forum</w:t>
      </w:r>
      <w:r w:rsidRPr="00674C09">
        <w:t>.</w:t>
      </w:r>
    </w:p>
    <w:p w14:paraId="6F516F60" w14:textId="77777777" w:rsidR="005067E2" w:rsidRPr="00B12D01" w:rsidRDefault="005067E2" w:rsidP="005067E2">
      <w:pPr>
        <w:shd w:val="clear" w:color="auto" w:fill="FFFFFF" w:themeFill="background1"/>
      </w:pPr>
      <w:r w:rsidRPr="00B12D01">
        <w:t>We have not attended any incidents of this type over the previous five years.</w:t>
      </w:r>
    </w:p>
    <w:p w14:paraId="222AB9FA" w14:textId="77777777" w:rsidR="005067E2" w:rsidRPr="0085725E" w:rsidRDefault="005067E2" w:rsidP="005067E2">
      <w:pPr>
        <w:pStyle w:val="NoSpacing"/>
        <w:rPr>
          <w:highlight w:val="yellow"/>
        </w:rPr>
      </w:pPr>
    </w:p>
    <w:tbl>
      <w:tblPr>
        <w:tblStyle w:val="TableGrid"/>
        <w:tblW w:w="0" w:type="auto"/>
        <w:jc w:val="center"/>
        <w:tblLayout w:type="fixed"/>
        <w:tblLook w:val="04A0" w:firstRow="1" w:lastRow="0" w:firstColumn="1" w:lastColumn="0" w:noHBand="0" w:noVBand="1"/>
        <w:tblCaption w:val="Risk - malicious attacks/terrorist incidents"/>
        <w:tblDescription w:val="A table detailing the likelihood, consequence, risk score and overall assessment"/>
      </w:tblPr>
      <w:tblGrid>
        <w:gridCol w:w="5377"/>
        <w:gridCol w:w="1984"/>
      </w:tblGrid>
      <w:tr w:rsidR="005067E2" w:rsidRPr="002B7E1B" w14:paraId="7B851E6C" w14:textId="77777777" w:rsidTr="005604A2">
        <w:trPr>
          <w:tblHeader/>
          <w:jc w:val="center"/>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2D6849" w14:textId="77777777" w:rsidR="005067E2" w:rsidRPr="00B06574" w:rsidRDefault="005067E2" w:rsidP="00007ED6">
            <w:pPr>
              <w:pStyle w:val="Tabletext"/>
              <w:keepNext/>
              <w:rPr>
                <w:sz w:val="24"/>
              </w:rPr>
            </w:pPr>
            <w:r w:rsidRPr="00B06574">
              <w:rPr>
                <w:b/>
                <w:bCs w:val="0"/>
                <w:sz w:val="24"/>
              </w:rPr>
              <w:t>Risk – Malicious attacks/terrorist incidents</w:t>
            </w:r>
          </w:p>
        </w:tc>
        <w:tc>
          <w:tcPr>
            <w:tcW w:w="19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506A8C3" w14:textId="77777777" w:rsidR="005067E2" w:rsidRPr="00B06574" w:rsidRDefault="005067E2" w:rsidP="005604A2">
            <w:pPr>
              <w:pStyle w:val="Tabletext"/>
              <w:rPr>
                <w:sz w:val="24"/>
              </w:rPr>
            </w:pPr>
            <w:r w:rsidRPr="00B06574">
              <w:rPr>
                <w:b/>
                <w:sz w:val="24"/>
              </w:rPr>
              <w:t>Rating</w:t>
            </w:r>
          </w:p>
        </w:tc>
      </w:tr>
      <w:tr w:rsidR="005067E2" w:rsidRPr="002B7E1B" w14:paraId="06F05B24" w14:textId="77777777" w:rsidTr="005604A2">
        <w:trPr>
          <w:jc w:val="center"/>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ED106B" w14:textId="77777777" w:rsidR="005067E2" w:rsidRPr="00B06574" w:rsidRDefault="005067E2" w:rsidP="00007ED6">
            <w:pPr>
              <w:pStyle w:val="Tabletext"/>
              <w:keepNext/>
              <w:rPr>
                <w:b/>
                <w:bCs w:val="0"/>
                <w:sz w:val="24"/>
              </w:rPr>
            </w:pPr>
            <w:r w:rsidRPr="00B06574">
              <w:rPr>
                <w:b/>
                <w:bCs w:val="0"/>
                <w:sz w:val="24"/>
              </w:rPr>
              <w:t>Likelihood</w:t>
            </w:r>
          </w:p>
        </w:tc>
        <w:tc>
          <w:tcPr>
            <w:tcW w:w="1984" w:type="dxa"/>
            <w:tcBorders>
              <w:top w:val="nil"/>
              <w:left w:val="nil"/>
              <w:bottom w:val="single" w:sz="8" w:space="0" w:color="auto"/>
              <w:right w:val="single" w:sz="8" w:space="0" w:color="auto"/>
            </w:tcBorders>
          </w:tcPr>
          <w:p w14:paraId="6D9BA406" w14:textId="77777777" w:rsidR="005067E2" w:rsidRPr="00B06574" w:rsidRDefault="005067E2" w:rsidP="005604A2">
            <w:pPr>
              <w:pStyle w:val="Tabletext"/>
              <w:rPr>
                <w:sz w:val="24"/>
              </w:rPr>
            </w:pPr>
            <w:r w:rsidRPr="00B06574">
              <w:rPr>
                <w:sz w:val="24"/>
              </w:rPr>
              <w:t>Low</w:t>
            </w:r>
          </w:p>
        </w:tc>
      </w:tr>
      <w:tr w:rsidR="005067E2" w:rsidRPr="002B7E1B" w14:paraId="4C805EBE" w14:textId="77777777" w:rsidTr="005604A2">
        <w:trPr>
          <w:jc w:val="center"/>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DE5295A" w14:textId="77777777" w:rsidR="005067E2" w:rsidRPr="00B06574" w:rsidRDefault="005067E2" w:rsidP="00007ED6">
            <w:pPr>
              <w:pStyle w:val="Tabletext"/>
              <w:keepNext/>
              <w:rPr>
                <w:b/>
                <w:bCs w:val="0"/>
                <w:sz w:val="24"/>
              </w:rPr>
            </w:pPr>
            <w:r w:rsidRPr="00B06574">
              <w:rPr>
                <w:b/>
                <w:bCs w:val="0"/>
                <w:sz w:val="24"/>
              </w:rPr>
              <w:t>Consequence</w:t>
            </w:r>
          </w:p>
        </w:tc>
        <w:tc>
          <w:tcPr>
            <w:tcW w:w="1984" w:type="dxa"/>
            <w:tcBorders>
              <w:top w:val="single" w:sz="8" w:space="0" w:color="auto"/>
              <w:left w:val="nil"/>
              <w:bottom w:val="single" w:sz="8" w:space="0" w:color="auto"/>
              <w:right w:val="single" w:sz="8" w:space="0" w:color="auto"/>
            </w:tcBorders>
          </w:tcPr>
          <w:p w14:paraId="6B704127" w14:textId="77777777" w:rsidR="005067E2" w:rsidRPr="00B06574" w:rsidRDefault="005067E2" w:rsidP="005604A2">
            <w:pPr>
              <w:pStyle w:val="Tabletext"/>
              <w:rPr>
                <w:sz w:val="24"/>
              </w:rPr>
            </w:pPr>
            <w:r w:rsidRPr="00B06574">
              <w:rPr>
                <w:sz w:val="24"/>
              </w:rPr>
              <w:t>Significant</w:t>
            </w:r>
          </w:p>
        </w:tc>
      </w:tr>
      <w:tr w:rsidR="005067E2" w:rsidRPr="002B7E1B" w14:paraId="6BEE8B1C" w14:textId="77777777" w:rsidTr="005604A2">
        <w:trPr>
          <w:jc w:val="center"/>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3BF7650" w14:textId="77777777" w:rsidR="005067E2" w:rsidRPr="00B06574" w:rsidRDefault="005067E2" w:rsidP="00007ED6">
            <w:pPr>
              <w:pStyle w:val="Tabletext"/>
              <w:keepNext/>
              <w:rPr>
                <w:b/>
                <w:bCs w:val="0"/>
                <w:sz w:val="24"/>
              </w:rPr>
            </w:pPr>
            <w:r w:rsidRPr="00B06574">
              <w:rPr>
                <w:b/>
                <w:bCs w:val="0"/>
                <w:sz w:val="24"/>
              </w:rPr>
              <w:t>Risk score</w:t>
            </w:r>
          </w:p>
        </w:tc>
        <w:tc>
          <w:tcPr>
            <w:tcW w:w="1984" w:type="dxa"/>
            <w:tcBorders>
              <w:top w:val="single" w:sz="8" w:space="0" w:color="auto"/>
              <w:left w:val="nil"/>
              <w:bottom w:val="single" w:sz="8" w:space="0" w:color="auto"/>
              <w:right w:val="single" w:sz="8" w:space="0" w:color="auto"/>
            </w:tcBorders>
          </w:tcPr>
          <w:p w14:paraId="132ACC5B" w14:textId="77777777" w:rsidR="005067E2" w:rsidRPr="00B06574" w:rsidRDefault="005067E2" w:rsidP="005604A2">
            <w:pPr>
              <w:pStyle w:val="Tabletext"/>
              <w:rPr>
                <w:sz w:val="24"/>
              </w:rPr>
            </w:pPr>
            <w:r w:rsidRPr="00B06574">
              <w:rPr>
                <w:sz w:val="24"/>
              </w:rPr>
              <w:t>4.79</w:t>
            </w:r>
          </w:p>
        </w:tc>
      </w:tr>
      <w:tr w:rsidR="005067E2" w:rsidRPr="002B7E1B" w14:paraId="48080286" w14:textId="77777777" w:rsidTr="005604A2">
        <w:trPr>
          <w:jc w:val="center"/>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95B9906" w14:textId="77777777" w:rsidR="005067E2" w:rsidRPr="00B06574" w:rsidRDefault="005067E2" w:rsidP="005604A2">
            <w:pPr>
              <w:pStyle w:val="Tabletext"/>
              <w:rPr>
                <w:b/>
                <w:bCs w:val="0"/>
                <w:sz w:val="24"/>
              </w:rPr>
            </w:pPr>
            <w:r w:rsidRPr="00B06574">
              <w:rPr>
                <w:b/>
                <w:bCs w:val="0"/>
                <w:sz w:val="24"/>
              </w:rPr>
              <w:t>Overall assessment</w:t>
            </w:r>
          </w:p>
        </w:tc>
        <w:tc>
          <w:tcPr>
            <w:tcW w:w="1984" w:type="dxa"/>
            <w:tcBorders>
              <w:top w:val="single" w:sz="8" w:space="0" w:color="auto"/>
              <w:left w:val="nil"/>
              <w:bottom w:val="single" w:sz="8" w:space="0" w:color="auto"/>
              <w:right w:val="single" w:sz="8" w:space="0" w:color="auto"/>
            </w:tcBorders>
            <w:shd w:val="clear" w:color="auto" w:fill="FFFF00"/>
          </w:tcPr>
          <w:p w14:paraId="0A0A4BBB" w14:textId="77777777" w:rsidR="005067E2" w:rsidRPr="00B06574" w:rsidRDefault="005067E2" w:rsidP="005604A2">
            <w:pPr>
              <w:pStyle w:val="Tabletext"/>
              <w:rPr>
                <w:sz w:val="24"/>
              </w:rPr>
            </w:pPr>
            <w:r w:rsidRPr="00B06574">
              <w:rPr>
                <w:sz w:val="24"/>
              </w:rPr>
              <w:t>Medium</w:t>
            </w:r>
          </w:p>
        </w:tc>
      </w:tr>
    </w:tbl>
    <w:p w14:paraId="7655B45B" w14:textId="77777777" w:rsidR="005067E2" w:rsidRPr="0085725E" w:rsidRDefault="005067E2" w:rsidP="005067E2">
      <w:pPr>
        <w:pStyle w:val="NoSpacing"/>
        <w:rPr>
          <w:highlight w:val="yellow"/>
        </w:rPr>
      </w:pPr>
    </w:p>
    <w:p w14:paraId="50F4F38E" w14:textId="77777777" w:rsidR="005067E2" w:rsidRPr="00674C09" w:rsidRDefault="005067E2" w:rsidP="005067E2">
      <w:pPr>
        <w:pStyle w:val="Heading2"/>
        <w:rPr>
          <w:b w:val="0"/>
        </w:rPr>
      </w:pPr>
      <w:bookmarkStart w:id="104" w:name="_Toc208329982"/>
      <w:r w:rsidRPr="00674C09">
        <w:lastRenderedPageBreak/>
        <w:t>Rescue from depth</w:t>
      </w:r>
      <w:bookmarkEnd w:id="104"/>
    </w:p>
    <w:p w14:paraId="60306906" w14:textId="77777777" w:rsidR="005067E2" w:rsidRPr="00674C09" w:rsidRDefault="005067E2" w:rsidP="005067E2">
      <w:r w:rsidRPr="00674C09">
        <w:t>Special service incidents involving rescues from below ground could involve shafts, caves, tunnels, sewers or wells.  Rescues of this type are often protracted in nature with access difficult for fire appliances.  They may require the use of technical rope skills, and/or additional appliances such as an aerial ladder platform.</w:t>
      </w:r>
    </w:p>
    <w:p w14:paraId="3C39EE3C" w14:textId="585B7A81" w:rsidR="005067E2" w:rsidRPr="00D0558B" w:rsidRDefault="005067E2" w:rsidP="005067E2">
      <w:r w:rsidRPr="00B12D01">
        <w:t xml:space="preserve">Over the previous five years, we have attended </w:t>
      </w:r>
      <w:r w:rsidR="00B12D01" w:rsidRPr="0085725E">
        <w:t>24</w:t>
      </w:r>
      <w:r w:rsidR="00B12D01" w:rsidRPr="00B12D01">
        <w:t xml:space="preserve"> </w:t>
      </w:r>
      <w:r w:rsidRPr="00B12D01">
        <w:t>incidents</w:t>
      </w:r>
      <w:r w:rsidRPr="00D0558B">
        <w:t xml:space="preserve">, with </w:t>
      </w:r>
      <w:r w:rsidR="00E617A7" w:rsidRPr="0085725E">
        <w:t>17</w:t>
      </w:r>
      <w:r w:rsidR="00E617A7" w:rsidRPr="00D0558B">
        <w:t xml:space="preserve"> </w:t>
      </w:r>
      <w:r w:rsidRPr="00D0558B">
        <w:t xml:space="preserve">involving outdoor rescues, </w:t>
      </w:r>
      <w:r w:rsidR="00E617A7" w:rsidRPr="0085725E">
        <w:t>and 7</w:t>
      </w:r>
      <w:r w:rsidR="00E617A7" w:rsidRPr="00D0558B">
        <w:t xml:space="preserve"> </w:t>
      </w:r>
      <w:r w:rsidRPr="00D0558B">
        <w:t xml:space="preserve">rescues from buildings.  There was </w:t>
      </w:r>
      <w:r w:rsidR="00E617A7" w:rsidRPr="0085725E">
        <w:t>one</w:t>
      </w:r>
      <w:r w:rsidR="00E617A7" w:rsidRPr="00D0558B">
        <w:t xml:space="preserve"> </w:t>
      </w:r>
      <w:r w:rsidRPr="00D0558B">
        <w:t xml:space="preserve">fatality, </w:t>
      </w:r>
      <w:r w:rsidR="00E617A7" w:rsidRPr="0085725E">
        <w:t>eight</w:t>
      </w:r>
      <w:r w:rsidR="00E617A7" w:rsidRPr="00D0558B">
        <w:t xml:space="preserve"> </w:t>
      </w:r>
      <w:r w:rsidRPr="00D0558B">
        <w:t xml:space="preserve">people sustained serious injuries and </w:t>
      </w:r>
      <w:r w:rsidR="00E617A7" w:rsidRPr="0085725E">
        <w:t>six</w:t>
      </w:r>
      <w:r w:rsidR="00E617A7" w:rsidRPr="00D0558B">
        <w:t xml:space="preserve"> </w:t>
      </w:r>
      <w:r w:rsidRPr="00D0558B">
        <w:t>sustained minor injuries.</w:t>
      </w:r>
    </w:p>
    <w:p w14:paraId="15755296" w14:textId="77777777" w:rsidR="005067E2" w:rsidRPr="00007ED6" w:rsidRDefault="005067E2" w:rsidP="00007ED6">
      <w:pPr>
        <w:pStyle w:val="NoSpacing"/>
        <w:rPr>
          <w:highlight w:val="yellow"/>
        </w:rPr>
      </w:pPr>
    </w:p>
    <w:tbl>
      <w:tblPr>
        <w:tblStyle w:val="TableGrid"/>
        <w:tblW w:w="0" w:type="auto"/>
        <w:jc w:val="center"/>
        <w:tblLayout w:type="fixed"/>
        <w:tblLook w:val="04A0" w:firstRow="1" w:lastRow="0" w:firstColumn="1" w:lastColumn="0" w:noHBand="0" w:noVBand="1"/>
        <w:tblCaption w:val="Risk - rescues from depth"/>
        <w:tblDescription w:val="A table detailing the likelihood, consequence, risk score and overall assessment"/>
      </w:tblPr>
      <w:tblGrid>
        <w:gridCol w:w="4385"/>
        <w:gridCol w:w="1737"/>
      </w:tblGrid>
      <w:tr w:rsidR="005067E2" w:rsidRPr="002B7E1B" w14:paraId="6124C52A" w14:textId="77777777" w:rsidTr="005604A2">
        <w:trPr>
          <w:tblHeade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EDEF5A" w14:textId="77777777" w:rsidR="005067E2" w:rsidRPr="00B06574" w:rsidRDefault="005067E2" w:rsidP="00007ED6">
            <w:pPr>
              <w:pStyle w:val="Tabletext"/>
              <w:keepNext/>
              <w:rPr>
                <w:sz w:val="24"/>
              </w:rPr>
            </w:pPr>
            <w:r w:rsidRPr="00B06574">
              <w:rPr>
                <w:b/>
                <w:bCs w:val="0"/>
                <w:sz w:val="24"/>
              </w:rPr>
              <w:br w:type="page"/>
              <w:t>Risk – Rescues from depth</w:t>
            </w:r>
          </w:p>
        </w:tc>
        <w:tc>
          <w:tcPr>
            <w:tcW w:w="17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30425A3" w14:textId="77777777" w:rsidR="005067E2" w:rsidRPr="00B06574" w:rsidRDefault="005067E2" w:rsidP="005604A2">
            <w:pPr>
              <w:pStyle w:val="Tabletext"/>
              <w:rPr>
                <w:sz w:val="24"/>
              </w:rPr>
            </w:pPr>
            <w:r w:rsidRPr="00B06574">
              <w:rPr>
                <w:b/>
                <w:sz w:val="24"/>
              </w:rPr>
              <w:t>Rating</w:t>
            </w:r>
          </w:p>
        </w:tc>
      </w:tr>
      <w:tr w:rsidR="005067E2" w:rsidRPr="002B7E1B" w14:paraId="0864975D"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AACCC20" w14:textId="77777777" w:rsidR="005067E2" w:rsidRPr="00B06574" w:rsidRDefault="005067E2" w:rsidP="00007ED6">
            <w:pPr>
              <w:pStyle w:val="Tabletext"/>
              <w:keepNext/>
              <w:rPr>
                <w:b/>
                <w:bCs w:val="0"/>
                <w:sz w:val="24"/>
              </w:rPr>
            </w:pPr>
            <w:r w:rsidRPr="00B06574">
              <w:rPr>
                <w:b/>
                <w:bCs w:val="0"/>
                <w:sz w:val="24"/>
              </w:rPr>
              <w:t>Likelihood</w:t>
            </w:r>
          </w:p>
        </w:tc>
        <w:tc>
          <w:tcPr>
            <w:tcW w:w="1737" w:type="dxa"/>
            <w:tcBorders>
              <w:top w:val="nil"/>
              <w:left w:val="nil"/>
              <w:bottom w:val="single" w:sz="8" w:space="0" w:color="auto"/>
              <w:right w:val="single" w:sz="8" w:space="0" w:color="auto"/>
            </w:tcBorders>
          </w:tcPr>
          <w:p w14:paraId="321FC8BC" w14:textId="77777777" w:rsidR="005067E2" w:rsidRPr="00B06574" w:rsidRDefault="005067E2" w:rsidP="005604A2">
            <w:pPr>
              <w:pStyle w:val="Tabletext"/>
              <w:rPr>
                <w:sz w:val="24"/>
              </w:rPr>
            </w:pPr>
            <w:r w:rsidRPr="00B06574">
              <w:rPr>
                <w:sz w:val="24"/>
              </w:rPr>
              <w:t>Medium Low</w:t>
            </w:r>
          </w:p>
        </w:tc>
      </w:tr>
      <w:tr w:rsidR="005067E2" w:rsidRPr="002B7E1B" w14:paraId="6869BCA4"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0F6DB4" w14:textId="77777777" w:rsidR="005067E2" w:rsidRPr="00B06574" w:rsidRDefault="005067E2" w:rsidP="00007ED6">
            <w:pPr>
              <w:pStyle w:val="Tabletext"/>
              <w:keepNext/>
              <w:rPr>
                <w:b/>
                <w:bCs w:val="0"/>
                <w:sz w:val="24"/>
              </w:rPr>
            </w:pPr>
            <w:r w:rsidRPr="00B06574">
              <w:rPr>
                <w:b/>
                <w:bCs w:val="0"/>
                <w:sz w:val="24"/>
              </w:rPr>
              <w:t>Consequence</w:t>
            </w:r>
          </w:p>
        </w:tc>
        <w:tc>
          <w:tcPr>
            <w:tcW w:w="1737" w:type="dxa"/>
            <w:tcBorders>
              <w:top w:val="single" w:sz="8" w:space="0" w:color="auto"/>
              <w:left w:val="nil"/>
              <w:bottom w:val="single" w:sz="8" w:space="0" w:color="auto"/>
              <w:right w:val="single" w:sz="8" w:space="0" w:color="auto"/>
            </w:tcBorders>
          </w:tcPr>
          <w:p w14:paraId="68F05E97" w14:textId="77777777" w:rsidR="005067E2" w:rsidRPr="00B06574" w:rsidRDefault="005067E2" w:rsidP="005604A2">
            <w:pPr>
              <w:pStyle w:val="Tabletext"/>
              <w:rPr>
                <w:sz w:val="24"/>
              </w:rPr>
            </w:pPr>
            <w:r w:rsidRPr="00B06574">
              <w:rPr>
                <w:sz w:val="24"/>
              </w:rPr>
              <w:t>Limited</w:t>
            </w:r>
          </w:p>
        </w:tc>
      </w:tr>
      <w:tr w:rsidR="005067E2" w:rsidRPr="002B7E1B" w14:paraId="7EAF4AB4" w14:textId="77777777" w:rsidTr="005604A2">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76CE19" w14:textId="77777777" w:rsidR="005067E2" w:rsidRPr="00B06574" w:rsidRDefault="005067E2" w:rsidP="00007ED6">
            <w:pPr>
              <w:pStyle w:val="Tabletext"/>
              <w:keepNext/>
              <w:rPr>
                <w:b/>
                <w:bCs w:val="0"/>
                <w:sz w:val="24"/>
              </w:rPr>
            </w:pPr>
            <w:r w:rsidRPr="00B06574">
              <w:rPr>
                <w:b/>
                <w:bCs w:val="0"/>
                <w:sz w:val="24"/>
              </w:rPr>
              <w:t>Risk score</w:t>
            </w:r>
          </w:p>
        </w:tc>
        <w:tc>
          <w:tcPr>
            <w:tcW w:w="1737" w:type="dxa"/>
            <w:tcBorders>
              <w:top w:val="single" w:sz="8" w:space="0" w:color="auto"/>
              <w:left w:val="nil"/>
              <w:bottom w:val="single" w:sz="8" w:space="0" w:color="auto"/>
              <w:right w:val="single" w:sz="8" w:space="0" w:color="auto"/>
            </w:tcBorders>
          </w:tcPr>
          <w:p w14:paraId="57CD6BD9" w14:textId="022033EA" w:rsidR="005067E2" w:rsidRPr="00B06574" w:rsidRDefault="00B06574" w:rsidP="005604A2">
            <w:pPr>
              <w:pStyle w:val="Tabletext"/>
              <w:rPr>
                <w:sz w:val="24"/>
              </w:rPr>
            </w:pPr>
            <w:r>
              <w:rPr>
                <w:sz w:val="24"/>
              </w:rPr>
              <w:t>3.84</w:t>
            </w:r>
          </w:p>
        </w:tc>
      </w:tr>
      <w:tr w:rsidR="005067E2" w:rsidRPr="002B7E1B" w14:paraId="5A6A533D" w14:textId="77777777" w:rsidTr="00674C09">
        <w:trPr>
          <w:jc w:val="center"/>
        </w:trPr>
        <w:tc>
          <w:tcPr>
            <w:tcW w:w="4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5D1EAA8" w14:textId="77777777" w:rsidR="005067E2" w:rsidRPr="00B06574" w:rsidRDefault="005067E2" w:rsidP="005604A2">
            <w:pPr>
              <w:pStyle w:val="Tabletext"/>
              <w:rPr>
                <w:b/>
                <w:bCs w:val="0"/>
                <w:sz w:val="24"/>
              </w:rPr>
            </w:pPr>
            <w:r w:rsidRPr="00B06574">
              <w:rPr>
                <w:b/>
                <w:bCs w:val="0"/>
                <w:sz w:val="24"/>
              </w:rPr>
              <w:t>Overall assessment</w:t>
            </w:r>
          </w:p>
        </w:tc>
        <w:tc>
          <w:tcPr>
            <w:tcW w:w="1737" w:type="dxa"/>
            <w:tcBorders>
              <w:top w:val="single" w:sz="8" w:space="0" w:color="auto"/>
              <w:left w:val="nil"/>
              <w:bottom w:val="single" w:sz="8" w:space="0" w:color="auto"/>
              <w:right w:val="single" w:sz="8" w:space="0" w:color="auto"/>
            </w:tcBorders>
            <w:shd w:val="clear" w:color="auto" w:fill="92D050"/>
          </w:tcPr>
          <w:p w14:paraId="0123EDE6" w14:textId="2A20A6A8" w:rsidR="005067E2" w:rsidRPr="00B06574" w:rsidRDefault="00674C09" w:rsidP="005604A2">
            <w:pPr>
              <w:pStyle w:val="Tabletext"/>
              <w:rPr>
                <w:sz w:val="24"/>
              </w:rPr>
            </w:pPr>
            <w:r>
              <w:rPr>
                <w:sz w:val="24"/>
              </w:rPr>
              <w:t>Low</w:t>
            </w:r>
          </w:p>
        </w:tc>
      </w:tr>
    </w:tbl>
    <w:p w14:paraId="3C083E54" w14:textId="77777777" w:rsidR="005067E2" w:rsidRPr="00007ED6" w:rsidRDefault="005067E2" w:rsidP="00007ED6">
      <w:pPr>
        <w:pStyle w:val="NoSpacing"/>
        <w:rPr>
          <w:highlight w:val="yellow"/>
        </w:rPr>
      </w:pPr>
    </w:p>
    <w:p w14:paraId="234BE26D" w14:textId="77777777" w:rsidR="005067E2" w:rsidRPr="00674C09" w:rsidRDefault="005067E2" w:rsidP="005067E2">
      <w:pPr>
        <w:pStyle w:val="Heading2"/>
        <w:rPr>
          <w:b w:val="0"/>
        </w:rPr>
      </w:pPr>
      <w:bookmarkStart w:id="105" w:name="_Toc208329983"/>
      <w:r w:rsidRPr="00674C09">
        <w:t>Rescue from mud</w:t>
      </w:r>
      <w:bookmarkEnd w:id="105"/>
    </w:p>
    <w:p w14:paraId="313A3522" w14:textId="77777777" w:rsidR="005067E2" w:rsidRPr="00674C09" w:rsidRDefault="005067E2" w:rsidP="005067E2">
      <w:pPr>
        <w:rPr>
          <w:lang w:val="en-US"/>
        </w:rPr>
      </w:pPr>
      <w:r w:rsidRPr="00674C09">
        <w:rPr>
          <w:lang w:val="en-US"/>
        </w:rPr>
        <w:t>Mud rescues involve the use of specialist equipment to recover people and animals from the mud or sinking sand that lies along coasts, river embankments, and lakes.  A typical rescue involves using an inflatable raft to support the sinking casualty whilst the crew then use either water or air to soften the mud, allowing the casualty to be pulled to safety.  Incidents where people get stuck in deep mud are particularly hazardous.  If not rescued quickly enough, a victim may sink further down, which can be hastened by panicking and moving.  In addition, trapped victims could be swept away by the water in areas of large tidal variation or by strong currents.</w:t>
      </w:r>
    </w:p>
    <w:p w14:paraId="21152269" w14:textId="7E78E7DE" w:rsidR="005067E2" w:rsidRPr="004227C5" w:rsidRDefault="005067E2" w:rsidP="005067E2">
      <w:r w:rsidRPr="00674C09">
        <w:rPr>
          <w:lang w:val="en-US"/>
        </w:rPr>
        <w:t xml:space="preserve">Teams of rescuers require special expertise that is different, but related to water rescue and as such, </w:t>
      </w:r>
      <w:r w:rsidR="00721973" w:rsidRPr="00674C09">
        <w:rPr>
          <w:lang w:eastAsia="en-GB"/>
        </w:rPr>
        <w:t>Lancashire Fire and Rescue Service</w:t>
      </w:r>
      <w:r w:rsidR="00721973" w:rsidRPr="00674C09">
        <w:rPr>
          <w:lang w:val="en-US"/>
        </w:rPr>
        <w:t xml:space="preserve"> </w:t>
      </w:r>
      <w:r w:rsidRPr="00674C09">
        <w:t xml:space="preserve">have a range of resources available to deal with this type of incident, including </w:t>
      </w:r>
      <w:r w:rsidR="004227C5" w:rsidRPr="004227C5">
        <w:t xml:space="preserve">eight </w:t>
      </w:r>
      <w:r w:rsidRPr="004227C5">
        <w:t>specialist trained stations based at strategic locations across the county along with close working relationships with Bay Search and Rescue Teams and the Coastguard.</w:t>
      </w:r>
    </w:p>
    <w:p w14:paraId="42D5CD71" w14:textId="0F7F66CD" w:rsidR="005067E2" w:rsidRPr="00D0558B" w:rsidRDefault="005067E2" w:rsidP="005067E2">
      <w:r w:rsidRPr="00B12D01">
        <w:t xml:space="preserve">Over the previous five years, we have attended </w:t>
      </w:r>
      <w:r w:rsidR="00B12D01" w:rsidRPr="0085725E">
        <w:t>40</w:t>
      </w:r>
      <w:r w:rsidR="00B12D01" w:rsidRPr="00B12D01">
        <w:t xml:space="preserve"> </w:t>
      </w:r>
      <w:r w:rsidRPr="00B12D01">
        <w:t xml:space="preserve">incidents, which equates to </w:t>
      </w:r>
      <w:r w:rsidR="00B12D01" w:rsidRPr="0085725E">
        <w:t>8</w:t>
      </w:r>
      <w:r w:rsidR="00B12D01" w:rsidRPr="00B12D01">
        <w:t xml:space="preserve"> </w:t>
      </w:r>
      <w:r w:rsidRPr="00B12D01">
        <w:t xml:space="preserve">incidents a year on average.  </w:t>
      </w:r>
      <w:r w:rsidRPr="00D0558B">
        <w:t>The districts of Lancaster</w:t>
      </w:r>
      <w:r w:rsidR="00797B68" w:rsidRPr="0085725E">
        <w:t>,</w:t>
      </w:r>
      <w:r w:rsidRPr="00D0558B">
        <w:t xml:space="preserve"> Fylde</w:t>
      </w:r>
      <w:r w:rsidR="00797B68" w:rsidRPr="0085725E">
        <w:t xml:space="preserve">, and West Lancashire </w:t>
      </w:r>
      <w:r w:rsidRPr="00D0558B">
        <w:t xml:space="preserve">accounted for </w:t>
      </w:r>
      <w:r w:rsidR="00797B68" w:rsidRPr="0085725E">
        <w:t xml:space="preserve">over </w:t>
      </w:r>
      <w:r w:rsidRPr="00D0558B">
        <w:t>50% of the incidents.</w:t>
      </w:r>
    </w:p>
    <w:p w14:paraId="1F3743D7" w14:textId="77777777" w:rsidR="005067E2" w:rsidRPr="0085725E" w:rsidRDefault="005067E2" w:rsidP="005067E2">
      <w:pPr>
        <w:pStyle w:val="NoSpacing"/>
        <w:rPr>
          <w:highlight w:val="yellow"/>
          <w:lang w:val="en-US"/>
        </w:rPr>
      </w:pPr>
    </w:p>
    <w:tbl>
      <w:tblPr>
        <w:tblStyle w:val="TableGrid"/>
        <w:tblW w:w="0" w:type="auto"/>
        <w:jc w:val="center"/>
        <w:tblLayout w:type="fixed"/>
        <w:tblLook w:val="04A0" w:firstRow="1" w:lastRow="0" w:firstColumn="1" w:lastColumn="0" w:noHBand="0" w:noVBand="1"/>
        <w:tblCaption w:val="Risk - rescues from mud"/>
        <w:tblDescription w:val="A table detailing the likelihood, consequence, risk score and overall assessment"/>
      </w:tblPr>
      <w:tblGrid>
        <w:gridCol w:w="4101"/>
        <w:gridCol w:w="2021"/>
      </w:tblGrid>
      <w:tr w:rsidR="005067E2" w:rsidRPr="002B7E1B" w14:paraId="7267CA53" w14:textId="77777777" w:rsidTr="005604A2">
        <w:trPr>
          <w:tblHeade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325624" w14:textId="77777777" w:rsidR="005067E2" w:rsidRPr="00B06574" w:rsidRDefault="005067E2" w:rsidP="00007ED6">
            <w:pPr>
              <w:pStyle w:val="Tabletext"/>
              <w:keepNext/>
              <w:rPr>
                <w:sz w:val="24"/>
              </w:rPr>
            </w:pPr>
            <w:r w:rsidRPr="00B06574">
              <w:rPr>
                <w:b/>
                <w:bCs w:val="0"/>
                <w:sz w:val="24"/>
              </w:rPr>
              <w:lastRenderedPageBreak/>
              <w:t>Risk – Rescues from mud</w:t>
            </w:r>
          </w:p>
        </w:tc>
        <w:tc>
          <w:tcPr>
            <w:tcW w:w="20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41F5E0B" w14:textId="77777777" w:rsidR="005067E2" w:rsidRPr="00B06574" w:rsidRDefault="005067E2" w:rsidP="005604A2">
            <w:pPr>
              <w:pStyle w:val="Tabletext"/>
              <w:rPr>
                <w:sz w:val="24"/>
              </w:rPr>
            </w:pPr>
            <w:r w:rsidRPr="00B06574">
              <w:rPr>
                <w:b/>
                <w:sz w:val="24"/>
              </w:rPr>
              <w:t>Rating</w:t>
            </w:r>
          </w:p>
        </w:tc>
      </w:tr>
      <w:tr w:rsidR="005067E2" w:rsidRPr="002B7E1B" w14:paraId="65E0EF2D" w14:textId="77777777" w:rsidTr="005604A2">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C9B596" w14:textId="77777777" w:rsidR="005067E2" w:rsidRPr="00B06574" w:rsidRDefault="005067E2" w:rsidP="00007ED6">
            <w:pPr>
              <w:pStyle w:val="Tabletext"/>
              <w:keepNext/>
              <w:rPr>
                <w:b/>
                <w:bCs w:val="0"/>
                <w:sz w:val="24"/>
              </w:rPr>
            </w:pPr>
            <w:r w:rsidRPr="00B06574">
              <w:rPr>
                <w:b/>
                <w:bCs w:val="0"/>
                <w:sz w:val="24"/>
              </w:rPr>
              <w:t>Likelihood</w:t>
            </w:r>
          </w:p>
        </w:tc>
        <w:tc>
          <w:tcPr>
            <w:tcW w:w="2021" w:type="dxa"/>
            <w:tcBorders>
              <w:top w:val="nil"/>
              <w:left w:val="nil"/>
              <w:bottom w:val="single" w:sz="8" w:space="0" w:color="auto"/>
              <w:right w:val="single" w:sz="8" w:space="0" w:color="auto"/>
            </w:tcBorders>
          </w:tcPr>
          <w:p w14:paraId="5F47F077" w14:textId="77777777" w:rsidR="005067E2" w:rsidRPr="00B06574" w:rsidRDefault="005067E2" w:rsidP="005604A2">
            <w:pPr>
              <w:pStyle w:val="Tabletext"/>
              <w:rPr>
                <w:sz w:val="24"/>
              </w:rPr>
            </w:pPr>
            <w:r w:rsidRPr="00B06574">
              <w:rPr>
                <w:sz w:val="24"/>
              </w:rPr>
              <w:t>Medium Low</w:t>
            </w:r>
          </w:p>
        </w:tc>
      </w:tr>
      <w:tr w:rsidR="005067E2" w:rsidRPr="002B7E1B" w14:paraId="7AC5028B" w14:textId="77777777" w:rsidTr="005604A2">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448B69" w14:textId="77777777" w:rsidR="005067E2" w:rsidRPr="00B06574" w:rsidRDefault="005067E2" w:rsidP="00007ED6">
            <w:pPr>
              <w:pStyle w:val="Tabletext"/>
              <w:keepNext/>
              <w:rPr>
                <w:b/>
                <w:bCs w:val="0"/>
                <w:sz w:val="24"/>
              </w:rPr>
            </w:pPr>
            <w:r w:rsidRPr="00B06574">
              <w:rPr>
                <w:b/>
                <w:bCs w:val="0"/>
                <w:sz w:val="24"/>
              </w:rPr>
              <w:t>Consequence</w:t>
            </w:r>
          </w:p>
        </w:tc>
        <w:tc>
          <w:tcPr>
            <w:tcW w:w="2021" w:type="dxa"/>
            <w:tcBorders>
              <w:top w:val="single" w:sz="8" w:space="0" w:color="auto"/>
              <w:left w:val="nil"/>
              <w:bottom w:val="single" w:sz="8" w:space="0" w:color="auto"/>
              <w:right w:val="single" w:sz="8" w:space="0" w:color="auto"/>
            </w:tcBorders>
          </w:tcPr>
          <w:p w14:paraId="3DA4EA80" w14:textId="77777777" w:rsidR="005067E2" w:rsidRPr="00B06574" w:rsidRDefault="005067E2" w:rsidP="005604A2">
            <w:pPr>
              <w:pStyle w:val="Tabletext"/>
              <w:rPr>
                <w:sz w:val="24"/>
              </w:rPr>
            </w:pPr>
            <w:r w:rsidRPr="00B06574">
              <w:rPr>
                <w:sz w:val="24"/>
              </w:rPr>
              <w:t>Limited</w:t>
            </w:r>
          </w:p>
        </w:tc>
      </w:tr>
      <w:tr w:rsidR="005067E2" w:rsidRPr="002B7E1B" w14:paraId="56E6FB6D" w14:textId="77777777" w:rsidTr="005604A2">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FF9630" w14:textId="77777777" w:rsidR="005067E2" w:rsidRPr="00B06574" w:rsidRDefault="005067E2" w:rsidP="00007ED6">
            <w:pPr>
              <w:pStyle w:val="Tabletext"/>
              <w:keepNext/>
              <w:rPr>
                <w:b/>
                <w:bCs w:val="0"/>
                <w:sz w:val="24"/>
              </w:rPr>
            </w:pPr>
            <w:r w:rsidRPr="00B06574">
              <w:rPr>
                <w:b/>
                <w:bCs w:val="0"/>
                <w:sz w:val="24"/>
              </w:rPr>
              <w:t>Risk score</w:t>
            </w:r>
          </w:p>
        </w:tc>
        <w:tc>
          <w:tcPr>
            <w:tcW w:w="2021" w:type="dxa"/>
            <w:tcBorders>
              <w:top w:val="single" w:sz="8" w:space="0" w:color="auto"/>
              <w:left w:val="nil"/>
              <w:bottom w:val="single" w:sz="8" w:space="0" w:color="auto"/>
              <w:right w:val="single" w:sz="8" w:space="0" w:color="auto"/>
            </w:tcBorders>
          </w:tcPr>
          <w:p w14:paraId="5231ADD7" w14:textId="77777777" w:rsidR="005067E2" w:rsidRPr="00B06574" w:rsidRDefault="005067E2" w:rsidP="005604A2">
            <w:pPr>
              <w:pStyle w:val="Tabletext"/>
              <w:rPr>
                <w:sz w:val="24"/>
              </w:rPr>
            </w:pPr>
            <w:r w:rsidRPr="00B06574">
              <w:rPr>
                <w:sz w:val="24"/>
              </w:rPr>
              <w:t>3.84</w:t>
            </w:r>
          </w:p>
        </w:tc>
      </w:tr>
      <w:tr w:rsidR="005067E2" w:rsidRPr="002B7E1B" w14:paraId="4347CF03" w14:textId="77777777" w:rsidTr="005604A2">
        <w:trPr>
          <w:jc w:val="center"/>
        </w:trPr>
        <w:tc>
          <w:tcPr>
            <w:tcW w:w="41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487B22" w14:textId="77777777" w:rsidR="005067E2" w:rsidRPr="00B06574" w:rsidRDefault="005067E2" w:rsidP="005604A2">
            <w:pPr>
              <w:pStyle w:val="Tabletext"/>
              <w:rPr>
                <w:b/>
                <w:bCs w:val="0"/>
                <w:sz w:val="24"/>
              </w:rPr>
            </w:pPr>
            <w:r w:rsidRPr="00B06574">
              <w:rPr>
                <w:b/>
                <w:bCs w:val="0"/>
                <w:sz w:val="24"/>
              </w:rPr>
              <w:t>Overall assessment</w:t>
            </w:r>
          </w:p>
        </w:tc>
        <w:tc>
          <w:tcPr>
            <w:tcW w:w="2021" w:type="dxa"/>
            <w:tcBorders>
              <w:top w:val="single" w:sz="8" w:space="0" w:color="auto"/>
              <w:left w:val="nil"/>
              <w:bottom w:val="single" w:sz="8" w:space="0" w:color="auto"/>
              <w:right w:val="single" w:sz="8" w:space="0" w:color="auto"/>
            </w:tcBorders>
            <w:shd w:val="clear" w:color="auto" w:fill="92D050"/>
          </w:tcPr>
          <w:p w14:paraId="55A8AED4" w14:textId="77777777" w:rsidR="005067E2" w:rsidRPr="00B06574" w:rsidRDefault="005067E2" w:rsidP="005604A2">
            <w:pPr>
              <w:pStyle w:val="Tabletext"/>
              <w:rPr>
                <w:sz w:val="24"/>
              </w:rPr>
            </w:pPr>
            <w:r w:rsidRPr="00B06574">
              <w:rPr>
                <w:sz w:val="24"/>
              </w:rPr>
              <w:t>Low</w:t>
            </w:r>
          </w:p>
        </w:tc>
      </w:tr>
    </w:tbl>
    <w:p w14:paraId="34DD7152" w14:textId="77777777" w:rsidR="005067E2" w:rsidRPr="0085725E" w:rsidRDefault="005067E2" w:rsidP="005067E2">
      <w:pPr>
        <w:pStyle w:val="NoSpacing"/>
        <w:rPr>
          <w:highlight w:val="yellow"/>
        </w:rPr>
      </w:pPr>
    </w:p>
    <w:p w14:paraId="2E51185A" w14:textId="77777777" w:rsidR="005067E2" w:rsidRPr="00B12D01" w:rsidRDefault="005067E2" w:rsidP="005067E2">
      <w:pPr>
        <w:pStyle w:val="Heading1"/>
      </w:pPr>
      <w:bookmarkStart w:id="106" w:name="_Toc208329984"/>
      <w:r w:rsidRPr="00B12D01">
        <w:t>Resource to risk</w:t>
      </w:r>
      <w:bookmarkEnd w:id="106"/>
    </w:p>
    <w:p w14:paraId="78200C0F" w14:textId="33B2028B" w:rsidR="005067E2" w:rsidRPr="00B12D01" w:rsidRDefault="00721973" w:rsidP="005067E2">
      <w:r w:rsidRPr="00B12D01">
        <w:rPr>
          <w:lang w:eastAsia="en-GB"/>
        </w:rPr>
        <w:t>Lancashire Fire and Rescue Service</w:t>
      </w:r>
      <w:r w:rsidRPr="00B12D01">
        <w:t xml:space="preserve"> aims </w:t>
      </w:r>
      <w:r w:rsidR="005067E2" w:rsidRPr="00B12D01">
        <w:t>to allocate resources to risk, providing the most effective and efficient service and value for money to the people of Lancashire.  Our offering is based around prevention, protection and response arrangements which are all tailored to current and emerging risks and applied proportionately to maintain risk at levels that are as low as reasonably practicable.</w:t>
      </w:r>
    </w:p>
    <w:p w14:paraId="007B93B7" w14:textId="77777777" w:rsidR="005067E2" w:rsidRPr="00B12D01" w:rsidRDefault="005067E2" w:rsidP="005067E2">
      <w:r w:rsidRPr="00B12D01">
        <w:t>We aim to primarily prevent fires and other emergencies from happening.  We allocate resources through our prevention and protection teams, supported by operational crews and partner agencies to educate inform and advise our diverse communities.</w:t>
      </w:r>
    </w:p>
    <w:p w14:paraId="1FDE7520" w14:textId="1AB87A35" w:rsidR="005067E2" w:rsidRPr="00B12D01" w:rsidRDefault="005067E2" w:rsidP="005067E2">
      <w:r w:rsidRPr="00B12D01">
        <w:t xml:space="preserve">When incidents occur, we operate a range of operational crewing systems both wholetime and on-call.  This allows us to allocate resources effectively based on the risk associated with geographical areas within Lancashire.  To maintain a highly trained operational provision we are supported by our </w:t>
      </w:r>
      <w:r w:rsidR="005130F9">
        <w:t>learning and development</w:t>
      </w:r>
      <w:r w:rsidRPr="00B12D01">
        <w:t xml:space="preserve"> centre, which incorporates specialist training facilities and highly skilled and accredited instructors.</w:t>
      </w:r>
    </w:p>
    <w:p w14:paraId="149C9BB3" w14:textId="77777777" w:rsidR="007C791F" w:rsidRDefault="005067E2" w:rsidP="005067E2">
      <w:r w:rsidRPr="0037598D">
        <w:t>The heat map below shows the location of our fire stations mapped against overall incident activity levels.  The areas of lowest demand are represented by the light green shading and moves through darker green, to amber to red to display the areas of our highest demand.  Many of our stations are in areas of high activity, but we also have stations where incident levels are comparatively lower, but the impact of fires and other emergencies could be significant.</w:t>
      </w:r>
    </w:p>
    <w:p w14:paraId="34401575" w14:textId="18A34C08" w:rsidR="005067E2" w:rsidRPr="00D0558B" w:rsidRDefault="00407B7C" w:rsidP="00007ED6">
      <w:pPr>
        <w:jc w:val="center"/>
        <w:rPr>
          <w:highlight w:val="yellow"/>
        </w:rPr>
      </w:pPr>
      <w:r>
        <w:rPr>
          <w:noProof/>
        </w:rPr>
        <w:lastRenderedPageBreak/>
        <w:drawing>
          <wp:inline distT="0" distB="0" distL="0" distR="0" wp14:anchorId="4BA894E4" wp14:editId="53505258">
            <wp:extent cx="4575206" cy="5457825"/>
            <wp:effectExtent l="19050" t="19050" r="15875" b="9525"/>
            <wp:docPr id="34315688" name="Picture 2" descr="Heat map showing centres of high incident activity (Preston, Blackpool and Fylde coast, Blackburn, Accrington, Lancaster and Morecambe, and Burnley) across Lancashire and location of Fire S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88" name="Picture 2" descr="Heat map showing centres of high incident activity (Preston, Blackpool and Fylde coast, Blackburn, Accrington, Lancaster and Morecambe, and Burnley) across Lancashire and location of Fire Stations."/>
                    <pic:cNvPicPr/>
                  </pic:nvPicPr>
                  <pic:blipFill rotWithShape="1">
                    <a:blip r:embed="rId23">
                      <a:extLst>
                        <a:ext uri="{28A0092B-C50C-407E-A947-70E740481C1C}">
                          <a14:useLocalDpi xmlns:a14="http://schemas.microsoft.com/office/drawing/2010/main" val="0"/>
                        </a:ext>
                      </a:extLst>
                    </a:blip>
                    <a:srcRect l="10158" t="4001" r="11656" b="2729"/>
                    <a:stretch>
                      <a:fillRect/>
                    </a:stretch>
                  </pic:blipFill>
                  <pic:spPr bwMode="auto">
                    <a:xfrm>
                      <a:off x="0" y="0"/>
                      <a:ext cx="4575206" cy="5457825"/>
                    </a:xfrm>
                    <a:prstGeom prst="rect">
                      <a:avLst/>
                    </a:prstGeom>
                    <a:ln>
                      <a:solidFill>
                        <a:schemeClr val="tx1">
                          <a:lumMod val="65000"/>
                          <a:lumOff val="35000"/>
                        </a:schemeClr>
                      </a:solidFill>
                    </a:ln>
                    <a:extLst>
                      <a:ext uri="{53640926-AAD7-44D8-BBD7-CCE9431645EC}">
                        <a14:shadowObscured xmlns:a14="http://schemas.microsoft.com/office/drawing/2010/main"/>
                      </a:ext>
                    </a:extLst>
                  </pic:spPr>
                </pic:pic>
              </a:graphicData>
            </a:graphic>
          </wp:inline>
        </w:drawing>
      </w:r>
    </w:p>
    <w:p w14:paraId="11910873" w14:textId="3D45DAC8" w:rsidR="000E5042" w:rsidRPr="0085725E" w:rsidRDefault="000E5042" w:rsidP="00007ED6">
      <w:pPr>
        <w:pStyle w:val="NoSpacing"/>
        <w:rPr>
          <w:highlight w:val="yellow"/>
        </w:rPr>
      </w:pPr>
    </w:p>
    <w:p w14:paraId="1983FDC3" w14:textId="5C80959C" w:rsidR="005067E2" w:rsidRPr="00D0558B" w:rsidRDefault="005067E2" w:rsidP="005067E2">
      <w:pPr>
        <w:rPr>
          <w:rFonts w:cs="Arial"/>
          <w:color w:val="000000" w:themeColor="text1"/>
          <w:szCs w:val="24"/>
        </w:rPr>
      </w:pPr>
      <w:r w:rsidRPr="00D0558B">
        <w:rPr>
          <w:rFonts w:cs="Arial"/>
          <w:color w:val="000000" w:themeColor="text1"/>
          <w:szCs w:val="24"/>
        </w:rPr>
        <w:t>Figure 3: Heat map showing centres of high incident activity (</w:t>
      </w:r>
      <w:r w:rsidR="006072C3" w:rsidRPr="0085725E">
        <w:rPr>
          <w:rFonts w:cs="Arial"/>
          <w:color w:val="000000" w:themeColor="text1"/>
          <w:szCs w:val="24"/>
        </w:rPr>
        <w:t>Preston, Blackpool</w:t>
      </w:r>
      <w:r w:rsidR="00D11038" w:rsidRPr="0085725E">
        <w:rPr>
          <w:rFonts w:cs="Arial"/>
          <w:color w:val="000000" w:themeColor="text1"/>
          <w:szCs w:val="24"/>
        </w:rPr>
        <w:t xml:space="preserve"> and Fylde coast</w:t>
      </w:r>
      <w:r w:rsidR="006072C3" w:rsidRPr="0085725E">
        <w:rPr>
          <w:rFonts w:cs="Arial"/>
          <w:color w:val="000000" w:themeColor="text1"/>
          <w:szCs w:val="24"/>
        </w:rPr>
        <w:t xml:space="preserve">, Blackburn, </w:t>
      </w:r>
      <w:r w:rsidR="00D11038" w:rsidRPr="0085725E">
        <w:rPr>
          <w:rFonts w:cs="Arial"/>
          <w:color w:val="000000" w:themeColor="text1"/>
          <w:szCs w:val="24"/>
        </w:rPr>
        <w:t xml:space="preserve">Accrington, </w:t>
      </w:r>
      <w:r w:rsidR="006072C3" w:rsidRPr="0085725E">
        <w:rPr>
          <w:rFonts w:cs="Arial"/>
          <w:color w:val="000000" w:themeColor="text1"/>
          <w:szCs w:val="24"/>
        </w:rPr>
        <w:t xml:space="preserve">Lancaster and Morecambe, and </w:t>
      </w:r>
      <w:r w:rsidR="00D11038" w:rsidRPr="0085725E">
        <w:rPr>
          <w:rFonts w:cs="Arial"/>
          <w:color w:val="000000" w:themeColor="text1"/>
          <w:szCs w:val="24"/>
        </w:rPr>
        <w:t>Burnley</w:t>
      </w:r>
      <w:r w:rsidRPr="00D0558B">
        <w:rPr>
          <w:rFonts w:cs="Arial"/>
          <w:color w:val="000000" w:themeColor="text1"/>
          <w:szCs w:val="24"/>
        </w:rPr>
        <w:t>) across Lancashire and location of Fire Stations.</w:t>
      </w:r>
    </w:p>
    <w:p w14:paraId="741D541C" w14:textId="77777777" w:rsidR="005067E2" w:rsidRPr="00B12D01" w:rsidRDefault="005067E2" w:rsidP="005067E2">
      <w:pPr>
        <w:pStyle w:val="Heading2"/>
        <w:rPr>
          <w:b w:val="0"/>
        </w:rPr>
      </w:pPr>
      <w:bookmarkStart w:id="107" w:name="_Toc208329985"/>
      <w:r w:rsidRPr="00B12D01">
        <w:t>District profiles</w:t>
      </w:r>
      <w:bookmarkEnd w:id="107"/>
    </w:p>
    <w:p w14:paraId="2430B554" w14:textId="77777777" w:rsidR="005067E2" w:rsidRPr="00B12D01" w:rsidRDefault="005067E2" w:rsidP="005067E2">
      <w:r w:rsidRPr="00B12D01">
        <w:t>Lancashire is divided into 6 Areas.  Within these areas are the Lancashire-14 districts:</w:t>
      </w:r>
    </w:p>
    <w:p w14:paraId="7BA9146E" w14:textId="544C5CF1" w:rsidR="005067E2" w:rsidRPr="00B12D01" w:rsidRDefault="005067E2" w:rsidP="005067E2">
      <w:pPr>
        <w:pStyle w:val="ListParagraph"/>
        <w:numPr>
          <w:ilvl w:val="0"/>
          <w:numId w:val="21"/>
        </w:numPr>
      </w:pPr>
      <w:r w:rsidRPr="00B12D01">
        <w:t>Northern –Lancaster</w:t>
      </w:r>
    </w:p>
    <w:p w14:paraId="2081B3A7" w14:textId="77777777" w:rsidR="005067E2" w:rsidRPr="00B12D01" w:rsidRDefault="005067E2" w:rsidP="005067E2">
      <w:pPr>
        <w:pStyle w:val="ListParagraph"/>
        <w:numPr>
          <w:ilvl w:val="0"/>
          <w:numId w:val="21"/>
        </w:numPr>
      </w:pPr>
      <w:r w:rsidRPr="00B12D01">
        <w:t>Southern – Chorley, South Ribble and West Lancashire</w:t>
      </w:r>
    </w:p>
    <w:p w14:paraId="2AD5D287" w14:textId="77777777" w:rsidR="005067E2" w:rsidRPr="00B12D01" w:rsidRDefault="005067E2" w:rsidP="005067E2">
      <w:pPr>
        <w:pStyle w:val="ListParagraph"/>
        <w:numPr>
          <w:ilvl w:val="0"/>
          <w:numId w:val="21"/>
        </w:numPr>
      </w:pPr>
      <w:r w:rsidRPr="00B12D01">
        <w:t>Eastern – Blackburn with Darwen, Hyndburn and Ribble Valley</w:t>
      </w:r>
    </w:p>
    <w:p w14:paraId="67FA5C1C" w14:textId="6F194EBD" w:rsidR="005067E2" w:rsidRPr="00B12D01" w:rsidRDefault="005067E2" w:rsidP="005067E2">
      <w:pPr>
        <w:pStyle w:val="ListParagraph"/>
        <w:numPr>
          <w:ilvl w:val="0"/>
          <w:numId w:val="21"/>
        </w:numPr>
      </w:pPr>
      <w:r w:rsidRPr="00B12D01">
        <w:t xml:space="preserve">Western – </w:t>
      </w:r>
      <w:r w:rsidR="00BD665A" w:rsidRPr="00B12D01">
        <w:t xml:space="preserve">Wyre, </w:t>
      </w:r>
      <w:r w:rsidRPr="00B12D01">
        <w:t>Fylde and Blackpool</w:t>
      </w:r>
    </w:p>
    <w:p w14:paraId="0AAC7A90" w14:textId="77777777" w:rsidR="005067E2" w:rsidRPr="00B12D01" w:rsidRDefault="005067E2" w:rsidP="005067E2">
      <w:pPr>
        <w:pStyle w:val="ListParagraph"/>
        <w:numPr>
          <w:ilvl w:val="0"/>
          <w:numId w:val="21"/>
        </w:numPr>
      </w:pPr>
      <w:r w:rsidRPr="00B12D01">
        <w:lastRenderedPageBreak/>
        <w:t>Pennine – Pendle, Burnley and Rossendale</w:t>
      </w:r>
    </w:p>
    <w:p w14:paraId="15E6985E" w14:textId="77777777" w:rsidR="005067E2" w:rsidRPr="00B12D01" w:rsidRDefault="005067E2" w:rsidP="005067E2">
      <w:pPr>
        <w:pStyle w:val="ListParagraph"/>
        <w:numPr>
          <w:ilvl w:val="0"/>
          <w:numId w:val="21"/>
        </w:numPr>
      </w:pPr>
      <w:r w:rsidRPr="00B12D01">
        <w:t>Central - Preston</w:t>
      </w:r>
    </w:p>
    <w:p w14:paraId="4A700E83" w14:textId="77777777" w:rsidR="005067E2" w:rsidRPr="00B12D01" w:rsidRDefault="005067E2" w:rsidP="005067E2">
      <w:r w:rsidRPr="00B12D01">
        <w:t>Each district faces its own unique risks and to effectively assess the risk, district plans are developed based on local intelligence and supported by a district intelligence profile that is produced annually.</w:t>
      </w:r>
    </w:p>
    <w:p w14:paraId="47E9928D" w14:textId="77777777" w:rsidR="005067E2" w:rsidRPr="00B12D01" w:rsidRDefault="005067E2" w:rsidP="005067E2">
      <w:r w:rsidRPr="00B12D01">
        <w:t>The purpose of the profiles is to highlight activity and risk across each district both in terms of incident, geographical and people risk.  This evidence-based document is designed to support the district plans by highlighting the most significant issues, the highest risk groups to target and the most significant areas to target.</w:t>
      </w:r>
    </w:p>
    <w:p w14:paraId="66A818B1" w14:textId="77777777" w:rsidR="005067E2" w:rsidRPr="00B12D01" w:rsidRDefault="005067E2" w:rsidP="005067E2">
      <w:r w:rsidRPr="00B12D01">
        <w:t>Using previous incident activity, prevention and protection data, known demographic data and Mosaic estimate lifestyle data this report aims to inform who and where are those most vulnerable from fire, the location of risk and the resource demand against availability (applicable to on-call stations only).</w:t>
      </w:r>
    </w:p>
    <w:p w14:paraId="59C8269A" w14:textId="4D74F932" w:rsidR="005067E2" w:rsidRPr="00B12D01" w:rsidRDefault="005067E2" w:rsidP="005067E2">
      <w:r w:rsidRPr="00B12D01">
        <w:t xml:space="preserve">Incident data is based upon an average over the preceding three years.  </w:t>
      </w:r>
    </w:p>
    <w:p w14:paraId="6E7DB5CA" w14:textId="4B43210A" w:rsidR="007B70C0" w:rsidRDefault="005067E2" w:rsidP="005067E2">
      <w:r w:rsidRPr="00B12D01">
        <w:t>Additional lifestyle data analysis is based on the Mosaic data, supplied by Experian Ltd.</w:t>
      </w:r>
    </w:p>
    <w:p w14:paraId="69574B15" w14:textId="77777777" w:rsidR="007B70C0" w:rsidRDefault="007B70C0">
      <w:pPr>
        <w:spacing w:before="0" w:after="160" w:line="259" w:lineRule="auto"/>
      </w:pPr>
      <w:r>
        <w:br w:type="page"/>
      </w:r>
    </w:p>
    <w:p w14:paraId="093E2540" w14:textId="77777777" w:rsidR="007B70C0" w:rsidRPr="00745C17" w:rsidRDefault="007B70C0" w:rsidP="007B70C0">
      <w:pPr>
        <w:pStyle w:val="Heading2"/>
      </w:pPr>
      <w:bookmarkStart w:id="108" w:name="_Toc155619836"/>
      <w:bookmarkStart w:id="109" w:name="_Toc155685681"/>
      <w:bookmarkStart w:id="110" w:name="_Toc176792108"/>
      <w:bookmarkStart w:id="111" w:name="_Toc208329986"/>
      <w:r>
        <w:rPr>
          <w:rFonts w:eastAsia="Arial" w:cs="Arial"/>
          <w:bCs/>
          <w:sz w:val="24"/>
          <w:szCs w:val="24"/>
        </w:rPr>
        <w:lastRenderedPageBreak/>
        <w:t>G</w:t>
      </w:r>
      <w:r w:rsidRPr="00745C17">
        <w:rPr>
          <w:rFonts w:eastAsia="Arial" w:cs="Arial"/>
          <w:bCs/>
          <w:sz w:val="24"/>
          <w:szCs w:val="24"/>
        </w:rPr>
        <w:t>lossary</w:t>
      </w:r>
      <w:r w:rsidRPr="00745C17">
        <w:rPr>
          <w:rStyle w:val="Heading2Char"/>
        </w:rPr>
        <w:t xml:space="preserve"> </w:t>
      </w:r>
      <w:r w:rsidRPr="00745C17">
        <w:t>of Abbreviations</w:t>
      </w:r>
      <w:bookmarkEnd w:id="108"/>
      <w:bookmarkEnd w:id="109"/>
      <w:bookmarkEnd w:id="110"/>
      <w:bookmarkEnd w:id="111"/>
    </w:p>
    <w:tbl>
      <w:tblPr>
        <w:tblStyle w:val="TableGrid"/>
        <w:tblW w:w="9776" w:type="dxa"/>
        <w:tblLayout w:type="fixed"/>
        <w:tblLook w:val="04A0" w:firstRow="1" w:lastRow="0" w:firstColumn="1" w:lastColumn="0" w:noHBand="0" w:noVBand="1"/>
        <w:tblCaption w:val="Glossary of abbreviations"/>
        <w:tblDescription w:val="Glossary of acronyms and abbreviations used by Lancashire Fire and Rescue Service within this document"/>
      </w:tblPr>
      <w:tblGrid>
        <w:gridCol w:w="1860"/>
        <w:gridCol w:w="7916"/>
      </w:tblGrid>
      <w:tr w:rsidR="007B70C0" w:rsidRPr="00745C17" w14:paraId="1ED6CD41" w14:textId="77777777" w:rsidTr="008E6DA7">
        <w:trPr>
          <w:tblHeader/>
        </w:trPr>
        <w:tc>
          <w:tcPr>
            <w:tcW w:w="1860" w:type="dxa"/>
            <w:shd w:val="clear" w:color="auto" w:fill="D9D9D9" w:themeFill="background1" w:themeFillShade="D9"/>
          </w:tcPr>
          <w:p w14:paraId="3027B296" w14:textId="77777777" w:rsidR="007B70C0" w:rsidRPr="00D35A8D" w:rsidRDefault="007B70C0" w:rsidP="008E6DA7">
            <w:pPr>
              <w:pStyle w:val="Tabletext"/>
              <w:rPr>
                <w:b/>
                <w:bCs w:val="0"/>
                <w:sz w:val="24"/>
              </w:rPr>
            </w:pPr>
            <w:r>
              <w:rPr>
                <w:b/>
                <w:bCs w:val="0"/>
                <w:sz w:val="24"/>
              </w:rPr>
              <w:t>Acronym</w:t>
            </w:r>
          </w:p>
        </w:tc>
        <w:tc>
          <w:tcPr>
            <w:tcW w:w="7916" w:type="dxa"/>
            <w:shd w:val="clear" w:color="auto" w:fill="D9D9D9" w:themeFill="background1" w:themeFillShade="D9"/>
          </w:tcPr>
          <w:p w14:paraId="7DFAF004" w14:textId="77777777" w:rsidR="007B70C0" w:rsidRPr="00D35A8D" w:rsidRDefault="007B70C0" w:rsidP="008E6DA7">
            <w:pPr>
              <w:pStyle w:val="Tabletext"/>
              <w:rPr>
                <w:b/>
                <w:bCs w:val="0"/>
                <w:sz w:val="24"/>
              </w:rPr>
            </w:pPr>
            <w:r>
              <w:rPr>
                <w:b/>
                <w:bCs w:val="0"/>
                <w:sz w:val="24"/>
              </w:rPr>
              <w:t>Description</w:t>
            </w:r>
          </w:p>
        </w:tc>
      </w:tr>
      <w:tr w:rsidR="007B70C0" w:rsidRPr="00745C17" w14:paraId="5FF7DF81" w14:textId="77777777" w:rsidTr="008E6DA7">
        <w:tc>
          <w:tcPr>
            <w:tcW w:w="1860" w:type="dxa"/>
          </w:tcPr>
          <w:p w14:paraId="318CFD92" w14:textId="77777777" w:rsidR="007B70C0" w:rsidRPr="00D35A8D" w:rsidRDefault="007B70C0" w:rsidP="008E6DA7">
            <w:pPr>
              <w:pStyle w:val="Tabletext"/>
              <w:rPr>
                <w:b/>
                <w:bCs w:val="0"/>
                <w:sz w:val="24"/>
              </w:rPr>
            </w:pPr>
            <w:r w:rsidRPr="00D35A8D">
              <w:rPr>
                <w:b/>
                <w:bCs w:val="0"/>
                <w:sz w:val="24"/>
              </w:rPr>
              <w:t xml:space="preserve">ADF </w:t>
            </w:r>
          </w:p>
        </w:tc>
        <w:tc>
          <w:tcPr>
            <w:tcW w:w="7916" w:type="dxa"/>
          </w:tcPr>
          <w:p w14:paraId="08E8A468" w14:textId="77777777" w:rsidR="007B70C0" w:rsidRPr="00D35A8D" w:rsidRDefault="007B70C0" w:rsidP="008E6DA7">
            <w:pPr>
              <w:pStyle w:val="Tabletext"/>
              <w:rPr>
                <w:b/>
                <w:bCs w:val="0"/>
                <w:sz w:val="24"/>
              </w:rPr>
            </w:pPr>
            <w:r w:rsidRPr="00D35A8D">
              <w:rPr>
                <w:b/>
                <w:bCs w:val="0"/>
                <w:sz w:val="24"/>
              </w:rPr>
              <w:t xml:space="preserve">Accidental Dwelling Fire </w:t>
            </w:r>
          </w:p>
        </w:tc>
      </w:tr>
      <w:tr w:rsidR="007B70C0" w:rsidRPr="00745C17" w14:paraId="333783F9" w14:textId="77777777" w:rsidTr="008E6DA7">
        <w:tc>
          <w:tcPr>
            <w:tcW w:w="1860" w:type="dxa"/>
          </w:tcPr>
          <w:p w14:paraId="43463AC5" w14:textId="77777777" w:rsidR="007B70C0" w:rsidRPr="00D35A8D" w:rsidRDefault="007B70C0" w:rsidP="008E6DA7">
            <w:pPr>
              <w:pStyle w:val="Tabletext"/>
              <w:rPr>
                <w:b/>
                <w:bCs w:val="0"/>
                <w:sz w:val="24"/>
              </w:rPr>
            </w:pPr>
            <w:r w:rsidRPr="00D35A8D">
              <w:rPr>
                <w:b/>
                <w:bCs w:val="0"/>
                <w:sz w:val="24"/>
              </w:rPr>
              <w:t xml:space="preserve">BME </w:t>
            </w:r>
          </w:p>
        </w:tc>
        <w:tc>
          <w:tcPr>
            <w:tcW w:w="7916" w:type="dxa"/>
          </w:tcPr>
          <w:p w14:paraId="78496869" w14:textId="77777777" w:rsidR="007B70C0" w:rsidRPr="00D35A8D" w:rsidRDefault="007B70C0" w:rsidP="008E6DA7">
            <w:pPr>
              <w:pStyle w:val="Tabletext"/>
              <w:rPr>
                <w:b/>
                <w:bCs w:val="0"/>
                <w:sz w:val="24"/>
              </w:rPr>
            </w:pPr>
            <w:r w:rsidRPr="00D35A8D">
              <w:rPr>
                <w:b/>
                <w:bCs w:val="0"/>
                <w:sz w:val="24"/>
              </w:rPr>
              <w:t xml:space="preserve">Black or Minority Ethnic groups </w:t>
            </w:r>
          </w:p>
        </w:tc>
      </w:tr>
      <w:tr w:rsidR="007B70C0" w:rsidRPr="00745C17" w14:paraId="43129C42" w14:textId="77777777" w:rsidTr="008E6DA7">
        <w:tc>
          <w:tcPr>
            <w:tcW w:w="1860" w:type="dxa"/>
          </w:tcPr>
          <w:p w14:paraId="73CEBCCC" w14:textId="77777777" w:rsidR="007B70C0" w:rsidRPr="00D35A8D" w:rsidRDefault="007B70C0" w:rsidP="008E6DA7">
            <w:pPr>
              <w:pStyle w:val="Tabletext"/>
              <w:rPr>
                <w:b/>
                <w:bCs w:val="0"/>
                <w:sz w:val="24"/>
              </w:rPr>
            </w:pPr>
            <w:r w:rsidRPr="00D35A8D">
              <w:rPr>
                <w:b/>
                <w:bCs w:val="0"/>
                <w:sz w:val="24"/>
              </w:rPr>
              <w:t xml:space="preserve">CBRNE </w:t>
            </w:r>
          </w:p>
        </w:tc>
        <w:tc>
          <w:tcPr>
            <w:tcW w:w="7916" w:type="dxa"/>
          </w:tcPr>
          <w:p w14:paraId="5D2DDA0A" w14:textId="77777777" w:rsidR="007B70C0" w:rsidRPr="00D35A8D" w:rsidRDefault="007B70C0" w:rsidP="008E6DA7">
            <w:pPr>
              <w:pStyle w:val="Tabletext"/>
              <w:rPr>
                <w:b/>
                <w:bCs w:val="0"/>
                <w:sz w:val="24"/>
              </w:rPr>
            </w:pPr>
            <w:r w:rsidRPr="00D35A8D">
              <w:rPr>
                <w:b/>
                <w:bCs w:val="0"/>
                <w:sz w:val="24"/>
              </w:rPr>
              <w:t xml:space="preserve">Chemical, Biological, Radiological, Nuclear and Explosives </w:t>
            </w:r>
          </w:p>
        </w:tc>
      </w:tr>
      <w:tr w:rsidR="007B70C0" w:rsidRPr="00745C17" w14:paraId="2601AA63" w14:textId="77777777" w:rsidTr="008E6DA7">
        <w:tc>
          <w:tcPr>
            <w:tcW w:w="1860" w:type="dxa"/>
          </w:tcPr>
          <w:p w14:paraId="3C0155A9" w14:textId="77777777" w:rsidR="007B70C0" w:rsidRPr="00D35A8D" w:rsidRDefault="007B70C0" w:rsidP="008E6DA7">
            <w:pPr>
              <w:pStyle w:val="Tabletext"/>
              <w:rPr>
                <w:b/>
                <w:bCs w:val="0"/>
                <w:sz w:val="24"/>
              </w:rPr>
            </w:pPr>
            <w:r w:rsidRPr="00D35A8D">
              <w:rPr>
                <w:b/>
                <w:bCs w:val="0"/>
                <w:sz w:val="24"/>
              </w:rPr>
              <w:t xml:space="preserve">CFA </w:t>
            </w:r>
          </w:p>
        </w:tc>
        <w:tc>
          <w:tcPr>
            <w:tcW w:w="7916" w:type="dxa"/>
          </w:tcPr>
          <w:p w14:paraId="1A400B64" w14:textId="77777777" w:rsidR="007B70C0" w:rsidRPr="00D35A8D" w:rsidRDefault="007B70C0" w:rsidP="008E6DA7">
            <w:pPr>
              <w:pStyle w:val="Tabletext"/>
              <w:rPr>
                <w:b/>
                <w:bCs w:val="0"/>
                <w:sz w:val="24"/>
              </w:rPr>
            </w:pPr>
            <w:r w:rsidRPr="00D35A8D">
              <w:rPr>
                <w:b/>
                <w:bCs w:val="0"/>
                <w:sz w:val="24"/>
              </w:rPr>
              <w:t xml:space="preserve">Combined Fire Authority </w:t>
            </w:r>
          </w:p>
        </w:tc>
      </w:tr>
      <w:tr w:rsidR="007B70C0" w:rsidRPr="00745C17" w14:paraId="5DFA19A9" w14:textId="77777777" w:rsidTr="008E6DA7">
        <w:tc>
          <w:tcPr>
            <w:tcW w:w="1860" w:type="dxa"/>
          </w:tcPr>
          <w:p w14:paraId="28F24E24" w14:textId="77777777" w:rsidR="007B70C0" w:rsidRPr="00D35A8D" w:rsidRDefault="007B70C0" w:rsidP="008E6DA7">
            <w:pPr>
              <w:pStyle w:val="Tabletext"/>
              <w:rPr>
                <w:b/>
                <w:bCs w:val="0"/>
                <w:sz w:val="24"/>
              </w:rPr>
            </w:pPr>
            <w:r w:rsidRPr="00D35A8D">
              <w:rPr>
                <w:b/>
                <w:bCs w:val="0"/>
                <w:sz w:val="24"/>
              </w:rPr>
              <w:t xml:space="preserve">CFRMIS </w:t>
            </w:r>
          </w:p>
        </w:tc>
        <w:tc>
          <w:tcPr>
            <w:tcW w:w="7916" w:type="dxa"/>
          </w:tcPr>
          <w:p w14:paraId="72AC7B10" w14:textId="77777777" w:rsidR="007B70C0" w:rsidRPr="00D35A8D" w:rsidRDefault="007B70C0" w:rsidP="008E6DA7">
            <w:pPr>
              <w:pStyle w:val="Tabletext"/>
              <w:rPr>
                <w:b/>
                <w:bCs w:val="0"/>
                <w:sz w:val="24"/>
              </w:rPr>
            </w:pPr>
            <w:r w:rsidRPr="00D35A8D">
              <w:rPr>
                <w:b/>
                <w:bCs w:val="0"/>
                <w:sz w:val="24"/>
              </w:rPr>
              <w:t xml:space="preserve">Community Fire Risk Management Information System </w:t>
            </w:r>
          </w:p>
        </w:tc>
      </w:tr>
      <w:tr w:rsidR="007B70C0" w:rsidRPr="00745C17" w14:paraId="49889B24" w14:textId="77777777" w:rsidTr="008E6DA7">
        <w:tc>
          <w:tcPr>
            <w:tcW w:w="1860" w:type="dxa"/>
          </w:tcPr>
          <w:p w14:paraId="5EB7442E" w14:textId="77777777" w:rsidR="007B70C0" w:rsidRPr="00D35A8D" w:rsidRDefault="007B70C0" w:rsidP="008E6DA7">
            <w:pPr>
              <w:pStyle w:val="Tabletext"/>
              <w:rPr>
                <w:b/>
                <w:bCs w:val="0"/>
                <w:sz w:val="24"/>
              </w:rPr>
            </w:pPr>
            <w:r w:rsidRPr="00D35A8D">
              <w:rPr>
                <w:b/>
                <w:bCs w:val="0"/>
                <w:sz w:val="24"/>
              </w:rPr>
              <w:t xml:space="preserve">COMAH </w:t>
            </w:r>
          </w:p>
        </w:tc>
        <w:tc>
          <w:tcPr>
            <w:tcW w:w="7916" w:type="dxa"/>
          </w:tcPr>
          <w:p w14:paraId="37BF861B" w14:textId="77777777" w:rsidR="007B70C0" w:rsidRPr="00D35A8D" w:rsidRDefault="007B70C0" w:rsidP="008E6DA7">
            <w:pPr>
              <w:pStyle w:val="Tabletext"/>
              <w:rPr>
                <w:b/>
                <w:bCs w:val="0"/>
                <w:sz w:val="24"/>
              </w:rPr>
            </w:pPr>
            <w:r w:rsidRPr="00D35A8D">
              <w:rPr>
                <w:b/>
                <w:bCs w:val="0"/>
                <w:sz w:val="24"/>
              </w:rPr>
              <w:t xml:space="preserve">Control of Major Accident Hazards </w:t>
            </w:r>
          </w:p>
        </w:tc>
      </w:tr>
      <w:tr w:rsidR="007B70C0" w:rsidRPr="00745C17" w14:paraId="3CD3221F" w14:textId="77777777" w:rsidTr="008E6DA7">
        <w:tc>
          <w:tcPr>
            <w:tcW w:w="1860" w:type="dxa"/>
          </w:tcPr>
          <w:p w14:paraId="18B48C0C" w14:textId="77777777" w:rsidR="007B70C0" w:rsidRPr="00D35A8D" w:rsidRDefault="007B70C0" w:rsidP="008E6DA7">
            <w:pPr>
              <w:pStyle w:val="Tabletext"/>
              <w:rPr>
                <w:b/>
                <w:bCs w:val="0"/>
                <w:sz w:val="24"/>
              </w:rPr>
            </w:pPr>
            <w:r w:rsidRPr="00D35A8D">
              <w:rPr>
                <w:b/>
                <w:bCs w:val="0"/>
                <w:sz w:val="24"/>
              </w:rPr>
              <w:t xml:space="preserve">CRMP </w:t>
            </w:r>
          </w:p>
        </w:tc>
        <w:tc>
          <w:tcPr>
            <w:tcW w:w="7916" w:type="dxa"/>
          </w:tcPr>
          <w:p w14:paraId="616D6546" w14:textId="77777777" w:rsidR="007B70C0" w:rsidRPr="00D35A8D" w:rsidRDefault="007B70C0" w:rsidP="008E6DA7">
            <w:pPr>
              <w:pStyle w:val="Tabletext"/>
              <w:rPr>
                <w:b/>
                <w:bCs w:val="0"/>
                <w:sz w:val="24"/>
              </w:rPr>
            </w:pPr>
            <w:r w:rsidRPr="00D35A8D">
              <w:rPr>
                <w:b/>
                <w:bCs w:val="0"/>
                <w:sz w:val="24"/>
              </w:rPr>
              <w:t xml:space="preserve">Community Risk Management Plan </w:t>
            </w:r>
          </w:p>
        </w:tc>
      </w:tr>
      <w:tr w:rsidR="007B70C0" w:rsidRPr="00745C17" w14:paraId="637962E6" w14:textId="77777777" w:rsidTr="008E6DA7">
        <w:tc>
          <w:tcPr>
            <w:tcW w:w="1860" w:type="dxa"/>
          </w:tcPr>
          <w:p w14:paraId="0AD0C420" w14:textId="77777777" w:rsidR="007B70C0" w:rsidRPr="00D35A8D" w:rsidRDefault="007B70C0" w:rsidP="008E6DA7">
            <w:pPr>
              <w:pStyle w:val="Tabletext"/>
              <w:rPr>
                <w:b/>
                <w:bCs w:val="0"/>
                <w:sz w:val="24"/>
              </w:rPr>
            </w:pPr>
            <w:r w:rsidRPr="00D35A8D">
              <w:rPr>
                <w:b/>
                <w:bCs w:val="0"/>
                <w:sz w:val="24"/>
              </w:rPr>
              <w:t xml:space="preserve">CRR </w:t>
            </w:r>
          </w:p>
        </w:tc>
        <w:tc>
          <w:tcPr>
            <w:tcW w:w="7916" w:type="dxa"/>
          </w:tcPr>
          <w:p w14:paraId="0600B055" w14:textId="77777777" w:rsidR="007B70C0" w:rsidRPr="00D35A8D" w:rsidRDefault="007B70C0" w:rsidP="008E6DA7">
            <w:pPr>
              <w:pStyle w:val="Tabletext"/>
              <w:rPr>
                <w:b/>
                <w:bCs w:val="0"/>
                <w:sz w:val="24"/>
              </w:rPr>
            </w:pPr>
            <w:r w:rsidRPr="00D35A8D">
              <w:rPr>
                <w:b/>
                <w:bCs w:val="0"/>
                <w:sz w:val="24"/>
              </w:rPr>
              <w:t xml:space="preserve">Community Risk Register </w:t>
            </w:r>
          </w:p>
        </w:tc>
      </w:tr>
      <w:tr w:rsidR="007B70C0" w:rsidRPr="00745C17" w14:paraId="39F6DC46" w14:textId="77777777" w:rsidTr="008E6DA7">
        <w:tc>
          <w:tcPr>
            <w:tcW w:w="1860" w:type="dxa"/>
          </w:tcPr>
          <w:p w14:paraId="42D41055" w14:textId="77777777" w:rsidR="007B70C0" w:rsidRPr="00D35A8D" w:rsidRDefault="007B70C0" w:rsidP="008E6DA7">
            <w:pPr>
              <w:pStyle w:val="Tabletext"/>
              <w:rPr>
                <w:b/>
                <w:bCs w:val="0"/>
                <w:sz w:val="24"/>
              </w:rPr>
            </w:pPr>
            <w:r w:rsidRPr="00D35A8D">
              <w:rPr>
                <w:b/>
                <w:bCs w:val="0"/>
                <w:sz w:val="24"/>
              </w:rPr>
              <w:t xml:space="preserve">FRS’s </w:t>
            </w:r>
          </w:p>
        </w:tc>
        <w:tc>
          <w:tcPr>
            <w:tcW w:w="7916" w:type="dxa"/>
          </w:tcPr>
          <w:p w14:paraId="5C83739B" w14:textId="77777777" w:rsidR="007B70C0" w:rsidRPr="00D35A8D" w:rsidRDefault="007B70C0" w:rsidP="008E6DA7">
            <w:pPr>
              <w:pStyle w:val="Tabletext"/>
              <w:rPr>
                <w:b/>
                <w:bCs w:val="0"/>
                <w:sz w:val="24"/>
              </w:rPr>
            </w:pPr>
            <w:r w:rsidRPr="00D35A8D">
              <w:rPr>
                <w:b/>
                <w:bCs w:val="0"/>
                <w:sz w:val="24"/>
              </w:rPr>
              <w:t xml:space="preserve">Fire and Rescue Services </w:t>
            </w:r>
          </w:p>
        </w:tc>
      </w:tr>
      <w:tr w:rsidR="007B70C0" w:rsidRPr="00745C17" w14:paraId="6CFFE662" w14:textId="77777777" w:rsidTr="008E6DA7">
        <w:tc>
          <w:tcPr>
            <w:tcW w:w="1860" w:type="dxa"/>
          </w:tcPr>
          <w:p w14:paraId="4E6D3089" w14:textId="77777777" w:rsidR="007B70C0" w:rsidRPr="00D35A8D" w:rsidRDefault="007B70C0" w:rsidP="008E6DA7">
            <w:pPr>
              <w:pStyle w:val="Tabletext"/>
              <w:rPr>
                <w:b/>
                <w:bCs w:val="0"/>
                <w:sz w:val="24"/>
              </w:rPr>
            </w:pPr>
            <w:r w:rsidRPr="00D35A8D">
              <w:rPr>
                <w:b/>
                <w:bCs w:val="0"/>
                <w:sz w:val="24"/>
              </w:rPr>
              <w:t xml:space="preserve">GIS </w:t>
            </w:r>
          </w:p>
        </w:tc>
        <w:tc>
          <w:tcPr>
            <w:tcW w:w="7916" w:type="dxa"/>
          </w:tcPr>
          <w:p w14:paraId="4DEBE012" w14:textId="77777777" w:rsidR="007B70C0" w:rsidRPr="00D35A8D" w:rsidRDefault="007B70C0" w:rsidP="008E6DA7">
            <w:pPr>
              <w:pStyle w:val="Tabletext"/>
              <w:rPr>
                <w:b/>
                <w:bCs w:val="0"/>
                <w:sz w:val="24"/>
              </w:rPr>
            </w:pPr>
            <w:r w:rsidRPr="00D35A8D">
              <w:rPr>
                <w:b/>
                <w:bCs w:val="0"/>
                <w:sz w:val="24"/>
              </w:rPr>
              <w:t xml:space="preserve">Geographic Information System </w:t>
            </w:r>
          </w:p>
        </w:tc>
      </w:tr>
      <w:tr w:rsidR="007B70C0" w:rsidRPr="00745C17" w14:paraId="3FF85104" w14:textId="77777777" w:rsidTr="008E6DA7">
        <w:tc>
          <w:tcPr>
            <w:tcW w:w="1860" w:type="dxa"/>
          </w:tcPr>
          <w:p w14:paraId="30362142" w14:textId="77777777" w:rsidR="007B70C0" w:rsidRPr="00D35A8D" w:rsidRDefault="007B70C0" w:rsidP="008E6DA7">
            <w:pPr>
              <w:pStyle w:val="Tabletext"/>
              <w:rPr>
                <w:b/>
                <w:bCs w:val="0"/>
                <w:sz w:val="24"/>
              </w:rPr>
            </w:pPr>
            <w:r w:rsidRPr="00D35A8D">
              <w:rPr>
                <w:b/>
                <w:bCs w:val="0"/>
                <w:sz w:val="24"/>
              </w:rPr>
              <w:t xml:space="preserve">Hazmat </w:t>
            </w:r>
          </w:p>
        </w:tc>
        <w:tc>
          <w:tcPr>
            <w:tcW w:w="7916" w:type="dxa"/>
          </w:tcPr>
          <w:p w14:paraId="27A6AAEF" w14:textId="77777777" w:rsidR="007B70C0" w:rsidRPr="00D35A8D" w:rsidRDefault="007B70C0" w:rsidP="008E6DA7">
            <w:pPr>
              <w:pStyle w:val="Tabletext"/>
              <w:rPr>
                <w:b/>
                <w:bCs w:val="0"/>
                <w:sz w:val="24"/>
              </w:rPr>
            </w:pPr>
            <w:r w:rsidRPr="00D35A8D">
              <w:rPr>
                <w:b/>
                <w:bCs w:val="0"/>
                <w:sz w:val="24"/>
              </w:rPr>
              <w:t xml:space="preserve">Hazardous Materials </w:t>
            </w:r>
          </w:p>
        </w:tc>
      </w:tr>
      <w:tr w:rsidR="007B70C0" w:rsidRPr="00745C17" w14:paraId="720A9019" w14:textId="77777777" w:rsidTr="008E6DA7">
        <w:tc>
          <w:tcPr>
            <w:tcW w:w="1860" w:type="dxa"/>
          </w:tcPr>
          <w:p w14:paraId="3448D727" w14:textId="77777777" w:rsidR="007B70C0" w:rsidRPr="00D35A8D" w:rsidRDefault="007B70C0" w:rsidP="008E6DA7">
            <w:pPr>
              <w:pStyle w:val="Tabletext"/>
              <w:rPr>
                <w:b/>
                <w:bCs w:val="0"/>
                <w:sz w:val="24"/>
              </w:rPr>
            </w:pPr>
            <w:r w:rsidRPr="00D35A8D">
              <w:rPr>
                <w:b/>
                <w:bCs w:val="0"/>
                <w:sz w:val="24"/>
              </w:rPr>
              <w:t xml:space="preserve">IMD </w:t>
            </w:r>
          </w:p>
        </w:tc>
        <w:tc>
          <w:tcPr>
            <w:tcW w:w="7916" w:type="dxa"/>
          </w:tcPr>
          <w:p w14:paraId="6972BEB2" w14:textId="77777777" w:rsidR="007B70C0" w:rsidRPr="00D35A8D" w:rsidRDefault="007B70C0" w:rsidP="008E6DA7">
            <w:pPr>
              <w:pStyle w:val="Tabletext"/>
              <w:rPr>
                <w:b/>
                <w:bCs w:val="0"/>
                <w:sz w:val="24"/>
              </w:rPr>
            </w:pPr>
            <w:r w:rsidRPr="00D35A8D">
              <w:rPr>
                <w:b/>
                <w:bCs w:val="0"/>
                <w:sz w:val="24"/>
              </w:rPr>
              <w:t xml:space="preserve">Indices of Multiple Deprivation </w:t>
            </w:r>
          </w:p>
        </w:tc>
      </w:tr>
      <w:tr w:rsidR="007B70C0" w:rsidRPr="00745C17" w14:paraId="46CE8B98" w14:textId="77777777" w:rsidTr="008E6DA7">
        <w:tc>
          <w:tcPr>
            <w:tcW w:w="1860" w:type="dxa"/>
          </w:tcPr>
          <w:p w14:paraId="1A46FC55" w14:textId="77777777" w:rsidR="007B70C0" w:rsidRPr="00D35A8D" w:rsidRDefault="007B70C0" w:rsidP="008E6DA7">
            <w:pPr>
              <w:pStyle w:val="Tabletext"/>
              <w:rPr>
                <w:b/>
                <w:bCs w:val="0"/>
                <w:sz w:val="24"/>
              </w:rPr>
            </w:pPr>
            <w:r w:rsidRPr="00D35A8D">
              <w:rPr>
                <w:b/>
                <w:bCs w:val="0"/>
                <w:sz w:val="24"/>
              </w:rPr>
              <w:t xml:space="preserve">IRS </w:t>
            </w:r>
          </w:p>
        </w:tc>
        <w:tc>
          <w:tcPr>
            <w:tcW w:w="7916" w:type="dxa"/>
          </w:tcPr>
          <w:p w14:paraId="304AF610" w14:textId="77777777" w:rsidR="007B70C0" w:rsidRPr="00D35A8D" w:rsidRDefault="007B70C0" w:rsidP="008E6DA7">
            <w:pPr>
              <w:pStyle w:val="Tabletext"/>
              <w:rPr>
                <w:b/>
                <w:bCs w:val="0"/>
                <w:sz w:val="24"/>
              </w:rPr>
            </w:pPr>
            <w:r w:rsidRPr="00D35A8D">
              <w:rPr>
                <w:b/>
                <w:bCs w:val="0"/>
                <w:sz w:val="24"/>
              </w:rPr>
              <w:t xml:space="preserve">Incident Recording System </w:t>
            </w:r>
          </w:p>
        </w:tc>
      </w:tr>
      <w:tr w:rsidR="007B70C0" w:rsidRPr="00745C17" w14:paraId="4D2E46FF" w14:textId="77777777" w:rsidTr="008E6DA7">
        <w:tc>
          <w:tcPr>
            <w:tcW w:w="1860" w:type="dxa"/>
          </w:tcPr>
          <w:p w14:paraId="7CCE2081" w14:textId="77777777" w:rsidR="007B70C0" w:rsidRPr="00D35A8D" w:rsidRDefault="007B70C0" w:rsidP="008E6DA7">
            <w:pPr>
              <w:pStyle w:val="Tabletext"/>
              <w:rPr>
                <w:b/>
                <w:bCs w:val="0"/>
                <w:sz w:val="24"/>
              </w:rPr>
            </w:pPr>
            <w:r w:rsidRPr="00D35A8D">
              <w:rPr>
                <w:b/>
                <w:bCs w:val="0"/>
                <w:sz w:val="24"/>
              </w:rPr>
              <w:t xml:space="preserve">LFRS </w:t>
            </w:r>
          </w:p>
        </w:tc>
        <w:tc>
          <w:tcPr>
            <w:tcW w:w="7916" w:type="dxa"/>
          </w:tcPr>
          <w:p w14:paraId="0AC1F059" w14:textId="77777777" w:rsidR="007B70C0" w:rsidRPr="00D35A8D" w:rsidRDefault="007B70C0" w:rsidP="008E6DA7">
            <w:pPr>
              <w:pStyle w:val="Tabletext"/>
              <w:rPr>
                <w:b/>
                <w:bCs w:val="0"/>
                <w:sz w:val="24"/>
              </w:rPr>
            </w:pPr>
            <w:r w:rsidRPr="00D35A8D">
              <w:rPr>
                <w:b/>
                <w:bCs w:val="0"/>
                <w:sz w:val="24"/>
              </w:rPr>
              <w:t xml:space="preserve">Lancashire Fire and Rescue Service </w:t>
            </w:r>
          </w:p>
        </w:tc>
      </w:tr>
      <w:tr w:rsidR="007B70C0" w:rsidRPr="00745C17" w14:paraId="13523855" w14:textId="77777777" w:rsidTr="008E6DA7">
        <w:tc>
          <w:tcPr>
            <w:tcW w:w="1860" w:type="dxa"/>
          </w:tcPr>
          <w:p w14:paraId="0366751D" w14:textId="77777777" w:rsidR="007B70C0" w:rsidRPr="00D35A8D" w:rsidRDefault="007B70C0" w:rsidP="008E6DA7">
            <w:pPr>
              <w:pStyle w:val="Tabletext"/>
              <w:rPr>
                <w:b/>
                <w:bCs w:val="0"/>
                <w:sz w:val="24"/>
              </w:rPr>
            </w:pPr>
            <w:r w:rsidRPr="00D35A8D">
              <w:rPr>
                <w:b/>
                <w:bCs w:val="0"/>
                <w:sz w:val="24"/>
              </w:rPr>
              <w:t xml:space="preserve">LRF </w:t>
            </w:r>
          </w:p>
        </w:tc>
        <w:tc>
          <w:tcPr>
            <w:tcW w:w="7916" w:type="dxa"/>
          </w:tcPr>
          <w:p w14:paraId="0CA79029" w14:textId="77777777" w:rsidR="007B70C0" w:rsidRPr="00D35A8D" w:rsidRDefault="007B70C0" w:rsidP="008E6DA7">
            <w:pPr>
              <w:pStyle w:val="Tabletext"/>
              <w:rPr>
                <w:b/>
                <w:bCs w:val="0"/>
                <w:sz w:val="24"/>
              </w:rPr>
            </w:pPr>
            <w:r w:rsidRPr="00D35A8D">
              <w:rPr>
                <w:b/>
                <w:bCs w:val="0"/>
                <w:sz w:val="24"/>
              </w:rPr>
              <w:t xml:space="preserve">Lancashire Resilience Forum </w:t>
            </w:r>
          </w:p>
        </w:tc>
      </w:tr>
      <w:tr w:rsidR="007B70C0" w:rsidRPr="00745C17" w14:paraId="5F1DF8A5" w14:textId="77777777" w:rsidTr="008E6DA7">
        <w:tc>
          <w:tcPr>
            <w:tcW w:w="1860" w:type="dxa"/>
          </w:tcPr>
          <w:p w14:paraId="5447DAA3" w14:textId="77777777" w:rsidR="007B70C0" w:rsidRPr="00D35A8D" w:rsidRDefault="007B70C0" w:rsidP="008E6DA7">
            <w:pPr>
              <w:pStyle w:val="Tabletext"/>
              <w:rPr>
                <w:b/>
                <w:bCs w:val="0"/>
                <w:sz w:val="24"/>
              </w:rPr>
            </w:pPr>
            <w:r w:rsidRPr="00D35A8D">
              <w:rPr>
                <w:b/>
                <w:bCs w:val="0"/>
                <w:sz w:val="24"/>
              </w:rPr>
              <w:t xml:space="preserve">LSOA’s </w:t>
            </w:r>
          </w:p>
        </w:tc>
        <w:tc>
          <w:tcPr>
            <w:tcW w:w="7916" w:type="dxa"/>
          </w:tcPr>
          <w:p w14:paraId="639B7D2C" w14:textId="77777777" w:rsidR="007B70C0" w:rsidRPr="00D35A8D" w:rsidRDefault="007B70C0" w:rsidP="008E6DA7">
            <w:pPr>
              <w:pStyle w:val="Tabletext"/>
              <w:rPr>
                <w:b/>
                <w:bCs w:val="0"/>
                <w:sz w:val="24"/>
              </w:rPr>
            </w:pPr>
            <w:r w:rsidRPr="00D35A8D">
              <w:rPr>
                <w:b/>
                <w:bCs w:val="0"/>
                <w:sz w:val="24"/>
              </w:rPr>
              <w:t xml:space="preserve">Lower-layer Super Output Areas </w:t>
            </w:r>
          </w:p>
        </w:tc>
      </w:tr>
      <w:tr w:rsidR="007B70C0" w:rsidRPr="00745C17" w14:paraId="65450A6C" w14:textId="77777777" w:rsidTr="008E6DA7">
        <w:tc>
          <w:tcPr>
            <w:tcW w:w="1860" w:type="dxa"/>
          </w:tcPr>
          <w:p w14:paraId="1BD8AEDB" w14:textId="77777777" w:rsidR="007B70C0" w:rsidRPr="00D35A8D" w:rsidRDefault="007B70C0" w:rsidP="008E6DA7">
            <w:pPr>
              <w:pStyle w:val="Tabletext"/>
              <w:rPr>
                <w:b/>
                <w:bCs w:val="0"/>
                <w:sz w:val="24"/>
              </w:rPr>
            </w:pPr>
            <w:r w:rsidRPr="00D35A8D">
              <w:rPr>
                <w:b/>
                <w:bCs w:val="0"/>
                <w:sz w:val="24"/>
              </w:rPr>
              <w:t xml:space="preserve">MOU </w:t>
            </w:r>
          </w:p>
        </w:tc>
        <w:tc>
          <w:tcPr>
            <w:tcW w:w="7916" w:type="dxa"/>
          </w:tcPr>
          <w:p w14:paraId="62B8C406" w14:textId="77777777" w:rsidR="007B70C0" w:rsidRPr="00D35A8D" w:rsidRDefault="007B70C0" w:rsidP="008E6DA7">
            <w:pPr>
              <w:pStyle w:val="Tabletext"/>
              <w:rPr>
                <w:b/>
                <w:bCs w:val="0"/>
                <w:sz w:val="24"/>
              </w:rPr>
            </w:pPr>
            <w:r w:rsidRPr="00D35A8D">
              <w:rPr>
                <w:b/>
                <w:bCs w:val="0"/>
                <w:sz w:val="24"/>
              </w:rPr>
              <w:t xml:space="preserve">Memorandum of Understanding </w:t>
            </w:r>
          </w:p>
        </w:tc>
      </w:tr>
      <w:tr w:rsidR="007B70C0" w:rsidRPr="00745C17" w14:paraId="656A9453" w14:textId="77777777" w:rsidTr="008E6DA7">
        <w:tc>
          <w:tcPr>
            <w:tcW w:w="1860" w:type="dxa"/>
          </w:tcPr>
          <w:p w14:paraId="24ADAED2" w14:textId="77777777" w:rsidR="007B70C0" w:rsidRPr="00D35A8D" w:rsidRDefault="007B70C0" w:rsidP="008E6DA7">
            <w:pPr>
              <w:pStyle w:val="Tabletext"/>
              <w:rPr>
                <w:b/>
                <w:bCs w:val="0"/>
                <w:sz w:val="24"/>
              </w:rPr>
            </w:pPr>
            <w:r w:rsidRPr="00D35A8D">
              <w:rPr>
                <w:b/>
                <w:bCs w:val="0"/>
                <w:sz w:val="24"/>
              </w:rPr>
              <w:t xml:space="preserve">MTA </w:t>
            </w:r>
          </w:p>
        </w:tc>
        <w:tc>
          <w:tcPr>
            <w:tcW w:w="7916" w:type="dxa"/>
          </w:tcPr>
          <w:p w14:paraId="3618831C" w14:textId="77777777" w:rsidR="007B70C0" w:rsidRPr="00D35A8D" w:rsidRDefault="007B70C0" w:rsidP="008E6DA7">
            <w:pPr>
              <w:pStyle w:val="Tabletext"/>
              <w:rPr>
                <w:b/>
                <w:bCs w:val="0"/>
                <w:sz w:val="24"/>
              </w:rPr>
            </w:pPr>
            <w:r w:rsidRPr="00D35A8D">
              <w:rPr>
                <w:b/>
                <w:bCs w:val="0"/>
                <w:sz w:val="24"/>
              </w:rPr>
              <w:t xml:space="preserve">Marauding Terrorist Attack </w:t>
            </w:r>
          </w:p>
        </w:tc>
      </w:tr>
      <w:tr w:rsidR="007B70C0" w:rsidRPr="00745C17" w14:paraId="19A85AEB" w14:textId="77777777" w:rsidTr="008E6DA7">
        <w:tc>
          <w:tcPr>
            <w:tcW w:w="1860" w:type="dxa"/>
          </w:tcPr>
          <w:p w14:paraId="44C9151C" w14:textId="77777777" w:rsidR="007B70C0" w:rsidRPr="00D35A8D" w:rsidRDefault="007B70C0" w:rsidP="008E6DA7">
            <w:pPr>
              <w:pStyle w:val="Tabletext"/>
              <w:rPr>
                <w:b/>
                <w:bCs w:val="0"/>
                <w:sz w:val="24"/>
              </w:rPr>
            </w:pPr>
            <w:r w:rsidRPr="00D35A8D">
              <w:rPr>
                <w:b/>
                <w:bCs w:val="0"/>
                <w:sz w:val="24"/>
              </w:rPr>
              <w:t xml:space="preserve">NOG </w:t>
            </w:r>
          </w:p>
        </w:tc>
        <w:tc>
          <w:tcPr>
            <w:tcW w:w="7916" w:type="dxa"/>
          </w:tcPr>
          <w:p w14:paraId="713BAEA8" w14:textId="77777777" w:rsidR="007B70C0" w:rsidRPr="00D35A8D" w:rsidRDefault="007B70C0" w:rsidP="008E6DA7">
            <w:pPr>
              <w:pStyle w:val="Tabletext"/>
              <w:rPr>
                <w:b/>
                <w:bCs w:val="0"/>
                <w:sz w:val="24"/>
              </w:rPr>
            </w:pPr>
            <w:r w:rsidRPr="00D35A8D">
              <w:rPr>
                <w:b/>
                <w:bCs w:val="0"/>
                <w:sz w:val="24"/>
              </w:rPr>
              <w:t xml:space="preserve">National Operational Guidance </w:t>
            </w:r>
          </w:p>
        </w:tc>
      </w:tr>
      <w:tr w:rsidR="007B70C0" w:rsidRPr="00745C17" w14:paraId="105B4545" w14:textId="77777777" w:rsidTr="008E6DA7">
        <w:tc>
          <w:tcPr>
            <w:tcW w:w="1860" w:type="dxa"/>
          </w:tcPr>
          <w:p w14:paraId="6AB4B4D2" w14:textId="77777777" w:rsidR="007B70C0" w:rsidRPr="00D35A8D" w:rsidRDefault="007B70C0" w:rsidP="008E6DA7">
            <w:pPr>
              <w:pStyle w:val="Tabletext"/>
              <w:rPr>
                <w:b/>
                <w:bCs w:val="0"/>
                <w:sz w:val="24"/>
              </w:rPr>
            </w:pPr>
            <w:r w:rsidRPr="00D35A8D">
              <w:rPr>
                <w:b/>
                <w:bCs w:val="0"/>
                <w:sz w:val="24"/>
              </w:rPr>
              <w:t xml:space="preserve">NRR </w:t>
            </w:r>
          </w:p>
        </w:tc>
        <w:tc>
          <w:tcPr>
            <w:tcW w:w="7916" w:type="dxa"/>
          </w:tcPr>
          <w:p w14:paraId="3189D91F" w14:textId="77777777" w:rsidR="007B70C0" w:rsidRPr="00D35A8D" w:rsidRDefault="007B70C0" w:rsidP="008E6DA7">
            <w:pPr>
              <w:pStyle w:val="Tabletext"/>
              <w:rPr>
                <w:b/>
                <w:bCs w:val="0"/>
                <w:sz w:val="24"/>
              </w:rPr>
            </w:pPr>
            <w:r w:rsidRPr="00D35A8D">
              <w:rPr>
                <w:b/>
                <w:bCs w:val="0"/>
                <w:sz w:val="24"/>
              </w:rPr>
              <w:t xml:space="preserve">National Risk Register </w:t>
            </w:r>
          </w:p>
        </w:tc>
      </w:tr>
      <w:tr w:rsidR="007B70C0" w:rsidRPr="00745C17" w14:paraId="7E1227F5" w14:textId="77777777" w:rsidTr="008E6DA7">
        <w:tc>
          <w:tcPr>
            <w:tcW w:w="1860" w:type="dxa"/>
          </w:tcPr>
          <w:p w14:paraId="187D14BA" w14:textId="77777777" w:rsidR="007B70C0" w:rsidRPr="00D35A8D" w:rsidRDefault="007B70C0" w:rsidP="008E6DA7">
            <w:pPr>
              <w:pStyle w:val="Tabletext"/>
              <w:rPr>
                <w:b/>
                <w:bCs w:val="0"/>
                <w:sz w:val="24"/>
              </w:rPr>
            </w:pPr>
            <w:r w:rsidRPr="00D35A8D">
              <w:rPr>
                <w:b/>
                <w:bCs w:val="0"/>
                <w:sz w:val="24"/>
              </w:rPr>
              <w:t xml:space="preserve">NWAS </w:t>
            </w:r>
          </w:p>
        </w:tc>
        <w:tc>
          <w:tcPr>
            <w:tcW w:w="7916" w:type="dxa"/>
          </w:tcPr>
          <w:p w14:paraId="1190E0F1" w14:textId="77777777" w:rsidR="007B70C0" w:rsidRPr="00D35A8D" w:rsidRDefault="007B70C0" w:rsidP="008E6DA7">
            <w:pPr>
              <w:pStyle w:val="Tabletext"/>
              <w:rPr>
                <w:b/>
                <w:bCs w:val="0"/>
                <w:sz w:val="24"/>
              </w:rPr>
            </w:pPr>
            <w:r w:rsidRPr="00D35A8D">
              <w:rPr>
                <w:b/>
                <w:bCs w:val="0"/>
                <w:sz w:val="24"/>
              </w:rPr>
              <w:t xml:space="preserve">North West Ambulance Service </w:t>
            </w:r>
          </w:p>
        </w:tc>
      </w:tr>
      <w:tr w:rsidR="007B70C0" w:rsidRPr="00745C17" w14:paraId="308BA013" w14:textId="77777777" w:rsidTr="008E6DA7">
        <w:tc>
          <w:tcPr>
            <w:tcW w:w="1860" w:type="dxa"/>
          </w:tcPr>
          <w:p w14:paraId="1993DADE" w14:textId="77777777" w:rsidR="007B70C0" w:rsidRPr="00D35A8D" w:rsidRDefault="007B70C0" w:rsidP="008E6DA7">
            <w:pPr>
              <w:pStyle w:val="Tabletext"/>
              <w:rPr>
                <w:b/>
                <w:bCs w:val="0"/>
                <w:sz w:val="24"/>
              </w:rPr>
            </w:pPr>
            <w:r w:rsidRPr="00D35A8D">
              <w:rPr>
                <w:b/>
                <w:bCs w:val="0"/>
                <w:sz w:val="24"/>
              </w:rPr>
              <w:t xml:space="preserve">RTC </w:t>
            </w:r>
          </w:p>
        </w:tc>
        <w:tc>
          <w:tcPr>
            <w:tcW w:w="7916" w:type="dxa"/>
          </w:tcPr>
          <w:p w14:paraId="584029AC" w14:textId="77777777" w:rsidR="007B70C0" w:rsidRPr="00D35A8D" w:rsidRDefault="007B70C0" w:rsidP="008E6DA7">
            <w:pPr>
              <w:pStyle w:val="Tabletext"/>
              <w:rPr>
                <w:b/>
                <w:bCs w:val="0"/>
                <w:sz w:val="24"/>
              </w:rPr>
            </w:pPr>
            <w:r w:rsidRPr="00D35A8D">
              <w:rPr>
                <w:b/>
                <w:bCs w:val="0"/>
                <w:sz w:val="24"/>
              </w:rPr>
              <w:t xml:space="preserve">Road Traffic Collision </w:t>
            </w:r>
          </w:p>
        </w:tc>
      </w:tr>
      <w:tr w:rsidR="007B70C0" w:rsidRPr="00745C17" w14:paraId="29E486C3" w14:textId="77777777" w:rsidTr="008E6DA7">
        <w:tc>
          <w:tcPr>
            <w:tcW w:w="1860" w:type="dxa"/>
          </w:tcPr>
          <w:p w14:paraId="7788C4A7" w14:textId="77777777" w:rsidR="007B70C0" w:rsidRPr="00D35A8D" w:rsidRDefault="007B70C0" w:rsidP="008E6DA7">
            <w:pPr>
              <w:pStyle w:val="Tabletext"/>
              <w:rPr>
                <w:b/>
                <w:bCs w:val="0"/>
                <w:sz w:val="24"/>
              </w:rPr>
            </w:pPr>
            <w:r>
              <w:rPr>
                <w:b/>
                <w:bCs w:val="0"/>
                <w:sz w:val="24"/>
              </w:rPr>
              <w:t>SAoR</w:t>
            </w:r>
          </w:p>
        </w:tc>
        <w:tc>
          <w:tcPr>
            <w:tcW w:w="7916" w:type="dxa"/>
          </w:tcPr>
          <w:p w14:paraId="54ED2D02" w14:textId="77777777" w:rsidR="007B70C0" w:rsidRPr="00D35A8D" w:rsidRDefault="007B70C0" w:rsidP="008E6DA7">
            <w:pPr>
              <w:pStyle w:val="Tabletext"/>
              <w:rPr>
                <w:b/>
                <w:bCs w:val="0"/>
                <w:sz w:val="24"/>
              </w:rPr>
            </w:pPr>
            <w:r w:rsidRPr="00D35A8D">
              <w:rPr>
                <w:b/>
                <w:bCs w:val="0"/>
                <w:sz w:val="24"/>
              </w:rPr>
              <w:t>Strategic Assessment of Risk</w:t>
            </w:r>
          </w:p>
        </w:tc>
      </w:tr>
      <w:bookmarkEnd w:id="66"/>
      <w:bookmarkEnd w:id="67"/>
      <w:bookmarkEnd w:id="68"/>
    </w:tbl>
    <w:p w14:paraId="4697E26F" w14:textId="77777777" w:rsidR="00675E07" w:rsidRPr="00745C17" w:rsidRDefault="00675E07" w:rsidP="00A769BC">
      <w:pPr>
        <w:pStyle w:val="NoSpacing"/>
      </w:pPr>
    </w:p>
    <w:sectPr w:rsidR="00675E07" w:rsidRPr="00745C17" w:rsidSect="00F1302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775F" w14:textId="77777777" w:rsidR="00B716E9" w:rsidRDefault="00B716E9" w:rsidP="003D28D2">
      <w:pPr>
        <w:spacing w:after="0" w:line="240" w:lineRule="auto"/>
      </w:pPr>
      <w:r>
        <w:separator/>
      </w:r>
    </w:p>
  </w:endnote>
  <w:endnote w:type="continuationSeparator" w:id="0">
    <w:p w14:paraId="7101E2BC" w14:textId="77777777" w:rsidR="00B716E9" w:rsidRDefault="00B716E9" w:rsidP="003D28D2">
      <w:pPr>
        <w:spacing w:after="0" w:line="240" w:lineRule="auto"/>
      </w:pPr>
      <w:r>
        <w:continuationSeparator/>
      </w:r>
    </w:p>
  </w:endnote>
  <w:endnote w:type="continuationNotice" w:id="1">
    <w:p w14:paraId="529826BF" w14:textId="77777777" w:rsidR="00B716E9" w:rsidRDefault="00B71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068853"/>
      <w:docPartObj>
        <w:docPartGallery w:val="Page Numbers (Bottom of Page)"/>
        <w:docPartUnique/>
      </w:docPartObj>
    </w:sdtPr>
    <w:sdtEndPr>
      <w:rPr>
        <w:noProof/>
      </w:rPr>
    </w:sdtEndPr>
    <w:sdtContent>
      <w:p w14:paraId="57BEED1C" w14:textId="539BE59B" w:rsidR="00FF3199" w:rsidRDefault="00FF31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2F258E" w14:textId="77777777" w:rsidR="00FF3199" w:rsidRDefault="00FF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780609"/>
      <w:docPartObj>
        <w:docPartGallery w:val="Page Numbers (Bottom of Page)"/>
        <w:docPartUnique/>
      </w:docPartObj>
    </w:sdtPr>
    <w:sdtEndPr>
      <w:rPr>
        <w:noProof/>
      </w:rPr>
    </w:sdtEndPr>
    <w:sdtContent>
      <w:p w14:paraId="0AB655C2" w14:textId="229FDF2E" w:rsidR="0095735D" w:rsidRDefault="009573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CB9C0" w14:textId="77777777" w:rsidR="0095735D" w:rsidRDefault="00957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0BF6" w14:textId="77777777" w:rsidR="00B716E9" w:rsidRDefault="00B716E9" w:rsidP="003D28D2">
      <w:pPr>
        <w:spacing w:after="0" w:line="240" w:lineRule="auto"/>
      </w:pPr>
      <w:r>
        <w:separator/>
      </w:r>
    </w:p>
  </w:footnote>
  <w:footnote w:type="continuationSeparator" w:id="0">
    <w:p w14:paraId="470F0938" w14:textId="77777777" w:rsidR="00B716E9" w:rsidRDefault="00B716E9" w:rsidP="003D28D2">
      <w:pPr>
        <w:spacing w:after="0" w:line="240" w:lineRule="auto"/>
      </w:pPr>
      <w:r>
        <w:continuationSeparator/>
      </w:r>
    </w:p>
  </w:footnote>
  <w:footnote w:type="continuationNotice" w:id="1">
    <w:p w14:paraId="34A9114A" w14:textId="77777777" w:rsidR="00B716E9" w:rsidRDefault="00B716E9">
      <w:pPr>
        <w:spacing w:after="0" w:line="240" w:lineRule="auto"/>
      </w:pPr>
    </w:p>
  </w:footnote>
  <w:footnote w:id="2">
    <w:p w14:paraId="62D67BC9" w14:textId="77777777" w:rsidR="009308D7" w:rsidRPr="00DE2599" w:rsidRDefault="009308D7" w:rsidP="009308D7">
      <w:pPr>
        <w:pStyle w:val="FootnoteText"/>
        <w:rPr>
          <w:lang w:val="en-US"/>
        </w:rPr>
      </w:pPr>
      <w:r>
        <w:rPr>
          <w:rStyle w:val="FootnoteReference"/>
        </w:rPr>
        <w:footnoteRef/>
      </w:r>
      <w:r>
        <w:t xml:space="preserve"> HLE i</w:t>
      </w:r>
      <w:r w:rsidRPr="007D798C">
        <w:t>ndicates the amount of time a person will live in good health (rather than with a disability or in poor health)</w:t>
      </w:r>
    </w:p>
  </w:footnote>
</w:footnotes>
</file>

<file path=word/intelligence.xml><?xml version="1.0" encoding="utf-8"?>
<int:Intelligence xmlns:int="http://schemas.microsoft.com/office/intelligence/2019/intelligence">
  <int:IntelligenceSettings/>
  <int:Manifest>
    <int:WordHash hashCode="QgmNU58P0unWdN" id="W/kqWlrU"/>
    <int:WordHash hashCode="AXmYCf7mcC5a6G" id="tLHPdKwY"/>
    <int:WordHash hashCode="1OcgY1vdJJTB/M" id="nSM/xZb6"/>
    <int:WordHash hashCode="bAVch975LFds/8" id="ZKw3Sqdy"/>
    <int:WordHash hashCode="QBtuZvVptrb365" id="9qzLHlmX"/>
    <int:WordHash hashCode="MuCBqRbLJSFxDO" id="JUj38ybE"/>
    <int:WordHash hashCode="6KXS+zahWUtu8W" id="Ndk3MhMf"/>
    <int:WordHash hashCode="53m96EU6pTSuiv" id="U0nfrelq"/>
    <int:WordHash hashCode="jt7vCLVAPWWOMP" id="y0cXVgW2"/>
  </int:Manifest>
  <int:Observations>
    <int:Content id="W/kqWlrU">
      <int:Rejection type="LegacyProofing"/>
    </int:Content>
    <int:Content id="tLHPdKwY">
      <int:Rejection type="LegacyProofing"/>
    </int:Content>
    <int:Content id="nSM/xZb6">
      <int:Rejection type="LegacyProofing"/>
    </int:Content>
    <int:Content id="ZKw3Sqdy">
      <int:Rejection type="LegacyProofing"/>
    </int:Content>
    <int:Content id="9qzLHlmX">
      <int:Rejection type="LegacyProofing"/>
    </int:Content>
    <int:Content id="JUj38ybE">
      <int:Rejection type="LegacyProofing"/>
    </int:Content>
    <int:Content id="Ndk3MhMf">
      <int:Rejection type="LegacyProofing"/>
    </int:Content>
    <int:Content id="U0nfrelq">
      <int:Rejection type="AugLoop_Text_Critique"/>
    </int:Content>
    <int:Content id="y0cXVgW2">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EB2"/>
    <w:multiLevelType w:val="hybridMultilevel"/>
    <w:tmpl w:val="D874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24805"/>
    <w:multiLevelType w:val="hybridMultilevel"/>
    <w:tmpl w:val="786A0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F604E"/>
    <w:multiLevelType w:val="hybridMultilevel"/>
    <w:tmpl w:val="C2749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E442D"/>
    <w:multiLevelType w:val="multilevel"/>
    <w:tmpl w:val="7252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068CC"/>
    <w:multiLevelType w:val="hybridMultilevel"/>
    <w:tmpl w:val="470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01432"/>
    <w:multiLevelType w:val="hybridMultilevel"/>
    <w:tmpl w:val="0E2CF766"/>
    <w:lvl w:ilvl="0" w:tplc="5D88A05A">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930AC"/>
    <w:multiLevelType w:val="hybridMultilevel"/>
    <w:tmpl w:val="CCEE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1424E"/>
    <w:multiLevelType w:val="hybridMultilevel"/>
    <w:tmpl w:val="C6A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B0A40"/>
    <w:multiLevelType w:val="hybridMultilevel"/>
    <w:tmpl w:val="BB44BCF4"/>
    <w:lvl w:ilvl="0" w:tplc="5D7A9CFE">
      <w:start w:val="1"/>
      <w:numFmt w:val="decimal"/>
      <w:lvlText w:val="%1)"/>
      <w:lvlJc w:val="left"/>
      <w:pPr>
        <w:tabs>
          <w:tab w:val="num" w:pos="720"/>
        </w:tabs>
        <w:ind w:left="720" w:hanging="360"/>
      </w:pPr>
      <w:rPr>
        <w:rFonts w:ascii="Arial" w:eastAsiaTheme="minorHAnsi" w:hAnsi="Arial" w:cs="Arial"/>
      </w:rPr>
    </w:lvl>
    <w:lvl w:ilvl="1" w:tplc="4E4E7808">
      <w:numFmt w:val="bullet"/>
      <w:lvlText w:val="–"/>
      <w:lvlJc w:val="left"/>
      <w:pPr>
        <w:tabs>
          <w:tab w:val="num" w:pos="1440"/>
        </w:tabs>
        <w:ind w:left="1440" w:hanging="360"/>
      </w:pPr>
      <w:rPr>
        <w:rFonts w:ascii="Arial" w:hAnsi="Arial" w:hint="default"/>
      </w:rPr>
    </w:lvl>
    <w:lvl w:ilvl="2" w:tplc="41CC8C92" w:tentative="1">
      <w:start w:val="1"/>
      <w:numFmt w:val="decimal"/>
      <w:lvlText w:val="%3."/>
      <w:lvlJc w:val="left"/>
      <w:pPr>
        <w:tabs>
          <w:tab w:val="num" w:pos="2160"/>
        </w:tabs>
        <w:ind w:left="2160" w:hanging="360"/>
      </w:pPr>
    </w:lvl>
    <w:lvl w:ilvl="3" w:tplc="39F8381C" w:tentative="1">
      <w:start w:val="1"/>
      <w:numFmt w:val="decimal"/>
      <w:lvlText w:val="%4."/>
      <w:lvlJc w:val="left"/>
      <w:pPr>
        <w:tabs>
          <w:tab w:val="num" w:pos="2880"/>
        </w:tabs>
        <w:ind w:left="2880" w:hanging="360"/>
      </w:pPr>
    </w:lvl>
    <w:lvl w:ilvl="4" w:tplc="ECAC49A6" w:tentative="1">
      <w:start w:val="1"/>
      <w:numFmt w:val="decimal"/>
      <w:lvlText w:val="%5."/>
      <w:lvlJc w:val="left"/>
      <w:pPr>
        <w:tabs>
          <w:tab w:val="num" w:pos="3600"/>
        </w:tabs>
        <w:ind w:left="3600" w:hanging="360"/>
      </w:pPr>
    </w:lvl>
    <w:lvl w:ilvl="5" w:tplc="DFECF9DA" w:tentative="1">
      <w:start w:val="1"/>
      <w:numFmt w:val="decimal"/>
      <w:lvlText w:val="%6."/>
      <w:lvlJc w:val="left"/>
      <w:pPr>
        <w:tabs>
          <w:tab w:val="num" w:pos="4320"/>
        </w:tabs>
        <w:ind w:left="4320" w:hanging="360"/>
      </w:pPr>
    </w:lvl>
    <w:lvl w:ilvl="6" w:tplc="C2305832" w:tentative="1">
      <w:start w:val="1"/>
      <w:numFmt w:val="decimal"/>
      <w:lvlText w:val="%7."/>
      <w:lvlJc w:val="left"/>
      <w:pPr>
        <w:tabs>
          <w:tab w:val="num" w:pos="5040"/>
        </w:tabs>
        <w:ind w:left="5040" w:hanging="360"/>
      </w:pPr>
    </w:lvl>
    <w:lvl w:ilvl="7" w:tplc="CEAC3FAC" w:tentative="1">
      <w:start w:val="1"/>
      <w:numFmt w:val="decimal"/>
      <w:lvlText w:val="%8."/>
      <w:lvlJc w:val="left"/>
      <w:pPr>
        <w:tabs>
          <w:tab w:val="num" w:pos="5760"/>
        </w:tabs>
        <w:ind w:left="5760" w:hanging="360"/>
      </w:pPr>
    </w:lvl>
    <w:lvl w:ilvl="8" w:tplc="05FCEB5C" w:tentative="1">
      <w:start w:val="1"/>
      <w:numFmt w:val="decimal"/>
      <w:lvlText w:val="%9."/>
      <w:lvlJc w:val="left"/>
      <w:pPr>
        <w:tabs>
          <w:tab w:val="num" w:pos="6480"/>
        </w:tabs>
        <w:ind w:left="6480" w:hanging="360"/>
      </w:pPr>
    </w:lvl>
  </w:abstractNum>
  <w:abstractNum w:abstractNumId="9" w15:restartNumberingAfterBreak="0">
    <w:nsid w:val="22B708A1"/>
    <w:multiLevelType w:val="hybridMultilevel"/>
    <w:tmpl w:val="FFFFFFFF"/>
    <w:lvl w:ilvl="0" w:tplc="7F80D2E4">
      <w:start w:val="1"/>
      <w:numFmt w:val="bullet"/>
      <w:lvlText w:val=""/>
      <w:lvlJc w:val="left"/>
      <w:pPr>
        <w:ind w:left="720" w:hanging="360"/>
      </w:pPr>
      <w:rPr>
        <w:rFonts w:ascii="Symbol" w:hAnsi="Symbol" w:hint="default"/>
      </w:rPr>
    </w:lvl>
    <w:lvl w:ilvl="1" w:tplc="FA0404AA">
      <w:start w:val="1"/>
      <w:numFmt w:val="bullet"/>
      <w:lvlText w:val="o"/>
      <w:lvlJc w:val="left"/>
      <w:pPr>
        <w:ind w:left="1440" w:hanging="360"/>
      </w:pPr>
      <w:rPr>
        <w:rFonts w:ascii="Courier New" w:hAnsi="Courier New" w:hint="default"/>
      </w:rPr>
    </w:lvl>
    <w:lvl w:ilvl="2" w:tplc="2E0ABAF6">
      <w:start w:val="1"/>
      <w:numFmt w:val="bullet"/>
      <w:lvlText w:val=""/>
      <w:lvlJc w:val="left"/>
      <w:pPr>
        <w:ind w:left="2160" w:hanging="360"/>
      </w:pPr>
      <w:rPr>
        <w:rFonts w:ascii="Wingdings" w:hAnsi="Wingdings" w:hint="default"/>
      </w:rPr>
    </w:lvl>
    <w:lvl w:ilvl="3" w:tplc="0DB4F51A">
      <w:start w:val="1"/>
      <w:numFmt w:val="bullet"/>
      <w:lvlText w:val=""/>
      <w:lvlJc w:val="left"/>
      <w:pPr>
        <w:ind w:left="2880" w:hanging="360"/>
      </w:pPr>
      <w:rPr>
        <w:rFonts w:ascii="Symbol" w:hAnsi="Symbol" w:hint="default"/>
      </w:rPr>
    </w:lvl>
    <w:lvl w:ilvl="4" w:tplc="6750F842">
      <w:start w:val="1"/>
      <w:numFmt w:val="bullet"/>
      <w:lvlText w:val="o"/>
      <w:lvlJc w:val="left"/>
      <w:pPr>
        <w:ind w:left="3600" w:hanging="360"/>
      </w:pPr>
      <w:rPr>
        <w:rFonts w:ascii="Courier New" w:hAnsi="Courier New" w:hint="default"/>
      </w:rPr>
    </w:lvl>
    <w:lvl w:ilvl="5" w:tplc="A0464338">
      <w:start w:val="1"/>
      <w:numFmt w:val="bullet"/>
      <w:lvlText w:val=""/>
      <w:lvlJc w:val="left"/>
      <w:pPr>
        <w:ind w:left="4320" w:hanging="360"/>
      </w:pPr>
      <w:rPr>
        <w:rFonts w:ascii="Wingdings" w:hAnsi="Wingdings" w:hint="default"/>
      </w:rPr>
    </w:lvl>
    <w:lvl w:ilvl="6" w:tplc="42EA8A12">
      <w:start w:val="1"/>
      <w:numFmt w:val="bullet"/>
      <w:lvlText w:val=""/>
      <w:lvlJc w:val="left"/>
      <w:pPr>
        <w:ind w:left="5040" w:hanging="360"/>
      </w:pPr>
      <w:rPr>
        <w:rFonts w:ascii="Symbol" w:hAnsi="Symbol" w:hint="default"/>
      </w:rPr>
    </w:lvl>
    <w:lvl w:ilvl="7" w:tplc="510472FA">
      <w:start w:val="1"/>
      <w:numFmt w:val="bullet"/>
      <w:lvlText w:val="o"/>
      <w:lvlJc w:val="left"/>
      <w:pPr>
        <w:ind w:left="5760" w:hanging="360"/>
      </w:pPr>
      <w:rPr>
        <w:rFonts w:ascii="Courier New" w:hAnsi="Courier New" w:hint="default"/>
      </w:rPr>
    </w:lvl>
    <w:lvl w:ilvl="8" w:tplc="637630F2">
      <w:start w:val="1"/>
      <w:numFmt w:val="bullet"/>
      <w:lvlText w:val=""/>
      <w:lvlJc w:val="left"/>
      <w:pPr>
        <w:ind w:left="6480" w:hanging="360"/>
      </w:pPr>
      <w:rPr>
        <w:rFonts w:ascii="Wingdings" w:hAnsi="Wingdings" w:hint="default"/>
      </w:rPr>
    </w:lvl>
  </w:abstractNum>
  <w:abstractNum w:abstractNumId="10" w15:restartNumberingAfterBreak="0">
    <w:nsid w:val="24F50A8E"/>
    <w:multiLevelType w:val="hybridMultilevel"/>
    <w:tmpl w:val="2540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868DC"/>
    <w:multiLevelType w:val="hybridMultilevel"/>
    <w:tmpl w:val="FFFFFFFF"/>
    <w:lvl w:ilvl="0" w:tplc="126C38C6">
      <w:start w:val="1"/>
      <w:numFmt w:val="bullet"/>
      <w:lvlText w:val=""/>
      <w:lvlJc w:val="left"/>
      <w:pPr>
        <w:ind w:left="720" w:hanging="360"/>
      </w:pPr>
      <w:rPr>
        <w:rFonts w:ascii="Symbol" w:hAnsi="Symbol" w:hint="default"/>
      </w:rPr>
    </w:lvl>
    <w:lvl w:ilvl="1" w:tplc="68620142">
      <w:start w:val="1"/>
      <w:numFmt w:val="bullet"/>
      <w:lvlText w:val="o"/>
      <w:lvlJc w:val="left"/>
      <w:pPr>
        <w:ind w:left="1440" w:hanging="360"/>
      </w:pPr>
      <w:rPr>
        <w:rFonts w:ascii="Courier New" w:hAnsi="Courier New" w:hint="default"/>
      </w:rPr>
    </w:lvl>
    <w:lvl w:ilvl="2" w:tplc="95FEB5D0">
      <w:start w:val="1"/>
      <w:numFmt w:val="bullet"/>
      <w:lvlText w:val=""/>
      <w:lvlJc w:val="left"/>
      <w:pPr>
        <w:ind w:left="2160" w:hanging="360"/>
      </w:pPr>
      <w:rPr>
        <w:rFonts w:ascii="Wingdings" w:hAnsi="Wingdings" w:hint="default"/>
      </w:rPr>
    </w:lvl>
    <w:lvl w:ilvl="3" w:tplc="62B64428">
      <w:start w:val="1"/>
      <w:numFmt w:val="bullet"/>
      <w:lvlText w:val=""/>
      <w:lvlJc w:val="left"/>
      <w:pPr>
        <w:ind w:left="2880" w:hanging="360"/>
      </w:pPr>
      <w:rPr>
        <w:rFonts w:ascii="Symbol" w:hAnsi="Symbol" w:hint="default"/>
      </w:rPr>
    </w:lvl>
    <w:lvl w:ilvl="4" w:tplc="48207F0C">
      <w:start w:val="1"/>
      <w:numFmt w:val="bullet"/>
      <w:lvlText w:val="o"/>
      <w:lvlJc w:val="left"/>
      <w:pPr>
        <w:ind w:left="3600" w:hanging="360"/>
      </w:pPr>
      <w:rPr>
        <w:rFonts w:ascii="Courier New" w:hAnsi="Courier New" w:hint="default"/>
      </w:rPr>
    </w:lvl>
    <w:lvl w:ilvl="5" w:tplc="70780E3E">
      <w:start w:val="1"/>
      <w:numFmt w:val="bullet"/>
      <w:lvlText w:val=""/>
      <w:lvlJc w:val="left"/>
      <w:pPr>
        <w:ind w:left="4320" w:hanging="360"/>
      </w:pPr>
      <w:rPr>
        <w:rFonts w:ascii="Wingdings" w:hAnsi="Wingdings" w:hint="default"/>
      </w:rPr>
    </w:lvl>
    <w:lvl w:ilvl="6" w:tplc="A6524B46">
      <w:start w:val="1"/>
      <w:numFmt w:val="bullet"/>
      <w:lvlText w:val=""/>
      <w:lvlJc w:val="left"/>
      <w:pPr>
        <w:ind w:left="5040" w:hanging="360"/>
      </w:pPr>
      <w:rPr>
        <w:rFonts w:ascii="Symbol" w:hAnsi="Symbol" w:hint="default"/>
      </w:rPr>
    </w:lvl>
    <w:lvl w:ilvl="7" w:tplc="3704E35C">
      <w:start w:val="1"/>
      <w:numFmt w:val="bullet"/>
      <w:lvlText w:val="o"/>
      <w:lvlJc w:val="left"/>
      <w:pPr>
        <w:ind w:left="5760" w:hanging="360"/>
      </w:pPr>
      <w:rPr>
        <w:rFonts w:ascii="Courier New" w:hAnsi="Courier New" w:hint="default"/>
      </w:rPr>
    </w:lvl>
    <w:lvl w:ilvl="8" w:tplc="DE74C3B4">
      <w:start w:val="1"/>
      <w:numFmt w:val="bullet"/>
      <w:lvlText w:val=""/>
      <w:lvlJc w:val="left"/>
      <w:pPr>
        <w:ind w:left="6480" w:hanging="360"/>
      </w:pPr>
      <w:rPr>
        <w:rFonts w:ascii="Wingdings" w:hAnsi="Wingdings" w:hint="default"/>
      </w:rPr>
    </w:lvl>
  </w:abstractNum>
  <w:abstractNum w:abstractNumId="12" w15:restartNumberingAfterBreak="0">
    <w:nsid w:val="294C03F9"/>
    <w:multiLevelType w:val="hybridMultilevel"/>
    <w:tmpl w:val="CC4895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623917"/>
    <w:multiLevelType w:val="multilevel"/>
    <w:tmpl w:val="F30CA6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4B0126"/>
    <w:multiLevelType w:val="hybridMultilevel"/>
    <w:tmpl w:val="646C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D108A"/>
    <w:multiLevelType w:val="hybridMultilevel"/>
    <w:tmpl w:val="FFFFFFFF"/>
    <w:lvl w:ilvl="0" w:tplc="823A717E">
      <w:start w:val="1"/>
      <w:numFmt w:val="bullet"/>
      <w:lvlText w:val=""/>
      <w:lvlJc w:val="left"/>
      <w:pPr>
        <w:ind w:left="720" w:hanging="360"/>
      </w:pPr>
      <w:rPr>
        <w:rFonts w:ascii="Symbol" w:hAnsi="Symbol" w:hint="default"/>
      </w:rPr>
    </w:lvl>
    <w:lvl w:ilvl="1" w:tplc="62C6A358">
      <w:start w:val="1"/>
      <w:numFmt w:val="bullet"/>
      <w:lvlText w:val="o"/>
      <w:lvlJc w:val="left"/>
      <w:pPr>
        <w:ind w:left="1440" w:hanging="360"/>
      </w:pPr>
      <w:rPr>
        <w:rFonts w:ascii="Courier New" w:hAnsi="Courier New" w:hint="default"/>
      </w:rPr>
    </w:lvl>
    <w:lvl w:ilvl="2" w:tplc="1368EBD4">
      <w:start w:val="1"/>
      <w:numFmt w:val="bullet"/>
      <w:lvlText w:val=""/>
      <w:lvlJc w:val="left"/>
      <w:pPr>
        <w:ind w:left="2160" w:hanging="360"/>
      </w:pPr>
      <w:rPr>
        <w:rFonts w:ascii="Wingdings" w:hAnsi="Wingdings" w:hint="default"/>
      </w:rPr>
    </w:lvl>
    <w:lvl w:ilvl="3" w:tplc="BE486C44">
      <w:start w:val="1"/>
      <w:numFmt w:val="bullet"/>
      <w:lvlText w:val=""/>
      <w:lvlJc w:val="left"/>
      <w:pPr>
        <w:ind w:left="2880" w:hanging="360"/>
      </w:pPr>
      <w:rPr>
        <w:rFonts w:ascii="Symbol" w:hAnsi="Symbol" w:hint="default"/>
      </w:rPr>
    </w:lvl>
    <w:lvl w:ilvl="4" w:tplc="D90C500A">
      <w:start w:val="1"/>
      <w:numFmt w:val="bullet"/>
      <w:lvlText w:val="o"/>
      <w:lvlJc w:val="left"/>
      <w:pPr>
        <w:ind w:left="3600" w:hanging="360"/>
      </w:pPr>
      <w:rPr>
        <w:rFonts w:ascii="Courier New" w:hAnsi="Courier New" w:hint="default"/>
      </w:rPr>
    </w:lvl>
    <w:lvl w:ilvl="5" w:tplc="E77ABD38">
      <w:start w:val="1"/>
      <w:numFmt w:val="bullet"/>
      <w:lvlText w:val=""/>
      <w:lvlJc w:val="left"/>
      <w:pPr>
        <w:ind w:left="4320" w:hanging="360"/>
      </w:pPr>
      <w:rPr>
        <w:rFonts w:ascii="Wingdings" w:hAnsi="Wingdings" w:hint="default"/>
      </w:rPr>
    </w:lvl>
    <w:lvl w:ilvl="6" w:tplc="88CA4F0C">
      <w:start w:val="1"/>
      <w:numFmt w:val="bullet"/>
      <w:lvlText w:val=""/>
      <w:lvlJc w:val="left"/>
      <w:pPr>
        <w:ind w:left="5040" w:hanging="360"/>
      </w:pPr>
      <w:rPr>
        <w:rFonts w:ascii="Symbol" w:hAnsi="Symbol" w:hint="default"/>
      </w:rPr>
    </w:lvl>
    <w:lvl w:ilvl="7" w:tplc="EFA8C9D0">
      <w:start w:val="1"/>
      <w:numFmt w:val="bullet"/>
      <w:lvlText w:val="o"/>
      <w:lvlJc w:val="left"/>
      <w:pPr>
        <w:ind w:left="5760" w:hanging="360"/>
      </w:pPr>
      <w:rPr>
        <w:rFonts w:ascii="Courier New" w:hAnsi="Courier New" w:hint="default"/>
      </w:rPr>
    </w:lvl>
    <w:lvl w:ilvl="8" w:tplc="E186667E">
      <w:start w:val="1"/>
      <w:numFmt w:val="bullet"/>
      <w:lvlText w:val=""/>
      <w:lvlJc w:val="left"/>
      <w:pPr>
        <w:ind w:left="6480" w:hanging="360"/>
      </w:pPr>
      <w:rPr>
        <w:rFonts w:ascii="Wingdings" w:hAnsi="Wingdings" w:hint="default"/>
      </w:rPr>
    </w:lvl>
  </w:abstractNum>
  <w:abstractNum w:abstractNumId="16" w15:restartNumberingAfterBreak="0">
    <w:nsid w:val="2E5C44E1"/>
    <w:multiLevelType w:val="multilevel"/>
    <w:tmpl w:val="7208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91200"/>
    <w:multiLevelType w:val="multilevel"/>
    <w:tmpl w:val="7A9A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2395D"/>
    <w:multiLevelType w:val="hybridMultilevel"/>
    <w:tmpl w:val="C3FA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166BE"/>
    <w:multiLevelType w:val="hybridMultilevel"/>
    <w:tmpl w:val="B2D0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72465"/>
    <w:multiLevelType w:val="multilevel"/>
    <w:tmpl w:val="C90C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15583"/>
    <w:multiLevelType w:val="hybridMultilevel"/>
    <w:tmpl w:val="AF18C9A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2" w15:restartNumberingAfterBreak="0">
    <w:nsid w:val="46F84D7A"/>
    <w:multiLevelType w:val="hybridMultilevel"/>
    <w:tmpl w:val="196E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06859"/>
    <w:multiLevelType w:val="multilevel"/>
    <w:tmpl w:val="D84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0C4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50A2C9B"/>
    <w:multiLevelType w:val="multilevel"/>
    <w:tmpl w:val="F00C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408F0"/>
    <w:multiLevelType w:val="hybridMultilevel"/>
    <w:tmpl w:val="3AAC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C2ECD"/>
    <w:multiLevelType w:val="hybridMultilevel"/>
    <w:tmpl w:val="78C6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26D20"/>
    <w:multiLevelType w:val="hybridMultilevel"/>
    <w:tmpl w:val="381621C4"/>
    <w:lvl w:ilvl="0" w:tplc="C088DD8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6F5884"/>
    <w:multiLevelType w:val="hybridMultilevel"/>
    <w:tmpl w:val="24F0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80053C"/>
    <w:multiLevelType w:val="hybridMultilevel"/>
    <w:tmpl w:val="F274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C193F"/>
    <w:multiLevelType w:val="hybridMultilevel"/>
    <w:tmpl w:val="CF0A33EA"/>
    <w:lvl w:ilvl="0" w:tplc="08E0FB28">
      <w:numFmt w:val="bullet"/>
      <w:lvlText w:val="•"/>
      <w:lvlJc w:val="left"/>
      <w:pPr>
        <w:ind w:left="3600" w:hanging="720"/>
      </w:pPr>
      <w:rPr>
        <w:rFonts w:ascii="Arial" w:eastAsiaTheme="minorHAns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2" w15:restartNumberingAfterBreak="0">
    <w:nsid w:val="663961E3"/>
    <w:multiLevelType w:val="hybridMultilevel"/>
    <w:tmpl w:val="DBE0A800"/>
    <w:lvl w:ilvl="0" w:tplc="65E0B9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406F5"/>
    <w:multiLevelType w:val="hybridMultilevel"/>
    <w:tmpl w:val="1652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325F4"/>
    <w:multiLevelType w:val="hybridMultilevel"/>
    <w:tmpl w:val="8F9A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A4EC7"/>
    <w:multiLevelType w:val="multilevel"/>
    <w:tmpl w:val="BFFE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4B650F"/>
    <w:multiLevelType w:val="hybridMultilevel"/>
    <w:tmpl w:val="596CDF14"/>
    <w:lvl w:ilvl="0" w:tplc="65E0B9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B793C"/>
    <w:multiLevelType w:val="hybridMultilevel"/>
    <w:tmpl w:val="F63AC21C"/>
    <w:lvl w:ilvl="0" w:tplc="1DDE342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F131B8"/>
    <w:multiLevelType w:val="multilevel"/>
    <w:tmpl w:val="160E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2C679D"/>
    <w:multiLevelType w:val="hybridMultilevel"/>
    <w:tmpl w:val="6A523EF6"/>
    <w:lvl w:ilvl="0" w:tplc="1DDE342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A6E70"/>
    <w:multiLevelType w:val="hybridMultilevel"/>
    <w:tmpl w:val="08B42208"/>
    <w:lvl w:ilvl="0" w:tplc="08E0FB2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839287">
    <w:abstractNumId w:val="15"/>
  </w:num>
  <w:num w:numId="2" w16cid:durableId="1799639231">
    <w:abstractNumId w:val="11"/>
  </w:num>
  <w:num w:numId="3" w16cid:durableId="1947228787">
    <w:abstractNumId w:val="9"/>
  </w:num>
  <w:num w:numId="4" w16cid:durableId="1554271007">
    <w:abstractNumId w:val="37"/>
  </w:num>
  <w:num w:numId="5" w16cid:durableId="53622038">
    <w:abstractNumId w:val="8"/>
  </w:num>
  <w:num w:numId="6" w16cid:durableId="1973052254">
    <w:abstractNumId w:val="12"/>
  </w:num>
  <w:num w:numId="7" w16cid:durableId="803161573">
    <w:abstractNumId w:val="39"/>
  </w:num>
  <w:num w:numId="8" w16cid:durableId="1901165442">
    <w:abstractNumId w:val="17"/>
  </w:num>
  <w:num w:numId="9" w16cid:durableId="1075470162">
    <w:abstractNumId w:val="1"/>
  </w:num>
  <w:num w:numId="10" w16cid:durableId="997461921">
    <w:abstractNumId w:val="2"/>
  </w:num>
  <w:num w:numId="11" w16cid:durableId="1214193663">
    <w:abstractNumId w:val="3"/>
  </w:num>
  <w:num w:numId="12" w16cid:durableId="1968078444">
    <w:abstractNumId w:val="19"/>
  </w:num>
  <w:num w:numId="13" w16cid:durableId="805856068">
    <w:abstractNumId w:val="38"/>
  </w:num>
  <w:num w:numId="14" w16cid:durableId="1524631704">
    <w:abstractNumId w:val="13"/>
  </w:num>
  <w:num w:numId="15" w16cid:durableId="1827281619">
    <w:abstractNumId w:val="20"/>
  </w:num>
  <w:num w:numId="16" w16cid:durableId="1269578144">
    <w:abstractNumId w:val="34"/>
  </w:num>
  <w:num w:numId="17" w16cid:durableId="1001204223">
    <w:abstractNumId w:val="28"/>
  </w:num>
  <w:num w:numId="18" w16cid:durableId="1839420408">
    <w:abstractNumId w:val="4"/>
  </w:num>
  <w:num w:numId="19" w16cid:durableId="1910653634">
    <w:abstractNumId w:val="21"/>
  </w:num>
  <w:num w:numId="20" w16cid:durableId="1988168930">
    <w:abstractNumId w:val="30"/>
  </w:num>
  <w:num w:numId="21" w16cid:durableId="10760617">
    <w:abstractNumId w:val="33"/>
  </w:num>
  <w:num w:numId="22" w16cid:durableId="477694737">
    <w:abstractNumId w:val="22"/>
  </w:num>
  <w:num w:numId="23" w16cid:durableId="1278175278">
    <w:abstractNumId w:val="31"/>
  </w:num>
  <w:num w:numId="24" w16cid:durableId="1578705762">
    <w:abstractNumId w:val="6"/>
  </w:num>
  <w:num w:numId="25" w16cid:durableId="1924340561">
    <w:abstractNumId w:val="14"/>
  </w:num>
  <w:num w:numId="26" w16cid:durableId="171334362">
    <w:abstractNumId w:val="32"/>
  </w:num>
  <w:num w:numId="27" w16cid:durableId="72971211">
    <w:abstractNumId w:val="36"/>
  </w:num>
  <w:num w:numId="28" w16cid:durableId="1741251370">
    <w:abstractNumId w:val="24"/>
  </w:num>
  <w:num w:numId="29" w16cid:durableId="1409303988">
    <w:abstractNumId w:val="27"/>
  </w:num>
  <w:num w:numId="30" w16cid:durableId="396904014">
    <w:abstractNumId w:val="29"/>
  </w:num>
  <w:num w:numId="31" w16cid:durableId="545600488">
    <w:abstractNumId w:val="40"/>
  </w:num>
  <w:num w:numId="32" w16cid:durableId="761144811">
    <w:abstractNumId w:val="23"/>
  </w:num>
  <w:num w:numId="33" w16cid:durableId="346105228">
    <w:abstractNumId w:val="10"/>
  </w:num>
  <w:num w:numId="34" w16cid:durableId="677078283">
    <w:abstractNumId w:val="7"/>
  </w:num>
  <w:num w:numId="35" w16cid:durableId="1469545208">
    <w:abstractNumId w:val="26"/>
  </w:num>
  <w:num w:numId="36" w16cid:durableId="339963989">
    <w:abstractNumId w:val="18"/>
  </w:num>
  <w:num w:numId="37" w16cid:durableId="410661684">
    <w:abstractNumId w:val="0"/>
  </w:num>
  <w:num w:numId="38" w16cid:durableId="1366905000">
    <w:abstractNumId w:val="16"/>
  </w:num>
  <w:num w:numId="39" w16cid:durableId="1317613400">
    <w:abstractNumId w:val="35"/>
  </w:num>
  <w:num w:numId="40" w16cid:durableId="280915702">
    <w:abstractNumId w:val="25"/>
  </w:num>
  <w:num w:numId="41" w16cid:durableId="32923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45"/>
    <w:rsid w:val="0000317B"/>
    <w:rsid w:val="00005AB5"/>
    <w:rsid w:val="00005EA4"/>
    <w:rsid w:val="00005FF5"/>
    <w:rsid w:val="00007887"/>
    <w:rsid w:val="00007CF6"/>
    <w:rsid w:val="00007ED6"/>
    <w:rsid w:val="00010A3B"/>
    <w:rsid w:val="00011014"/>
    <w:rsid w:val="0001331A"/>
    <w:rsid w:val="000178AA"/>
    <w:rsid w:val="00020628"/>
    <w:rsid w:val="00020CE6"/>
    <w:rsid w:val="00020D9E"/>
    <w:rsid w:val="000228A5"/>
    <w:rsid w:val="000271F4"/>
    <w:rsid w:val="00027D8F"/>
    <w:rsid w:val="00030756"/>
    <w:rsid w:val="00031871"/>
    <w:rsid w:val="0003241A"/>
    <w:rsid w:val="00032551"/>
    <w:rsid w:val="000344B6"/>
    <w:rsid w:val="0003508E"/>
    <w:rsid w:val="00036F11"/>
    <w:rsid w:val="00037E1E"/>
    <w:rsid w:val="00045905"/>
    <w:rsid w:val="0004701D"/>
    <w:rsid w:val="00050C31"/>
    <w:rsid w:val="00051C86"/>
    <w:rsid w:val="0005352C"/>
    <w:rsid w:val="00053A4C"/>
    <w:rsid w:val="000569A7"/>
    <w:rsid w:val="000613F8"/>
    <w:rsid w:val="00061886"/>
    <w:rsid w:val="000621A7"/>
    <w:rsid w:val="000626BC"/>
    <w:rsid w:val="000660B2"/>
    <w:rsid w:val="0006722B"/>
    <w:rsid w:val="00071282"/>
    <w:rsid w:val="000722D7"/>
    <w:rsid w:val="00077D90"/>
    <w:rsid w:val="00080040"/>
    <w:rsid w:val="00080B35"/>
    <w:rsid w:val="0008370A"/>
    <w:rsid w:val="00085187"/>
    <w:rsid w:val="0008521A"/>
    <w:rsid w:val="00090DB4"/>
    <w:rsid w:val="00091845"/>
    <w:rsid w:val="00091921"/>
    <w:rsid w:val="00092B97"/>
    <w:rsid w:val="000A582D"/>
    <w:rsid w:val="000B11CA"/>
    <w:rsid w:val="000B1511"/>
    <w:rsid w:val="000B33F0"/>
    <w:rsid w:val="000B41F9"/>
    <w:rsid w:val="000B6B83"/>
    <w:rsid w:val="000C0896"/>
    <w:rsid w:val="000C1082"/>
    <w:rsid w:val="000C3A5B"/>
    <w:rsid w:val="000C7709"/>
    <w:rsid w:val="000D2311"/>
    <w:rsid w:val="000D3792"/>
    <w:rsid w:val="000D542B"/>
    <w:rsid w:val="000D69D8"/>
    <w:rsid w:val="000E2CE5"/>
    <w:rsid w:val="000E4F57"/>
    <w:rsid w:val="000E5042"/>
    <w:rsid w:val="000E6079"/>
    <w:rsid w:val="000F109D"/>
    <w:rsid w:val="000F3284"/>
    <w:rsid w:val="00101BD7"/>
    <w:rsid w:val="001089C2"/>
    <w:rsid w:val="00115B9A"/>
    <w:rsid w:val="00123EB4"/>
    <w:rsid w:val="00124386"/>
    <w:rsid w:val="0012537A"/>
    <w:rsid w:val="00127A5C"/>
    <w:rsid w:val="001304CD"/>
    <w:rsid w:val="00132382"/>
    <w:rsid w:val="00132841"/>
    <w:rsid w:val="00134EE4"/>
    <w:rsid w:val="00136509"/>
    <w:rsid w:val="00136C2F"/>
    <w:rsid w:val="00141991"/>
    <w:rsid w:val="00150C42"/>
    <w:rsid w:val="00150FF7"/>
    <w:rsid w:val="00151945"/>
    <w:rsid w:val="00151AA7"/>
    <w:rsid w:val="00151BF1"/>
    <w:rsid w:val="00154811"/>
    <w:rsid w:val="0015712E"/>
    <w:rsid w:val="00157502"/>
    <w:rsid w:val="00163C41"/>
    <w:rsid w:val="00167578"/>
    <w:rsid w:val="0017223D"/>
    <w:rsid w:val="00175AD3"/>
    <w:rsid w:val="001774A7"/>
    <w:rsid w:val="00177B01"/>
    <w:rsid w:val="0018046D"/>
    <w:rsid w:val="00183245"/>
    <w:rsid w:val="0018442C"/>
    <w:rsid w:val="00184DB1"/>
    <w:rsid w:val="001853C6"/>
    <w:rsid w:val="0018763D"/>
    <w:rsid w:val="00187DED"/>
    <w:rsid w:val="001939CB"/>
    <w:rsid w:val="00194B72"/>
    <w:rsid w:val="001970AB"/>
    <w:rsid w:val="001A0492"/>
    <w:rsid w:val="001A1587"/>
    <w:rsid w:val="001B2060"/>
    <w:rsid w:val="001B3935"/>
    <w:rsid w:val="001B74D4"/>
    <w:rsid w:val="001B75F1"/>
    <w:rsid w:val="001B7812"/>
    <w:rsid w:val="001C0187"/>
    <w:rsid w:val="001C0A2D"/>
    <w:rsid w:val="001C33C6"/>
    <w:rsid w:val="001D4C80"/>
    <w:rsid w:val="001D58DC"/>
    <w:rsid w:val="001D60FB"/>
    <w:rsid w:val="001E1AD4"/>
    <w:rsid w:val="001E28E5"/>
    <w:rsid w:val="001E32F1"/>
    <w:rsid w:val="001E4208"/>
    <w:rsid w:val="001E49BD"/>
    <w:rsid w:val="001E7BE9"/>
    <w:rsid w:val="001E7C26"/>
    <w:rsid w:val="001F2C53"/>
    <w:rsid w:val="001F4231"/>
    <w:rsid w:val="001F7403"/>
    <w:rsid w:val="001F7BB3"/>
    <w:rsid w:val="00200B37"/>
    <w:rsid w:val="00201879"/>
    <w:rsid w:val="002022CE"/>
    <w:rsid w:val="00206C23"/>
    <w:rsid w:val="00207F7A"/>
    <w:rsid w:val="002132B7"/>
    <w:rsid w:val="00213A4E"/>
    <w:rsid w:val="002159B4"/>
    <w:rsid w:val="00223467"/>
    <w:rsid w:val="002235A4"/>
    <w:rsid w:val="00226363"/>
    <w:rsid w:val="00227B6C"/>
    <w:rsid w:val="0023065D"/>
    <w:rsid w:val="00235950"/>
    <w:rsid w:val="00241C85"/>
    <w:rsid w:val="00242DFE"/>
    <w:rsid w:val="00247716"/>
    <w:rsid w:val="00250144"/>
    <w:rsid w:val="002505D7"/>
    <w:rsid w:val="00251729"/>
    <w:rsid w:val="00252EDC"/>
    <w:rsid w:val="00255912"/>
    <w:rsid w:val="00260196"/>
    <w:rsid w:val="002706B5"/>
    <w:rsid w:val="00272673"/>
    <w:rsid w:val="00272B49"/>
    <w:rsid w:val="00276AB8"/>
    <w:rsid w:val="00280942"/>
    <w:rsid w:val="002819A8"/>
    <w:rsid w:val="00283DD1"/>
    <w:rsid w:val="00286AE9"/>
    <w:rsid w:val="002922AE"/>
    <w:rsid w:val="00292AB9"/>
    <w:rsid w:val="00292CE8"/>
    <w:rsid w:val="00295B77"/>
    <w:rsid w:val="00296373"/>
    <w:rsid w:val="002A0D95"/>
    <w:rsid w:val="002A28E3"/>
    <w:rsid w:val="002A6D51"/>
    <w:rsid w:val="002B3C22"/>
    <w:rsid w:val="002B40FF"/>
    <w:rsid w:val="002B5FE5"/>
    <w:rsid w:val="002B7E1B"/>
    <w:rsid w:val="002C48A6"/>
    <w:rsid w:val="002C55EE"/>
    <w:rsid w:val="002D35C9"/>
    <w:rsid w:val="002D3D20"/>
    <w:rsid w:val="002D67E0"/>
    <w:rsid w:val="002E3FF6"/>
    <w:rsid w:val="002E4177"/>
    <w:rsid w:val="002E6416"/>
    <w:rsid w:val="002F18EB"/>
    <w:rsid w:val="002F462C"/>
    <w:rsid w:val="002F5391"/>
    <w:rsid w:val="002F560A"/>
    <w:rsid w:val="00300D10"/>
    <w:rsid w:val="003011F6"/>
    <w:rsid w:val="003019BD"/>
    <w:rsid w:val="00302B7F"/>
    <w:rsid w:val="003044FC"/>
    <w:rsid w:val="00306221"/>
    <w:rsid w:val="00311048"/>
    <w:rsid w:val="00312D39"/>
    <w:rsid w:val="003205B8"/>
    <w:rsid w:val="00320A2E"/>
    <w:rsid w:val="00321FD8"/>
    <w:rsid w:val="00323200"/>
    <w:rsid w:val="00330AD9"/>
    <w:rsid w:val="003318C9"/>
    <w:rsid w:val="00331A48"/>
    <w:rsid w:val="00333073"/>
    <w:rsid w:val="00333DE4"/>
    <w:rsid w:val="003348F9"/>
    <w:rsid w:val="003349EA"/>
    <w:rsid w:val="00340809"/>
    <w:rsid w:val="00341503"/>
    <w:rsid w:val="00343AC9"/>
    <w:rsid w:val="00343E91"/>
    <w:rsid w:val="003534DB"/>
    <w:rsid w:val="00353BB0"/>
    <w:rsid w:val="00360710"/>
    <w:rsid w:val="003614CC"/>
    <w:rsid w:val="00365320"/>
    <w:rsid w:val="003659B0"/>
    <w:rsid w:val="003720BC"/>
    <w:rsid w:val="00373B0D"/>
    <w:rsid w:val="0037462F"/>
    <w:rsid w:val="0037598D"/>
    <w:rsid w:val="0037657C"/>
    <w:rsid w:val="0038214A"/>
    <w:rsid w:val="003858FA"/>
    <w:rsid w:val="003875A5"/>
    <w:rsid w:val="00394085"/>
    <w:rsid w:val="00394179"/>
    <w:rsid w:val="003A0C3C"/>
    <w:rsid w:val="003A11A7"/>
    <w:rsid w:val="003AC180"/>
    <w:rsid w:val="003B3330"/>
    <w:rsid w:val="003C15D2"/>
    <w:rsid w:val="003C1601"/>
    <w:rsid w:val="003C73AE"/>
    <w:rsid w:val="003D0144"/>
    <w:rsid w:val="003D28D2"/>
    <w:rsid w:val="003D2C08"/>
    <w:rsid w:val="003E1D59"/>
    <w:rsid w:val="003E26BA"/>
    <w:rsid w:val="003E2ACC"/>
    <w:rsid w:val="003E4E56"/>
    <w:rsid w:val="003E4E6D"/>
    <w:rsid w:val="003E5140"/>
    <w:rsid w:val="003F1588"/>
    <w:rsid w:val="003F2CE9"/>
    <w:rsid w:val="003F32AB"/>
    <w:rsid w:val="003F4B35"/>
    <w:rsid w:val="004012CA"/>
    <w:rsid w:val="0040285B"/>
    <w:rsid w:val="004037C8"/>
    <w:rsid w:val="00403C30"/>
    <w:rsid w:val="00406F60"/>
    <w:rsid w:val="00407B7C"/>
    <w:rsid w:val="00413083"/>
    <w:rsid w:val="00415759"/>
    <w:rsid w:val="004227C5"/>
    <w:rsid w:val="00423DA4"/>
    <w:rsid w:val="004252FC"/>
    <w:rsid w:val="00427128"/>
    <w:rsid w:val="00427DD5"/>
    <w:rsid w:val="00427E12"/>
    <w:rsid w:val="00430B10"/>
    <w:rsid w:val="00431941"/>
    <w:rsid w:val="00431D21"/>
    <w:rsid w:val="0043418C"/>
    <w:rsid w:val="004358E9"/>
    <w:rsid w:val="00435BEF"/>
    <w:rsid w:val="00435FF8"/>
    <w:rsid w:val="00436AEE"/>
    <w:rsid w:val="00437B03"/>
    <w:rsid w:val="00442C39"/>
    <w:rsid w:val="00453966"/>
    <w:rsid w:val="004571B9"/>
    <w:rsid w:val="00461934"/>
    <w:rsid w:val="00461E9B"/>
    <w:rsid w:val="00463A45"/>
    <w:rsid w:val="00463B36"/>
    <w:rsid w:val="00466282"/>
    <w:rsid w:val="00466D63"/>
    <w:rsid w:val="00467ED1"/>
    <w:rsid w:val="004734DA"/>
    <w:rsid w:val="0047385A"/>
    <w:rsid w:val="00474882"/>
    <w:rsid w:val="004768A4"/>
    <w:rsid w:val="004805C2"/>
    <w:rsid w:val="0048285D"/>
    <w:rsid w:val="00482A26"/>
    <w:rsid w:val="00483FA0"/>
    <w:rsid w:val="00484E1D"/>
    <w:rsid w:val="00485A92"/>
    <w:rsid w:val="00486353"/>
    <w:rsid w:val="0048677E"/>
    <w:rsid w:val="004900B8"/>
    <w:rsid w:val="00490DE0"/>
    <w:rsid w:val="00493355"/>
    <w:rsid w:val="00495C9A"/>
    <w:rsid w:val="004A38A8"/>
    <w:rsid w:val="004A49BB"/>
    <w:rsid w:val="004A49CC"/>
    <w:rsid w:val="004A631A"/>
    <w:rsid w:val="004B10D5"/>
    <w:rsid w:val="004B4672"/>
    <w:rsid w:val="004C5CA4"/>
    <w:rsid w:val="004C6265"/>
    <w:rsid w:val="004D0401"/>
    <w:rsid w:val="004D3507"/>
    <w:rsid w:val="004D3785"/>
    <w:rsid w:val="004D4449"/>
    <w:rsid w:val="004D4467"/>
    <w:rsid w:val="004D791C"/>
    <w:rsid w:val="004E393A"/>
    <w:rsid w:val="004F5794"/>
    <w:rsid w:val="004F5C7A"/>
    <w:rsid w:val="004F5E99"/>
    <w:rsid w:val="0050063E"/>
    <w:rsid w:val="00503013"/>
    <w:rsid w:val="00503047"/>
    <w:rsid w:val="00504548"/>
    <w:rsid w:val="0050533D"/>
    <w:rsid w:val="00505544"/>
    <w:rsid w:val="005067E2"/>
    <w:rsid w:val="00510DEA"/>
    <w:rsid w:val="005126ED"/>
    <w:rsid w:val="005130F9"/>
    <w:rsid w:val="005144E8"/>
    <w:rsid w:val="005173AF"/>
    <w:rsid w:val="00517493"/>
    <w:rsid w:val="00520496"/>
    <w:rsid w:val="00521AA5"/>
    <w:rsid w:val="005221A6"/>
    <w:rsid w:val="005243FC"/>
    <w:rsid w:val="00524D8C"/>
    <w:rsid w:val="00525286"/>
    <w:rsid w:val="0052548D"/>
    <w:rsid w:val="00526B57"/>
    <w:rsid w:val="00526E60"/>
    <w:rsid w:val="00527739"/>
    <w:rsid w:val="00532512"/>
    <w:rsid w:val="00532BCB"/>
    <w:rsid w:val="00532F02"/>
    <w:rsid w:val="00533EE4"/>
    <w:rsid w:val="00534927"/>
    <w:rsid w:val="00534C2E"/>
    <w:rsid w:val="00535CF1"/>
    <w:rsid w:val="005360DC"/>
    <w:rsid w:val="005366DB"/>
    <w:rsid w:val="00537C23"/>
    <w:rsid w:val="00540692"/>
    <w:rsid w:val="00543BC5"/>
    <w:rsid w:val="005502B6"/>
    <w:rsid w:val="00557C52"/>
    <w:rsid w:val="00557DD0"/>
    <w:rsid w:val="00560098"/>
    <w:rsid w:val="005605B7"/>
    <w:rsid w:val="00560A64"/>
    <w:rsid w:val="00564DB4"/>
    <w:rsid w:val="00565EF6"/>
    <w:rsid w:val="00566F1F"/>
    <w:rsid w:val="00567757"/>
    <w:rsid w:val="005714A7"/>
    <w:rsid w:val="0057311D"/>
    <w:rsid w:val="00575561"/>
    <w:rsid w:val="00575BAD"/>
    <w:rsid w:val="00581E15"/>
    <w:rsid w:val="00585397"/>
    <w:rsid w:val="00587847"/>
    <w:rsid w:val="00587F35"/>
    <w:rsid w:val="00590369"/>
    <w:rsid w:val="00592968"/>
    <w:rsid w:val="005971F0"/>
    <w:rsid w:val="005A5810"/>
    <w:rsid w:val="005A5C05"/>
    <w:rsid w:val="005B2DE5"/>
    <w:rsid w:val="005B43DD"/>
    <w:rsid w:val="005B5455"/>
    <w:rsid w:val="005B5519"/>
    <w:rsid w:val="005C187D"/>
    <w:rsid w:val="005C18A2"/>
    <w:rsid w:val="005C22C0"/>
    <w:rsid w:val="005C2895"/>
    <w:rsid w:val="005C44B4"/>
    <w:rsid w:val="005C4679"/>
    <w:rsid w:val="005C5109"/>
    <w:rsid w:val="005C7E39"/>
    <w:rsid w:val="005D04F5"/>
    <w:rsid w:val="005D0E42"/>
    <w:rsid w:val="005D1AAC"/>
    <w:rsid w:val="005D26B5"/>
    <w:rsid w:val="005D2968"/>
    <w:rsid w:val="005D2C5C"/>
    <w:rsid w:val="005D477F"/>
    <w:rsid w:val="005D4B73"/>
    <w:rsid w:val="005D6A32"/>
    <w:rsid w:val="005E434F"/>
    <w:rsid w:val="005E5732"/>
    <w:rsid w:val="005F0285"/>
    <w:rsid w:val="005F4B29"/>
    <w:rsid w:val="006004B2"/>
    <w:rsid w:val="0060433F"/>
    <w:rsid w:val="00606967"/>
    <w:rsid w:val="00606CA3"/>
    <w:rsid w:val="006072C3"/>
    <w:rsid w:val="006119AF"/>
    <w:rsid w:val="00616D91"/>
    <w:rsid w:val="006252CE"/>
    <w:rsid w:val="00625CCA"/>
    <w:rsid w:val="00625FAF"/>
    <w:rsid w:val="00630F5A"/>
    <w:rsid w:val="00631F2C"/>
    <w:rsid w:val="006475BB"/>
    <w:rsid w:val="006611C0"/>
    <w:rsid w:val="00665FDD"/>
    <w:rsid w:val="00666525"/>
    <w:rsid w:val="0067155E"/>
    <w:rsid w:val="00671704"/>
    <w:rsid w:val="00674C09"/>
    <w:rsid w:val="006754EA"/>
    <w:rsid w:val="00675E07"/>
    <w:rsid w:val="0068335D"/>
    <w:rsid w:val="00684626"/>
    <w:rsid w:val="006907B7"/>
    <w:rsid w:val="00692ADD"/>
    <w:rsid w:val="006955E8"/>
    <w:rsid w:val="00695939"/>
    <w:rsid w:val="00696C1E"/>
    <w:rsid w:val="00697C5A"/>
    <w:rsid w:val="006A270F"/>
    <w:rsid w:val="006A35D1"/>
    <w:rsid w:val="006A4ABA"/>
    <w:rsid w:val="006A5671"/>
    <w:rsid w:val="006A6A80"/>
    <w:rsid w:val="006A7160"/>
    <w:rsid w:val="006B022C"/>
    <w:rsid w:val="006B0FC8"/>
    <w:rsid w:val="006B6D85"/>
    <w:rsid w:val="006B736A"/>
    <w:rsid w:val="006C4A08"/>
    <w:rsid w:val="006C557B"/>
    <w:rsid w:val="006C55D1"/>
    <w:rsid w:val="006C7695"/>
    <w:rsid w:val="006D0B4E"/>
    <w:rsid w:val="006D79CD"/>
    <w:rsid w:val="006E1C3A"/>
    <w:rsid w:val="006E6D6D"/>
    <w:rsid w:val="006F0E2F"/>
    <w:rsid w:val="006F29CD"/>
    <w:rsid w:val="006F5FA4"/>
    <w:rsid w:val="006F6E77"/>
    <w:rsid w:val="0070120A"/>
    <w:rsid w:val="00701A65"/>
    <w:rsid w:val="007045AD"/>
    <w:rsid w:val="0071346D"/>
    <w:rsid w:val="0071416D"/>
    <w:rsid w:val="00715E54"/>
    <w:rsid w:val="007165EC"/>
    <w:rsid w:val="00721973"/>
    <w:rsid w:val="007221A0"/>
    <w:rsid w:val="00723687"/>
    <w:rsid w:val="007249A3"/>
    <w:rsid w:val="0073193A"/>
    <w:rsid w:val="007421AE"/>
    <w:rsid w:val="00742E67"/>
    <w:rsid w:val="00744308"/>
    <w:rsid w:val="00745C17"/>
    <w:rsid w:val="00746146"/>
    <w:rsid w:val="007524ED"/>
    <w:rsid w:val="00752CE6"/>
    <w:rsid w:val="00755CB7"/>
    <w:rsid w:val="00757F2C"/>
    <w:rsid w:val="00762289"/>
    <w:rsid w:val="00763EE7"/>
    <w:rsid w:val="00771D51"/>
    <w:rsid w:val="00772CA7"/>
    <w:rsid w:val="007736D8"/>
    <w:rsid w:val="00776942"/>
    <w:rsid w:val="0077776B"/>
    <w:rsid w:val="00782EB1"/>
    <w:rsid w:val="00784DA5"/>
    <w:rsid w:val="00786597"/>
    <w:rsid w:val="0078744D"/>
    <w:rsid w:val="00791591"/>
    <w:rsid w:val="0079236A"/>
    <w:rsid w:val="007956C8"/>
    <w:rsid w:val="00797041"/>
    <w:rsid w:val="00797B68"/>
    <w:rsid w:val="007A3891"/>
    <w:rsid w:val="007A4D03"/>
    <w:rsid w:val="007B0E6E"/>
    <w:rsid w:val="007B1584"/>
    <w:rsid w:val="007B39C1"/>
    <w:rsid w:val="007B70C0"/>
    <w:rsid w:val="007C6301"/>
    <w:rsid w:val="007C68DE"/>
    <w:rsid w:val="007C791F"/>
    <w:rsid w:val="007D04B3"/>
    <w:rsid w:val="007D2937"/>
    <w:rsid w:val="007D3843"/>
    <w:rsid w:val="007D568B"/>
    <w:rsid w:val="007D6228"/>
    <w:rsid w:val="007D798C"/>
    <w:rsid w:val="007E4FC9"/>
    <w:rsid w:val="007E6FC1"/>
    <w:rsid w:val="007F0239"/>
    <w:rsid w:val="007F2113"/>
    <w:rsid w:val="007F28B8"/>
    <w:rsid w:val="00801553"/>
    <w:rsid w:val="00801D22"/>
    <w:rsid w:val="00802D2A"/>
    <w:rsid w:val="0080341E"/>
    <w:rsid w:val="00806D8C"/>
    <w:rsid w:val="0081064E"/>
    <w:rsid w:val="00814C23"/>
    <w:rsid w:val="00815200"/>
    <w:rsid w:val="00820AEA"/>
    <w:rsid w:val="00822D3D"/>
    <w:rsid w:val="00825DC6"/>
    <w:rsid w:val="008268E3"/>
    <w:rsid w:val="008277EB"/>
    <w:rsid w:val="00830253"/>
    <w:rsid w:val="00830CF8"/>
    <w:rsid w:val="00832935"/>
    <w:rsid w:val="008335F8"/>
    <w:rsid w:val="00833856"/>
    <w:rsid w:val="008339C3"/>
    <w:rsid w:val="00836A8D"/>
    <w:rsid w:val="00843678"/>
    <w:rsid w:val="00853737"/>
    <w:rsid w:val="008561DA"/>
    <w:rsid w:val="0085725E"/>
    <w:rsid w:val="0085781D"/>
    <w:rsid w:val="00860FA3"/>
    <w:rsid w:val="00861FED"/>
    <w:rsid w:val="008642BD"/>
    <w:rsid w:val="00870994"/>
    <w:rsid w:val="00871734"/>
    <w:rsid w:val="0087330D"/>
    <w:rsid w:val="00874F63"/>
    <w:rsid w:val="008759A7"/>
    <w:rsid w:val="0088103E"/>
    <w:rsid w:val="00882024"/>
    <w:rsid w:val="00882910"/>
    <w:rsid w:val="0088351E"/>
    <w:rsid w:val="00883723"/>
    <w:rsid w:val="008863E0"/>
    <w:rsid w:val="0089285C"/>
    <w:rsid w:val="00892C73"/>
    <w:rsid w:val="0089545A"/>
    <w:rsid w:val="008968A0"/>
    <w:rsid w:val="008972DA"/>
    <w:rsid w:val="008978DF"/>
    <w:rsid w:val="008A1A7D"/>
    <w:rsid w:val="008A5D8D"/>
    <w:rsid w:val="008A6BEE"/>
    <w:rsid w:val="008B04B6"/>
    <w:rsid w:val="008B175A"/>
    <w:rsid w:val="008B4C44"/>
    <w:rsid w:val="008B4E4A"/>
    <w:rsid w:val="008D0104"/>
    <w:rsid w:val="008D06BB"/>
    <w:rsid w:val="008D0982"/>
    <w:rsid w:val="008D35E1"/>
    <w:rsid w:val="008D527E"/>
    <w:rsid w:val="008D646E"/>
    <w:rsid w:val="008E0B8F"/>
    <w:rsid w:val="008E29E4"/>
    <w:rsid w:val="008E310E"/>
    <w:rsid w:val="008E5493"/>
    <w:rsid w:val="008E5AE8"/>
    <w:rsid w:val="008F2286"/>
    <w:rsid w:val="008F477B"/>
    <w:rsid w:val="00901CF6"/>
    <w:rsid w:val="009060A5"/>
    <w:rsid w:val="00907586"/>
    <w:rsid w:val="009144C5"/>
    <w:rsid w:val="00917873"/>
    <w:rsid w:val="009206AF"/>
    <w:rsid w:val="009252B0"/>
    <w:rsid w:val="0092589A"/>
    <w:rsid w:val="00927AF4"/>
    <w:rsid w:val="00930671"/>
    <w:rsid w:val="009308D7"/>
    <w:rsid w:val="009338CE"/>
    <w:rsid w:val="00936658"/>
    <w:rsid w:val="00937DA5"/>
    <w:rsid w:val="00940F13"/>
    <w:rsid w:val="00942311"/>
    <w:rsid w:val="009436CE"/>
    <w:rsid w:val="009456C3"/>
    <w:rsid w:val="00945D69"/>
    <w:rsid w:val="00946216"/>
    <w:rsid w:val="00946A3D"/>
    <w:rsid w:val="00946A62"/>
    <w:rsid w:val="00951889"/>
    <w:rsid w:val="00951894"/>
    <w:rsid w:val="00954A34"/>
    <w:rsid w:val="0095610E"/>
    <w:rsid w:val="00956B3F"/>
    <w:rsid w:val="0095735D"/>
    <w:rsid w:val="009605AF"/>
    <w:rsid w:val="00960919"/>
    <w:rsid w:val="009638BE"/>
    <w:rsid w:val="0097344A"/>
    <w:rsid w:val="009743C8"/>
    <w:rsid w:val="00976DDF"/>
    <w:rsid w:val="009774B4"/>
    <w:rsid w:val="00977C05"/>
    <w:rsid w:val="00977FA9"/>
    <w:rsid w:val="00980292"/>
    <w:rsid w:val="009833A6"/>
    <w:rsid w:val="0098766B"/>
    <w:rsid w:val="00987CB0"/>
    <w:rsid w:val="00993363"/>
    <w:rsid w:val="009933F7"/>
    <w:rsid w:val="00994580"/>
    <w:rsid w:val="009A04C6"/>
    <w:rsid w:val="009A158B"/>
    <w:rsid w:val="009A30CE"/>
    <w:rsid w:val="009A648B"/>
    <w:rsid w:val="009A75F2"/>
    <w:rsid w:val="009B6471"/>
    <w:rsid w:val="009B7B0D"/>
    <w:rsid w:val="009C0640"/>
    <w:rsid w:val="009C30C7"/>
    <w:rsid w:val="009D0E06"/>
    <w:rsid w:val="009D5A7F"/>
    <w:rsid w:val="009D68DC"/>
    <w:rsid w:val="009D7481"/>
    <w:rsid w:val="009E6223"/>
    <w:rsid w:val="009E6BBB"/>
    <w:rsid w:val="009F0B16"/>
    <w:rsid w:val="009F10B6"/>
    <w:rsid w:val="009F1DBF"/>
    <w:rsid w:val="009F38DA"/>
    <w:rsid w:val="009F528E"/>
    <w:rsid w:val="009F59F6"/>
    <w:rsid w:val="00A003A1"/>
    <w:rsid w:val="00A01B95"/>
    <w:rsid w:val="00A044AF"/>
    <w:rsid w:val="00A050D9"/>
    <w:rsid w:val="00A05F6E"/>
    <w:rsid w:val="00A07236"/>
    <w:rsid w:val="00A07283"/>
    <w:rsid w:val="00A11B6F"/>
    <w:rsid w:val="00A12204"/>
    <w:rsid w:val="00A12742"/>
    <w:rsid w:val="00A12BCB"/>
    <w:rsid w:val="00A238D5"/>
    <w:rsid w:val="00A2396C"/>
    <w:rsid w:val="00A239EA"/>
    <w:rsid w:val="00A26053"/>
    <w:rsid w:val="00A26158"/>
    <w:rsid w:val="00A3109C"/>
    <w:rsid w:val="00A33097"/>
    <w:rsid w:val="00A35EB8"/>
    <w:rsid w:val="00A3759B"/>
    <w:rsid w:val="00A44ECC"/>
    <w:rsid w:val="00A5183E"/>
    <w:rsid w:val="00A54121"/>
    <w:rsid w:val="00A54CED"/>
    <w:rsid w:val="00A551CA"/>
    <w:rsid w:val="00A560AD"/>
    <w:rsid w:val="00A62EF3"/>
    <w:rsid w:val="00A6745C"/>
    <w:rsid w:val="00A74E9A"/>
    <w:rsid w:val="00A769BC"/>
    <w:rsid w:val="00A87FB9"/>
    <w:rsid w:val="00A905A6"/>
    <w:rsid w:val="00A939E9"/>
    <w:rsid w:val="00A94B19"/>
    <w:rsid w:val="00A95A47"/>
    <w:rsid w:val="00A95B11"/>
    <w:rsid w:val="00A968C2"/>
    <w:rsid w:val="00AA0EA7"/>
    <w:rsid w:val="00AA2EF0"/>
    <w:rsid w:val="00AB15D5"/>
    <w:rsid w:val="00AB1C0E"/>
    <w:rsid w:val="00AC0769"/>
    <w:rsid w:val="00AD167E"/>
    <w:rsid w:val="00AD22AB"/>
    <w:rsid w:val="00AD3AC3"/>
    <w:rsid w:val="00AE372B"/>
    <w:rsid w:val="00AE58F7"/>
    <w:rsid w:val="00AE77E8"/>
    <w:rsid w:val="00AF2790"/>
    <w:rsid w:val="00AF5ADA"/>
    <w:rsid w:val="00AF6668"/>
    <w:rsid w:val="00B00C0C"/>
    <w:rsid w:val="00B01685"/>
    <w:rsid w:val="00B03928"/>
    <w:rsid w:val="00B0493E"/>
    <w:rsid w:val="00B05258"/>
    <w:rsid w:val="00B06574"/>
    <w:rsid w:val="00B06A4B"/>
    <w:rsid w:val="00B072B6"/>
    <w:rsid w:val="00B118A8"/>
    <w:rsid w:val="00B12D01"/>
    <w:rsid w:val="00B14CFE"/>
    <w:rsid w:val="00B15F5B"/>
    <w:rsid w:val="00B17FD8"/>
    <w:rsid w:val="00B20B9D"/>
    <w:rsid w:val="00B30581"/>
    <w:rsid w:val="00B37040"/>
    <w:rsid w:val="00B418A3"/>
    <w:rsid w:val="00B43ABA"/>
    <w:rsid w:val="00B4555C"/>
    <w:rsid w:val="00B46C62"/>
    <w:rsid w:val="00B4757B"/>
    <w:rsid w:val="00B577CA"/>
    <w:rsid w:val="00B63258"/>
    <w:rsid w:val="00B63FD0"/>
    <w:rsid w:val="00B64AD2"/>
    <w:rsid w:val="00B64D61"/>
    <w:rsid w:val="00B65F5A"/>
    <w:rsid w:val="00B67C6A"/>
    <w:rsid w:val="00B71211"/>
    <w:rsid w:val="00B716E9"/>
    <w:rsid w:val="00B74785"/>
    <w:rsid w:val="00B764FE"/>
    <w:rsid w:val="00B804B4"/>
    <w:rsid w:val="00B8155D"/>
    <w:rsid w:val="00B82B83"/>
    <w:rsid w:val="00B9270E"/>
    <w:rsid w:val="00B9292E"/>
    <w:rsid w:val="00B96C3E"/>
    <w:rsid w:val="00BA2452"/>
    <w:rsid w:val="00BB1656"/>
    <w:rsid w:val="00BB19DF"/>
    <w:rsid w:val="00BB1DFE"/>
    <w:rsid w:val="00BB2639"/>
    <w:rsid w:val="00BB5E1A"/>
    <w:rsid w:val="00BC005A"/>
    <w:rsid w:val="00BC10F1"/>
    <w:rsid w:val="00BC3A46"/>
    <w:rsid w:val="00BC4A45"/>
    <w:rsid w:val="00BD36FE"/>
    <w:rsid w:val="00BD403A"/>
    <w:rsid w:val="00BD665A"/>
    <w:rsid w:val="00BE30A6"/>
    <w:rsid w:val="00BE54AD"/>
    <w:rsid w:val="00BF05ED"/>
    <w:rsid w:val="00BF15CC"/>
    <w:rsid w:val="00BF4058"/>
    <w:rsid w:val="00BF6826"/>
    <w:rsid w:val="00BF783A"/>
    <w:rsid w:val="00C05482"/>
    <w:rsid w:val="00C06C6B"/>
    <w:rsid w:val="00C107C1"/>
    <w:rsid w:val="00C10B4C"/>
    <w:rsid w:val="00C133EE"/>
    <w:rsid w:val="00C16CCB"/>
    <w:rsid w:val="00C16EA8"/>
    <w:rsid w:val="00C17120"/>
    <w:rsid w:val="00C1748C"/>
    <w:rsid w:val="00C208AF"/>
    <w:rsid w:val="00C211D5"/>
    <w:rsid w:val="00C233F9"/>
    <w:rsid w:val="00C30B7A"/>
    <w:rsid w:val="00C3403D"/>
    <w:rsid w:val="00C40EAF"/>
    <w:rsid w:val="00C42063"/>
    <w:rsid w:val="00C44003"/>
    <w:rsid w:val="00C44E44"/>
    <w:rsid w:val="00C45ED9"/>
    <w:rsid w:val="00C51730"/>
    <w:rsid w:val="00C54B52"/>
    <w:rsid w:val="00C61C0B"/>
    <w:rsid w:val="00C63DD9"/>
    <w:rsid w:val="00C67E7F"/>
    <w:rsid w:val="00C67F3A"/>
    <w:rsid w:val="00C76B36"/>
    <w:rsid w:val="00C77080"/>
    <w:rsid w:val="00C82367"/>
    <w:rsid w:val="00C82A3D"/>
    <w:rsid w:val="00C874E0"/>
    <w:rsid w:val="00C8759B"/>
    <w:rsid w:val="00C87ABA"/>
    <w:rsid w:val="00C9049C"/>
    <w:rsid w:val="00C9288E"/>
    <w:rsid w:val="00C93CE7"/>
    <w:rsid w:val="00C966C1"/>
    <w:rsid w:val="00C96F69"/>
    <w:rsid w:val="00C976B7"/>
    <w:rsid w:val="00C97ED1"/>
    <w:rsid w:val="00CA2CEF"/>
    <w:rsid w:val="00CA3C5F"/>
    <w:rsid w:val="00CA4241"/>
    <w:rsid w:val="00CA55E3"/>
    <w:rsid w:val="00CA7736"/>
    <w:rsid w:val="00CB0B19"/>
    <w:rsid w:val="00CB0D4B"/>
    <w:rsid w:val="00CB1A4C"/>
    <w:rsid w:val="00CB3728"/>
    <w:rsid w:val="00CB72A0"/>
    <w:rsid w:val="00CC60F5"/>
    <w:rsid w:val="00CD1D40"/>
    <w:rsid w:val="00CD3A2B"/>
    <w:rsid w:val="00CD43BD"/>
    <w:rsid w:val="00CD6A58"/>
    <w:rsid w:val="00CE304B"/>
    <w:rsid w:val="00CE575F"/>
    <w:rsid w:val="00CE7BDE"/>
    <w:rsid w:val="00CF1BFE"/>
    <w:rsid w:val="00CF638D"/>
    <w:rsid w:val="00CF71B4"/>
    <w:rsid w:val="00D01411"/>
    <w:rsid w:val="00D02085"/>
    <w:rsid w:val="00D02585"/>
    <w:rsid w:val="00D0265C"/>
    <w:rsid w:val="00D0558B"/>
    <w:rsid w:val="00D11038"/>
    <w:rsid w:val="00D17C48"/>
    <w:rsid w:val="00D20008"/>
    <w:rsid w:val="00D20288"/>
    <w:rsid w:val="00D23848"/>
    <w:rsid w:val="00D2615E"/>
    <w:rsid w:val="00D30D2C"/>
    <w:rsid w:val="00D35A8D"/>
    <w:rsid w:val="00D40146"/>
    <w:rsid w:val="00D43F89"/>
    <w:rsid w:val="00D54262"/>
    <w:rsid w:val="00D55DD6"/>
    <w:rsid w:val="00D6223B"/>
    <w:rsid w:val="00D64399"/>
    <w:rsid w:val="00D644D3"/>
    <w:rsid w:val="00D677EF"/>
    <w:rsid w:val="00D714BA"/>
    <w:rsid w:val="00D71765"/>
    <w:rsid w:val="00D74415"/>
    <w:rsid w:val="00D76AC6"/>
    <w:rsid w:val="00D82EAD"/>
    <w:rsid w:val="00D84AA4"/>
    <w:rsid w:val="00D910DA"/>
    <w:rsid w:val="00D921DB"/>
    <w:rsid w:val="00D936D7"/>
    <w:rsid w:val="00D93808"/>
    <w:rsid w:val="00D94933"/>
    <w:rsid w:val="00D964E6"/>
    <w:rsid w:val="00D96F8B"/>
    <w:rsid w:val="00D9761A"/>
    <w:rsid w:val="00DA21B6"/>
    <w:rsid w:val="00DA64D9"/>
    <w:rsid w:val="00DA707B"/>
    <w:rsid w:val="00DB45C9"/>
    <w:rsid w:val="00DB6A4C"/>
    <w:rsid w:val="00DB6F7E"/>
    <w:rsid w:val="00DB76AA"/>
    <w:rsid w:val="00DC124D"/>
    <w:rsid w:val="00DC142F"/>
    <w:rsid w:val="00DC45E5"/>
    <w:rsid w:val="00DC513F"/>
    <w:rsid w:val="00DC5556"/>
    <w:rsid w:val="00DC747E"/>
    <w:rsid w:val="00DD4939"/>
    <w:rsid w:val="00DD538C"/>
    <w:rsid w:val="00DD6978"/>
    <w:rsid w:val="00DD7859"/>
    <w:rsid w:val="00DD7F34"/>
    <w:rsid w:val="00DE187C"/>
    <w:rsid w:val="00DE1D9C"/>
    <w:rsid w:val="00DE2599"/>
    <w:rsid w:val="00DE2F0D"/>
    <w:rsid w:val="00DE3727"/>
    <w:rsid w:val="00DE3F8C"/>
    <w:rsid w:val="00DE68E2"/>
    <w:rsid w:val="00DF20A4"/>
    <w:rsid w:val="00DF3439"/>
    <w:rsid w:val="00E006D6"/>
    <w:rsid w:val="00E00835"/>
    <w:rsid w:val="00E03BE0"/>
    <w:rsid w:val="00E04A31"/>
    <w:rsid w:val="00E07D2D"/>
    <w:rsid w:val="00E11721"/>
    <w:rsid w:val="00E119D4"/>
    <w:rsid w:val="00E16B2E"/>
    <w:rsid w:val="00E16DF1"/>
    <w:rsid w:val="00E17D3A"/>
    <w:rsid w:val="00E21DD4"/>
    <w:rsid w:val="00E23014"/>
    <w:rsid w:val="00E2465E"/>
    <w:rsid w:val="00E24E5A"/>
    <w:rsid w:val="00E25089"/>
    <w:rsid w:val="00E25239"/>
    <w:rsid w:val="00E26EC2"/>
    <w:rsid w:val="00E32F4C"/>
    <w:rsid w:val="00E42394"/>
    <w:rsid w:val="00E42C4F"/>
    <w:rsid w:val="00E43431"/>
    <w:rsid w:val="00E447DE"/>
    <w:rsid w:val="00E45BA6"/>
    <w:rsid w:val="00E461DE"/>
    <w:rsid w:val="00E4682A"/>
    <w:rsid w:val="00E4742F"/>
    <w:rsid w:val="00E51A92"/>
    <w:rsid w:val="00E52780"/>
    <w:rsid w:val="00E5505C"/>
    <w:rsid w:val="00E61096"/>
    <w:rsid w:val="00E616D0"/>
    <w:rsid w:val="00E617A7"/>
    <w:rsid w:val="00E6226E"/>
    <w:rsid w:val="00E63F92"/>
    <w:rsid w:val="00E64216"/>
    <w:rsid w:val="00E676B3"/>
    <w:rsid w:val="00E72A72"/>
    <w:rsid w:val="00E73F74"/>
    <w:rsid w:val="00E75AA9"/>
    <w:rsid w:val="00E769C6"/>
    <w:rsid w:val="00E76CD5"/>
    <w:rsid w:val="00E77992"/>
    <w:rsid w:val="00E853DD"/>
    <w:rsid w:val="00E865C3"/>
    <w:rsid w:val="00E86ED6"/>
    <w:rsid w:val="00E91757"/>
    <w:rsid w:val="00E94DC8"/>
    <w:rsid w:val="00E95B08"/>
    <w:rsid w:val="00E972E6"/>
    <w:rsid w:val="00EA1CCC"/>
    <w:rsid w:val="00EB0A19"/>
    <w:rsid w:val="00EB4200"/>
    <w:rsid w:val="00EB4957"/>
    <w:rsid w:val="00EC0982"/>
    <w:rsid w:val="00EC0A23"/>
    <w:rsid w:val="00EC18B0"/>
    <w:rsid w:val="00EC5DEF"/>
    <w:rsid w:val="00ED0E8F"/>
    <w:rsid w:val="00ED30F2"/>
    <w:rsid w:val="00EE192D"/>
    <w:rsid w:val="00EE23C9"/>
    <w:rsid w:val="00EE394C"/>
    <w:rsid w:val="00EF22C5"/>
    <w:rsid w:val="00EF3935"/>
    <w:rsid w:val="00EF4EAA"/>
    <w:rsid w:val="00EF6A49"/>
    <w:rsid w:val="00F01E93"/>
    <w:rsid w:val="00F02673"/>
    <w:rsid w:val="00F03056"/>
    <w:rsid w:val="00F0420F"/>
    <w:rsid w:val="00F05796"/>
    <w:rsid w:val="00F11083"/>
    <w:rsid w:val="00F118BC"/>
    <w:rsid w:val="00F11C90"/>
    <w:rsid w:val="00F13025"/>
    <w:rsid w:val="00F1696E"/>
    <w:rsid w:val="00F2687B"/>
    <w:rsid w:val="00F2752A"/>
    <w:rsid w:val="00F34C94"/>
    <w:rsid w:val="00F3506A"/>
    <w:rsid w:val="00F3B48D"/>
    <w:rsid w:val="00F415A8"/>
    <w:rsid w:val="00F4446B"/>
    <w:rsid w:val="00F52319"/>
    <w:rsid w:val="00F54535"/>
    <w:rsid w:val="00F55893"/>
    <w:rsid w:val="00F606C3"/>
    <w:rsid w:val="00F621F8"/>
    <w:rsid w:val="00F62BED"/>
    <w:rsid w:val="00F64519"/>
    <w:rsid w:val="00F656C2"/>
    <w:rsid w:val="00F71897"/>
    <w:rsid w:val="00F739F1"/>
    <w:rsid w:val="00F7553D"/>
    <w:rsid w:val="00F755C0"/>
    <w:rsid w:val="00F75B2C"/>
    <w:rsid w:val="00F83344"/>
    <w:rsid w:val="00F83A0C"/>
    <w:rsid w:val="00F84C42"/>
    <w:rsid w:val="00F87ED1"/>
    <w:rsid w:val="00F91DD6"/>
    <w:rsid w:val="00F92F5A"/>
    <w:rsid w:val="00F9349C"/>
    <w:rsid w:val="00F94544"/>
    <w:rsid w:val="00F96090"/>
    <w:rsid w:val="00F97A82"/>
    <w:rsid w:val="00FA26E7"/>
    <w:rsid w:val="00FA780E"/>
    <w:rsid w:val="00FB201B"/>
    <w:rsid w:val="00FB2141"/>
    <w:rsid w:val="00FB3D86"/>
    <w:rsid w:val="00FB6244"/>
    <w:rsid w:val="00FB671F"/>
    <w:rsid w:val="00FB71BA"/>
    <w:rsid w:val="00FC15CC"/>
    <w:rsid w:val="00FC32D3"/>
    <w:rsid w:val="00FC6831"/>
    <w:rsid w:val="00FD636E"/>
    <w:rsid w:val="00FE18A2"/>
    <w:rsid w:val="00FE57D4"/>
    <w:rsid w:val="00FE7579"/>
    <w:rsid w:val="00FF1EB6"/>
    <w:rsid w:val="00FF29BB"/>
    <w:rsid w:val="00FF3199"/>
    <w:rsid w:val="00FF377E"/>
    <w:rsid w:val="00FF3D28"/>
    <w:rsid w:val="00FF4D38"/>
    <w:rsid w:val="00FF653C"/>
    <w:rsid w:val="0109D1C3"/>
    <w:rsid w:val="012F197C"/>
    <w:rsid w:val="01629C4B"/>
    <w:rsid w:val="016C2FB8"/>
    <w:rsid w:val="01782C5B"/>
    <w:rsid w:val="01788F1C"/>
    <w:rsid w:val="021169DB"/>
    <w:rsid w:val="021EBF9D"/>
    <w:rsid w:val="0240E828"/>
    <w:rsid w:val="0255B7E3"/>
    <w:rsid w:val="0266BD3B"/>
    <w:rsid w:val="02A1ED82"/>
    <w:rsid w:val="02B3BF32"/>
    <w:rsid w:val="02B45AAC"/>
    <w:rsid w:val="02E97B95"/>
    <w:rsid w:val="02EF32E9"/>
    <w:rsid w:val="02EF958E"/>
    <w:rsid w:val="02F37A30"/>
    <w:rsid w:val="03369FB8"/>
    <w:rsid w:val="0342DAE8"/>
    <w:rsid w:val="034B3AF3"/>
    <w:rsid w:val="03987390"/>
    <w:rsid w:val="03C3F7B0"/>
    <w:rsid w:val="03D12410"/>
    <w:rsid w:val="03E283E3"/>
    <w:rsid w:val="040C9EB6"/>
    <w:rsid w:val="04196D31"/>
    <w:rsid w:val="0425213B"/>
    <w:rsid w:val="042A9912"/>
    <w:rsid w:val="043F6B65"/>
    <w:rsid w:val="0460F3AD"/>
    <w:rsid w:val="048CC509"/>
    <w:rsid w:val="04CB6CD6"/>
    <w:rsid w:val="0516B532"/>
    <w:rsid w:val="051D86D8"/>
    <w:rsid w:val="0530FCBD"/>
    <w:rsid w:val="0540F87A"/>
    <w:rsid w:val="05A18D21"/>
    <w:rsid w:val="05A9BA7F"/>
    <w:rsid w:val="05B40C74"/>
    <w:rsid w:val="05DF4510"/>
    <w:rsid w:val="05F5D36F"/>
    <w:rsid w:val="05F79EE0"/>
    <w:rsid w:val="05F83C17"/>
    <w:rsid w:val="05FBF82F"/>
    <w:rsid w:val="0615AD3E"/>
    <w:rsid w:val="0615FB79"/>
    <w:rsid w:val="06225EA2"/>
    <w:rsid w:val="06433871"/>
    <w:rsid w:val="0643648C"/>
    <w:rsid w:val="066CB2A9"/>
    <w:rsid w:val="0695009D"/>
    <w:rsid w:val="06961E26"/>
    <w:rsid w:val="069EB901"/>
    <w:rsid w:val="06A1E75D"/>
    <w:rsid w:val="06BFE556"/>
    <w:rsid w:val="06C81A5E"/>
    <w:rsid w:val="06CFD361"/>
    <w:rsid w:val="077EB8BC"/>
    <w:rsid w:val="079A2E25"/>
    <w:rsid w:val="079AE6DA"/>
    <w:rsid w:val="079E073C"/>
    <w:rsid w:val="07A1A2C1"/>
    <w:rsid w:val="07B0B530"/>
    <w:rsid w:val="07D14003"/>
    <w:rsid w:val="07DEBE76"/>
    <w:rsid w:val="07EEE6A5"/>
    <w:rsid w:val="07F92D3F"/>
    <w:rsid w:val="0806C0AB"/>
    <w:rsid w:val="0879B981"/>
    <w:rsid w:val="0884719F"/>
    <w:rsid w:val="089A6524"/>
    <w:rsid w:val="089E2303"/>
    <w:rsid w:val="08B828BE"/>
    <w:rsid w:val="08B94709"/>
    <w:rsid w:val="08C4CFE1"/>
    <w:rsid w:val="08CA1AB0"/>
    <w:rsid w:val="08CB969B"/>
    <w:rsid w:val="08D31035"/>
    <w:rsid w:val="09335D34"/>
    <w:rsid w:val="09341554"/>
    <w:rsid w:val="0948E88C"/>
    <w:rsid w:val="097B89BF"/>
    <w:rsid w:val="0984E6BD"/>
    <w:rsid w:val="0996A05F"/>
    <w:rsid w:val="09976606"/>
    <w:rsid w:val="09991CFC"/>
    <w:rsid w:val="099D361C"/>
    <w:rsid w:val="09AF1B54"/>
    <w:rsid w:val="09B15666"/>
    <w:rsid w:val="09B97050"/>
    <w:rsid w:val="09BF598E"/>
    <w:rsid w:val="09C25942"/>
    <w:rsid w:val="09C43858"/>
    <w:rsid w:val="0A04DB8D"/>
    <w:rsid w:val="0A253780"/>
    <w:rsid w:val="0A41E5D5"/>
    <w:rsid w:val="0A49F4B3"/>
    <w:rsid w:val="0A736AAD"/>
    <w:rsid w:val="0A982459"/>
    <w:rsid w:val="0A9EA234"/>
    <w:rsid w:val="0AD07336"/>
    <w:rsid w:val="0AD8D9C4"/>
    <w:rsid w:val="0AFEDE44"/>
    <w:rsid w:val="0B196A71"/>
    <w:rsid w:val="0B239A02"/>
    <w:rsid w:val="0B471DA4"/>
    <w:rsid w:val="0B5C6A6F"/>
    <w:rsid w:val="0B6070ED"/>
    <w:rsid w:val="0B917E27"/>
    <w:rsid w:val="0C01AEFD"/>
    <w:rsid w:val="0C0E5297"/>
    <w:rsid w:val="0C0F375C"/>
    <w:rsid w:val="0C0FCEB2"/>
    <w:rsid w:val="0C3EA0B8"/>
    <w:rsid w:val="0C6FC4E4"/>
    <w:rsid w:val="0C9AAEA5"/>
    <w:rsid w:val="0CA97F32"/>
    <w:rsid w:val="0CF3B993"/>
    <w:rsid w:val="0D1A46BA"/>
    <w:rsid w:val="0D5B1855"/>
    <w:rsid w:val="0D60A1DF"/>
    <w:rsid w:val="0D7E76C9"/>
    <w:rsid w:val="0D8D54A9"/>
    <w:rsid w:val="0DB25CD4"/>
    <w:rsid w:val="0DB983D8"/>
    <w:rsid w:val="0DC9AA09"/>
    <w:rsid w:val="0E0EE995"/>
    <w:rsid w:val="0E16C24B"/>
    <w:rsid w:val="0E1DD6E8"/>
    <w:rsid w:val="0E320FE0"/>
    <w:rsid w:val="0E567FD1"/>
    <w:rsid w:val="0E590700"/>
    <w:rsid w:val="0E5926BF"/>
    <w:rsid w:val="0E603ACF"/>
    <w:rsid w:val="0E70F6B7"/>
    <w:rsid w:val="0EA418C1"/>
    <w:rsid w:val="0EA632E2"/>
    <w:rsid w:val="0F0774E3"/>
    <w:rsid w:val="0F180212"/>
    <w:rsid w:val="0F48E1F8"/>
    <w:rsid w:val="0F51CD68"/>
    <w:rsid w:val="0F609AAA"/>
    <w:rsid w:val="0F68DA99"/>
    <w:rsid w:val="0F752AAD"/>
    <w:rsid w:val="0F878DCF"/>
    <w:rsid w:val="0F964B75"/>
    <w:rsid w:val="0FA64FDE"/>
    <w:rsid w:val="0FAADFCD"/>
    <w:rsid w:val="0FC5E3BC"/>
    <w:rsid w:val="0FF5FD3A"/>
    <w:rsid w:val="0FFF4F04"/>
    <w:rsid w:val="1010959E"/>
    <w:rsid w:val="102F3FC3"/>
    <w:rsid w:val="103BEDD7"/>
    <w:rsid w:val="109AFFDD"/>
    <w:rsid w:val="10A4F214"/>
    <w:rsid w:val="10B6524E"/>
    <w:rsid w:val="10B73008"/>
    <w:rsid w:val="10E90080"/>
    <w:rsid w:val="10EEA850"/>
    <w:rsid w:val="10FB7537"/>
    <w:rsid w:val="1134EC99"/>
    <w:rsid w:val="113E6F19"/>
    <w:rsid w:val="11521FB4"/>
    <w:rsid w:val="117CF055"/>
    <w:rsid w:val="11BDF2EE"/>
    <w:rsid w:val="11BFFE95"/>
    <w:rsid w:val="11EAEDCF"/>
    <w:rsid w:val="1212C6F9"/>
    <w:rsid w:val="122E56D3"/>
    <w:rsid w:val="12406B47"/>
    <w:rsid w:val="126816D5"/>
    <w:rsid w:val="126E32F6"/>
    <w:rsid w:val="12BE603C"/>
    <w:rsid w:val="12C2CA57"/>
    <w:rsid w:val="12D95577"/>
    <w:rsid w:val="12EF2B2E"/>
    <w:rsid w:val="12F92BAD"/>
    <w:rsid w:val="13483660"/>
    <w:rsid w:val="13533B63"/>
    <w:rsid w:val="135500FD"/>
    <w:rsid w:val="139DC1C4"/>
    <w:rsid w:val="13BDC4F0"/>
    <w:rsid w:val="13D08719"/>
    <w:rsid w:val="13D5EEF8"/>
    <w:rsid w:val="13F01AE2"/>
    <w:rsid w:val="13FF526A"/>
    <w:rsid w:val="142343FD"/>
    <w:rsid w:val="14255F84"/>
    <w:rsid w:val="142AD37C"/>
    <w:rsid w:val="1432B0F7"/>
    <w:rsid w:val="143D7C6B"/>
    <w:rsid w:val="14706ABD"/>
    <w:rsid w:val="149C279C"/>
    <w:rsid w:val="14B8F49A"/>
    <w:rsid w:val="14D9216A"/>
    <w:rsid w:val="14F084EA"/>
    <w:rsid w:val="1501A27F"/>
    <w:rsid w:val="15128628"/>
    <w:rsid w:val="152F07F8"/>
    <w:rsid w:val="1535A0C4"/>
    <w:rsid w:val="15461CD4"/>
    <w:rsid w:val="1552D93F"/>
    <w:rsid w:val="157D8369"/>
    <w:rsid w:val="158BE932"/>
    <w:rsid w:val="159FB797"/>
    <w:rsid w:val="15DFE3C8"/>
    <w:rsid w:val="15E73140"/>
    <w:rsid w:val="16109433"/>
    <w:rsid w:val="16145FD2"/>
    <w:rsid w:val="161F25CB"/>
    <w:rsid w:val="16951ED3"/>
    <w:rsid w:val="16AEB3D2"/>
    <w:rsid w:val="16C5AFB8"/>
    <w:rsid w:val="16EA13BA"/>
    <w:rsid w:val="16ECCF18"/>
    <w:rsid w:val="17791BDD"/>
    <w:rsid w:val="179665B5"/>
    <w:rsid w:val="17DD614C"/>
    <w:rsid w:val="17E4AA21"/>
    <w:rsid w:val="17FCB114"/>
    <w:rsid w:val="1829FD62"/>
    <w:rsid w:val="183A81AC"/>
    <w:rsid w:val="18466E11"/>
    <w:rsid w:val="18483980"/>
    <w:rsid w:val="185063EA"/>
    <w:rsid w:val="18901A74"/>
    <w:rsid w:val="18AE4281"/>
    <w:rsid w:val="18C5866E"/>
    <w:rsid w:val="18CD42C9"/>
    <w:rsid w:val="18FF6C91"/>
    <w:rsid w:val="19312053"/>
    <w:rsid w:val="196A6025"/>
    <w:rsid w:val="1990CFDF"/>
    <w:rsid w:val="19B52726"/>
    <w:rsid w:val="19C78E7C"/>
    <w:rsid w:val="19CE5E11"/>
    <w:rsid w:val="19EC9321"/>
    <w:rsid w:val="1A03E70E"/>
    <w:rsid w:val="1A351E70"/>
    <w:rsid w:val="1A3E5A9B"/>
    <w:rsid w:val="1A69D99C"/>
    <w:rsid w:val="1A6E328A"/>
    <w:rsid w:val="1A9B504E"/>
    <w:rsid w:val="1AD6BAED"/>
    <w:rsid w:val="1B011FE5"/>
    <w:rsid w:val="1B5924E2"/>
    <w:rsid w:val="1B9B3535"/>
    <w:rsid w:val="1BA86E68"/>
    <w:rsid w:val="1BEA63D8"/>
    <w:rsid w:val="1BF6612D"/>
    <w:rsid w:val="1C018A0D"/>
    <w:rsid w:val="1C02EFA5"/>
    <w:rsid w:val="1C0A4120"/>
    <w:rsid w:val="1C2C0326"/>
    <w:rsid w:val="1C370D53"/>
    <w:rsid w:val="1C53D34B"/>
    <w:rsid w:val="1C70F68C"/>
    <w:rsid w:val="1D0C6AFE"/>
    <w:rsid w:val="1D260237"/>
    <w:rsid w:val="1D4B5FD8"/>
    <w:rsid w:val="1D77D236"/>
    <w:rsid w:val="1D873634"/>
    <w:rsid w:val="1D8EE713"/>
    <w:rsid w:val="1DA280EC"/>
    <w:rsid w:val="1DED3DBE"/>
    <w:rsid w:val="1E236D64"/>
    <w:rsid w:val="1E3FA3D5"/>
    <w:rsid w:val="1E45AE04"/>
    <w:rsid w:val="1E53EBA5"/>
    <w:rsid w:val="1E7061DA"/>
    <w:rsid w:val="1EB0487A"/>
    <w:rsid w:val="1EC77553"/>
    <w:rsid w:val="1ED6F0F5"/>
    <w:rsid w:val="1F2B8AA0"/>
    <w:rsid w:val="1F2DB8B2"/>
    <w:rsid w:val="1F56D103"/>
    <w:rsid w:val="1F63FC49"/>
    <w:rsid w:val="1F697C51"/>
    <w:rsid w:val="1F9505AB"/>
    <w:rsid w:val="1FB2A6D9"/>
    <w:rsid w:val="1FB3B0E6"/>
    <w:rsid w:val="1FC75661"/>
    <w:rsid w:val="1FDF6CA4"/>
    <w:rsid w:val="1FE17E65"/>
    <w:rsid w:val="201E2900"/>
    <w:rsid w:val="20412774"/>
    <w:rsid w:val="2074819D"/>
    <w:rsid w:val="2076A470"/>
    <w:rsid w:val="2097EEF3"/>
    <w:rsid w:val="20A09D1F"/>
    <w:rsid w:val="20CFEF8A"/>
    <w:rsid w:val="20D07000"/>
    <w:rsid w:val="20E38427"/>
    <w:rsid w:val="20FD310D"/>
    <w:rsid w:val="20FF862F"/>
    <w:rsid w:val="2104EDC4"/>
    <w:rsid w:val="210A7E76"/>
    <w:rsid w:val="2117110F"/>
    <w:rsid w:val="212C6905"/>
    <w:rsid w:val="214360FA"/>
    <w:rsid w:val="217440E0"/>
    <w:rsid w:val="21C5DE80"/>
    <w:rsid w:val="21D00FF5"/>
    <w:rsid w:val="21EAF70B"/>
    <w:rsid w:val="21FFF606"/>
    <w:rsid w:val="22173290"/>
    <w:rsid w:val="225976C5"/>
    <w:rsid w:val="225C3E3B"/>
    <w:rsid w:val="22674C35"/>
    <w:rsid w:val="2273D47F"/>
    <w:rsid w:val="22A74124"/>
    <w:rsid w:val="22C94DE4"/>
    <w:rsid w:val="22CB4E39"/>
    <w:rsid w:val="22E0705D"/>
    <w:rsid w:val="22EF992A"/>
    <w:rsid w:val="22F15E00"/>
    <w:rsid w:val="23115C68"/>
    <w:rsid w:val="233D2F73"/>
    <w:rsid w:val="23551DEC"/>
    <w:rsid w:val="235FE180"/>
    <w:rsid w:val="2361AEE1"/>
    <w:rsid w:val="236584D7"/>
    <w:rsid w:val="237F846F"/>
    <w:rsid w:val="238171B8"/>
    <w:rsid w:val="238C1A68"/>
    <w:rsid w:val="23AA6218"/>
    <w:rsid w:val="23BAE4E4"/>
    <w:rsid w:val="23FBC761"/>
    <w:rsid w:val="241D2228"/>
    <w:rsid w:val="245742D4"/>
    <w:rsid w:val="246CF183"/>
    <w:rsid w:val="2481C6FB"/>
    <w:rsid w:val="24862D5D"/>
    <w:rsid w:val="248CB490"/>
    <w:rsid w:val="24C06C95"/>
    <w:rsid w:val="24D69CAA"/>
    <w:rsid w:val="24D89FA4"/>
    <w:rsid w:val="24DAFEFC"/>
    <w:rsid w:val="25060E4C"/>
    <w:rsid w:val="25109031"/>
    <w:rsid w:val="25361EB5"/>
    <w:rsid w:val="2556B545"/>
    <w:rsid w:val="257011DD"/>
    <w:rsid w:val="25704E87"/>
    <w:rsid w:val="257BD130"/>
    <w:rsid w:val="2588B434"/>
    <w:rsid w:val="25B5FE39"/>
    <w:rsid w:val="25B7F02C"/>
    <w:rsid w:val="25EA38B1"/>
    <w:rsid w:val="2622B066"/>
    <w:rsid w:val="263C17A2"/>
    <w:rsid w:val="264D5DE0"/>
    <w:rsid w:val="26729C7B"/>
    <w:rsid w:val="26DD2926"/>
    <w:rsid w:val="2717A191"/>
    <w:rsid w:val="272CF59A"/>
    <w:rsid w:val="279550F9"/>
    <w:rsid w:val="27B8FADC"/>
    <w:rsid w:val="283281C9"/>
    <w:rsid w:val="283AAFB9"/>
    <w:rsid w:val="284CDB97"/>
    <w:rsid w:val="2856A6F9"/>
    <w:rsid w:val="2857F01D"/>
    <w:rsid w:val="287E4B9C"/>
    <w:rsid w:val="288E091A"/>
    <w:rsid w:val="28977C33"/>
    <w:rsid w:val="28A6499E"/>
    <w:rsid w:val="28A9BC7C"/>
    <w:rsid w:val="28AB0950"/>
    <w:rsid w:val="28C72AE0"/>
    <w:rsid w:val="2924DE75"/>
    <w:rsid w:val="295E29FB"/>
    <w:rsid w:val="2962C31F"/>
    <w:rsid w:val="2963BC40"/>
    <w:rsid w:val="2980BE7F"/>
    <w:rsid w:val="29B68EDC"/>
    <w:rsid w:val="2A112C09"/>
    <w:rsid w:val="2A172AF1"/>
    <w:rsid w:val="2A258A5F"/>
    <w:rsid w:val="2A2F24E1"/>
    <w:rsid w:val="2A6DA6C2"/>
    <w:rsid w:val="2A7C239E"/>
    <w:rsid w:val="2A8AEAF6"/>
    <w:rsid w:val="2A930A52"/>
    <w:rsid w:val="2A95FA92"/>
    <w:rsid w:val="2AA98F6D"/>
    <w:rsid w:val="2AB3237A"/>
    <w:rsid w:val="2AC068CD"/>
    <w:rsid w:val="2AD7E022"/>
    <w:rsid w:val="2AECDBF6"/>
    <w:rsid w:val="2AF0F671"/>
    <w:rsid w:val="2AFEE2AC"/>
    <w:rsid w:val="2BBB80D3"/>
    <w:rsid w:val="2BE2EB15"/>
    <w:rsid w:val="2BF93BFC"/>
    <w:rsid w:val="2C026E12"/>
    <w:rsid w:val="2C6143D5"/>
    <w:rsid w:val="2C8F07DC"/>
    <w:rsid w:val="2CA37707"/>
    <w:rsid w:val="2CE5C6B8"/>
    <w:rsid w:val="2D1FD044"/>
    <w:rsid w:val="2D208C2F"/>
    <w:rsid w:val="2D5C6120"/>
    <w:rsid w:val="2D6B714D"/>
    <w:rsid w:val="2D791B76"/>
    <w:rsid w:val="2D7C4A2E"/>
    <w:rsid w:val="2D927220"/>
    <w:rsid w:val="2D95C726"/>
    <w:rsid w:val="2DFC541A"/>
    <w:rsid w:val="2E06CEF8"/>
    <w:rsid w:val="2E0EB043"/>
    <w:rsid w:val="2E0F80E4"/>
    <w:rsid w:val="2E1F54D6"/>
    <w:rsid w:val="2E25728F"/>
    <w:rsid w:val="2E463800"/>
    <w:rsid w:val="2E5BF881"/>
    <w:rsid w:val="2E806741"/>
    <w:rsid w:val="2F20D296"/>
    <w:rsid w:val="2F223E93"/>
    <w:rsid w:val="2F2719E0"/>
    <w:rsid w:val="2F4117E5"/>
    <w:rsid w:val="2F4F94C1"/>
    <w:rsid w:val="2F573899"/>
    <w:rsid w:val="2F6FEC56"/>
    <w:rsid w:val="2F7138C7"/>
    <w:rsid w:val="2F73EBC0"/>
    <w:rsid w:val="2F7F131B"/>
    <w:rsid w:val="2FE0D7B2"/>
    <w:rsid w:val="2FFB1E54"/>
    <w:rsid w:val="30009034"/>
    <w:rsid w:val="3000A2DE"/>
    <w:rsid w:val="301CA7B1"/>
    <w:rsid w:val="3037A7D7"/>
    <w:rsid w:val="30560249"/>
    <w:rsid w:val="30594730"/>
    <w:rsid w:val="30801404"/>
    <w:rsid w:val="30803E59"/>
    <w:rsid w:val="30AB7BD4"/>
    <w:rsid w:val="30C3BFE9"/>
    <w:rsid w:val="30C3C406"/>
    <w:rsid w:val="30CFCDFD"/>
    <w:rsid w:val="30D442F4"/>
    <w:rsid w:val="30D474CA"/>
    <w:rsid w:val="30E27FDD"/>
    <w:rsid w:val="30F072E7"/>
    <w:rsid w:val="31005C62"/>
    <w:rsid w:val="31527751"/>
    <w:rsid w:val="31591639"/>
    <w:rsid w:val="318FB9FD"/>
    <w:rsid w:val="31D56291"/>
    <w:rsid w:val="31D97A3C"/>
    <w:rsid w:val="31EC755E"/>
    <w:rsid w:val="31FD3C1C"/>
    <w:rsid w:val="3216BEAE"/>
    <w:rsid w:val="3217C7EF"/>
    <w:rsid w:val="32229E16"/>
    <w:rsid w:val="322E065B"/>
    <w:rsid w:val="323D1907"/>
    <w:rsid w:val="32624748"/>
    <w:rsid w:val="326EBE6E"/>
    <w:rsid w:val="3297FD21"/>
    <w:rsid w:val="32B02114"/>
    <w:rsid w:val="32BC72A1"/>
    <w:rsid w:val="32BDF68A"/>
    <w:rsid w:val="32C6D0F8"/>
    <w:rsid w:val="32DB34F8"/>
    <w:rsid w:val="32E4715E"/>
    <w:rsid w:val="330080C6"/>
    <w:rsid w:val="3353533D"/>
    <w:rsid w:val="336C4AA8"/>
    <w:rsid w:val="3377103D"/>
    <w:rsid w:val="338EC033"/>
    <w:rsid w:val="33A70B1C"/>
    <w:rsid w:val="33B5833C"/>
    <w:rsid w:val="33BB5948"/>
    <w:rsid w:val="3409DD87"/>
    <w:rsid w:val="34105321"/>
    <w:rsid w:val="343FAA66"/>
    <w:rsid w:val="344210A8"/>
    <w:rsid w:val="345BE327"/>
    <w:rsid w:val="34BE2D48"/>
    <w:rsid w:val="34FBEE6B"/>
    <w:rsid w:val="3512CC57"/>
    <w:rsid w:val="351B3D47"/>
    <w:rsid w:val="356112C7"/>
    <w:rsid w:val="357F1033"/>
    <w:rsid w:val="35D36CAE"/>
    <w:rsid w:val="35D8D3A1"/>
    <w:rsid w:val="35DD9A43"/>
    <w:rsid w:val="35DE8B2B"/>
    <w:rsid w:val="35EB7C16"/>
    <w:rsid w:val="35F6842C"/>
    <w:rsid w:val="360FCE2E"/>
    <w:rsid w:val="363B11B4"/>
    <w:rsid w:val="363FDC74"/>
    <w:rsid w:val="3651A398"/>
    <w:rsid w:val="36554895"/>
    <w:rsid w:val="366282C2"/>
    <w:rsid w:val="369968D1"/>
    <w:rsid w:val="36A95BFF"/>
    <w:rsid w:val="37182608"/>
    <w:rsid w:val="3723B0CF"/>
    <w:rsid w:val="3734B5C7"/>
    <w:rsid w:val="3739E416"/>
    <w:rsid w:val="374D5ECF"/>
    <w:rsid w:val="3753D215"/>
    <w:rsid w:val="375F262A"/>
    <w:rsid w:val="377E99F9"/>
    <w:rsid w:val="379E0E5E"/>
    <w:rsid w:val="37AB5965"/>
    <w:rsid w:val="37AD50F7"/>
    <w:rsid w:val="37AEC24E"/>
    <w:rsid w:val="37B42D85"/>
    <w:rsid w:val="37D9F736"/>
    <w:rsid w:val="37FD72EA"/>
    <w:rsid w:val="38346382"/>
    <w:rsid w:val="388F093E"/>
    <w:rsid w:val="38C513E7"/>
    <w:rsid w:val="38D6BF54"/>
    <w:rsid w:val="38EB8C4B"/>
    <w:rsid w:val="390B5018"/>
    <w:rsid w:val="391142F0"/>
    <w:rsid w:val="39193099"/>
    <w:rsid w:val="395D195B"/>
    <w:rsid w:val="3961F853"/>
    <w:rsid w:val="3985533A"/>
    <w:rsid w:val="39A13101"/>
    <w:rsid w:val="39AC9AAC"/>
    <w:rsid w:val="39B34423"/>
    <w:rsid w:val="39BE2EC3"/>
    <w:rsid w:val="39BF181A"/>
    <w:rsid w:val="39CF7263"/>
    <w:rsid w:val="39D18ECD"/>
    <w:rsid w:val="39EAED2B"/>
    <w:rsid w:val="39F0AF94"/>
    <w:rsid w:val="3A7862B3"/>
    <w:rsid w:val="3A860A69"/>
    <w:rsid w:val="3A9D0659"/>
    <w:rsid w:val="3B2B397B"/>
    <w:rsid w:val="3B2C5E84"/>
    <w:rsid w:val="3B433B53"/>
    <w:rsid w:val="3B453CC5"/>
    <w:rsid w:val="3B6F1A03"/>
    <w:rsid w:val="3B78661D"/>
    <w:rsid w:val="3B8DF939"/>
    <w:rsid w:val="3BA661F0"/>
    <w:rsid w:val="3BB6C51E"/>
    <w:rsid w:val="3BC1AC0B"/>
    <w:rsid w:val="3BF50B6F"/>
    <w:rsid w:val="3C06B249"/>
    <w:rsid w:val="3C1E4FF6"/>
    <w:rsid w:val="3C25AB54"/>
    <w:rsid w:val="3C2AE552"/>
    <w:rsid w:val="3C5A0218"/>
    <w:rsid w:val="3C886E9E"/>
    <w:rsid w:val="3C8DF489"/>
    <w:rsid w:val="3CA8B93A"/>
    <w:rsid w:val="3CC97A68"/>
    <w:rsid w:val="3CF0FD06"/>
    <w:rsid w:val="3CF107B7"/>
    <w:rsid w:val="3CF8AAD8"/>
    <w:rsid w:val="3D0ADC5F"/>
    <w:rsid w:val="3D160B4D"/>
    <w:rsid w:val="3D3DEF7D"/>
    <w:rsid w:val="3D4D9204"/>
    <w:rsid w:val="3D72E9D4"/>
    <w:rsid w:val="3D899BB2"/>
    <w:rsid w:val="3D8F8545"/>
    <w:rsid w:val="3DA3082F"/>
    <w:rsid w:val="3DC12BFC"/>
    <w:rsid w:val="3DCE72AC"/>
    <w:rsid w:val="3DD75A45"/>
    <w:rsid w:val="3DE99D10"/>
    <w:rsid w:val="3DFC7552"/>
    <w:rsid w:val="3E15CE61"/>
    <w:rsid w:val="3E27FC7B"/>
    <w:rsid w:val="3EB34A18"/>
    <w:rsid w:val="3ECA2DBD"/>
    <w:rsid w:val="3EEE6F44"/>
    <w:rsid w:val="3F0E222E"/>
    <w:rsid w:val="3F3B7BD7"/>
    <w:rsid w:val="3F43553F"/>
    <w:rsid w:val="3F4A397D"/>
    <w:rsid w:val="3F5E5360"/>
    <w:rsid w:val="3F89BAD2"/>
    <w:rsid w:val="3FA12677"/>
    <w:rsid w:val="3FB862DC"/>
    <w:rsid w:val="3FE6458C"/>
    <w:rsid w:val="4010A1F1"/>
    <w:rsid w:val="404747ED"/>
    <w:rsid w:val="404F1A79"/>
    <w:rsid w:val="4067EAF5"/>
    <w:rsid w:val="40793064"/>
    <w:rsid w:val="40A0BFEA"/>
    <w:rsid w:val="40E4FE86"/>
    <w:rsid w:val="40E689D0"/>
    <w:rsid w:val="4106136E"/>
    <w:rsid w:val="4133B40C"/>
    <w:rsid w:val="414C3898"/>
    <w:rsid w:val="41540CF0"/>
    <w:rsid w:val="41731D83"/>
    <w:rsid w:val="41753647"/>
    <w:rsid w:val="418F7623"/>
    <w:rsid w:val="41A58546"/>
    <w:rsid w:val="41AB3C2F"/>
    <w:rsid w:val="41AB8EC8"/>
    <w:rsid w:val="41AE291D"/>
    <w:rsid w:val="41B47E49"/>
    <w:rsid w:val="41BFC327"/>
    <w:rsid w:val="41CDA6A6"/>
    <w:rsid w:val="41F83843"/>
    <w:rsid w:val="4207A788"/>
    <w:rsid w:val="421479F2"/>
    <w:rsid w:val="423A2140"/>
    <w:rsid w:val="427DA19A"/>
    <w:rsid w:val="4280CEE7"/>
    <w:rsid w:val="4295B219"/>
    <w:rsid w:val="42A1E3CF"/>
    <w:rsid w:val="42EF90C3"/>
    <w:rsid w:val="433CF333"/>
    <w:rsid w:val="43570639"/>
    <w:rsid w:val="437BD1E6"/>
    <w:rsid w:val="43CE0FAE"/>
    <w:rsid w:val="43EA9C72"/>
    <w:rsid w:val="44065C58"/>
    <w:rsid w:val="440EC67A"/>
    <w:rsid w:val="444D8629"/>
    <w:rsid w:val="4462327E"/>
    <w:rsid w:val="446C7F50"/>
    <w:rsid w:val="447134CA"/>
    <w:rsid w:val="44941CE4"/>
    <w:rsid w:val="449BA941"/>
    <w:rsid w:val="44B129FA"/>
    <w:rsid w:val="44BDF7FF"/>
    <w:rsid w:val="44CB039E"/>
    <w:rsid w:val="44EC1F0B"/>
    <w:rsid w:val="44F9B206"/>
    <w:rsid w:val="44FCD3EC"/>
    <w:rsid w:val="44FE2A76"/>
    <w:rsid w:val="451CB3E0"/>
    <w:rsid w:val="4546CC8E"/>
    <w:rsid w:val="4547B153"/>
    <w:rsid w:val="454BB09F"/>
    <w:rsid w:val="457AE82E"/>
    <w:rsid w:val="457E236B"/>
    <w:rsid w:val="4589CD5F"/>
    <w:rsid w:val="45968352"/>
    <w:rsid w:val="45997752"/>
    <w:rsid w:val="45B3653D"/>
    <w:rsid w:val="45CBE375"/>
    <w:rsid w:val="460DD752"/>
    <w:rsid w:val="468C178B"/>
    <w:rsid w:val="468F11C1"/>
    <w:rsid w:val="469C508E"/>
    <w:rsid w:val="46DFE839"/>
    <w:rsid w:val="472E64D0"/>
    <w:rsid w:val="47324FC6"/>
    <w:rsid w:val="475112BD"/>
    <w:rsid w:val="475581C5"/>
    <w:rsid w:val="4759407B"/>
    <w:rsid w:val="475D599B"/>
    <w:rsid w:val="475EA13A"/>
    <w:rsid w:val="4787EDE8"/>
    <w:rsid w:val="478EF821"/>
    <w:rsid w:val="4794CCB7"/>
    <w:rsid w:val="47CCF41D"/>
    <w:rsid w:val="47F70ABB"/>
    <w:rsid w:val="481016C1"/>
    <w:rsid w:val="48351F70"/>
    <w:rsid w:val="483ED576"/>
    <w:rsid w:val="4865DE5E"/>
    <w:rsid w:val="486CE510"/>
    <w:rsid w:val="4871BC7B"/>
    <w:rsid w:val="48761B07"/>
    <w:rsid w:val="48821912"/>
    <w:rsid w:val="48D9A41A"/>
    <w:rsid w:val="48D9C487"/>
    <w:rsid w:val="48EE9778"/>
    <w:rsid w:val="496E3AA8"/>
    <w:rsid w:val="49CA2D13"/>
    <w:rsid w:val="4A014FA0"/>
    <w:rsid w:val="4A136B6C"/>
    <w:rsid w:val="4A15F21E"/>
    <w:rsid w:val="4A32897C"/>
    <w:rsid w:val="4A37CBEB"/>
    <w:rsid w:val="4A81B06A"/>
    <w:rsid w:val="4A9E2527"/>
    <w:rsid w:val="4AA3B2FB"/>
    <w:rsid w:val="4AF3DFFC"/>
    <w:rsid w:val="4B12A4E2"/>
    <w:rsid w:val="4B2125CF"/>
    <w:rsid w:val="4B3E6AA7"/>
    <w:rsid w:val="4B634E15"/>
    <w:rsid w:val="4B69DD6B"/>
    <w:rsid w:val="4B73D2E9"/>
    <w:rsid w:val="4BCD76BE"/>
    <w:rsid w:val="4BD77586"/>
    <w:rsid w:val="4C0A48AD"/>
    <w:rsid w:val="4C38AE60"/>
    <w:rsid w:val="4C3F835C"/>
    <w:rsid w:val="4C594167"/>
    <w:rsid w:val="4C6F68F5"/>
    <w:rsid w:val="4C7D18D6"/>
    <w:rsid w:val="4CE255FB"/>
    <w:rsid w:val="4CE7E052"/>
    <w:rsid w:val="4D13EB6D"/>
    <w:rsid w:val="4D2C7ABF"/>
    <w:rsid w:val="4D41CFCB"/>
    <w:rsid w:val="4D42E675"/>
    <w:rsid w:val="4D828880"/>
    <w:rsid w:val="4D98E32F"/>
    <w:rsid w:val="4DA02D3C"/>
    <w:rsid w:val="4DA9CD1C"/>
    <w:rsid w:val="4DC7D408"/>
    <w:rsid w:val="4DDB53BD"/>
    <w:rsid w:val="4DEAF3E3"/>
    <w:rsid w:val="4DFD2589"/>
    <w:rsid w:val="4E011549"/>
    <w:rsid w:val="4E1B860F"/>
    <w:rsid w:val="4E24135E"/>
    <w:rsid w:val="4E247F8F"/>
    <w:rsid w:val="4E2C7300"/>
    <w:rsid w:val="4E336551"/>
    <w:rsid w:val="4E4D9F9E"/>
    <w:rsid w:val="4E5967E1"/>
    <w:rsid w:val="4E63988F"/>
    <w:rsid w:val="4E702B7A"/>
    <w:rsid w:val="4E93BF99"/>
    <w:rsid w:val="4E94D9BE"/>
    <w:rsid w:val="4E9AEED7"/>
    <w:rsid w:val="4EFF5060"/>
    <w:rsid w:val="4F02C666"/>
    <w:rsid w:val="4F117256"/>
    <w:rsid w:val="4F1E58E1"/>
    <w:rsid w:val="4F5AD8FE"/>
    <w:rsid w:val="4F6CC209"/>
    <w:rsid w:val="4F77241E"/>
    <w:rsid w:val="4F87A88C"/>
    <w:rsid w:val="4F9AD354"/>
    <w:rsid w:val="4FA37EC1"/>
    <w:rsid w:val="4FBF3B14"/>
    <w:rsid w:val="4FCF35B2"/>
    <w:rsid w:val="4FD8B3C7"/>
    <w:rsid w:val="4FFE6B4C"/>
    <w:rsid w:val="5000F8D4"/>
    <w:rsid w:val="506B8BD0"/>
    <w:rsid w:val="506BEED9"/>
    <w:rsid w:val="506DA222"/>
    <w:rsid w:val="509998ED"/>
    <w:rsid w:val="50B37437"/>
    <w:rsid w:val="513AAC24"/>
    <w:rsid w:val="513FBE66"/>
    <w:rsid w:val="5144CEAE"/>
    <w:rsid w:val="515089F9"/>
    <w:rsid w:val="5155F407"/>
    <w:rsid w:val="516E7977"/>
    <w:rsid w:val="51C231DD"/>
    <w:rsid w:val="51D4E056"/>
    <w:rsid w:val="51F25068"/>
    <w:rsid w:val="520E5C0D"/>
    <w:rsid w:val="527E2F27"/>
    <w:rsid w:val="5286EAC1"/>
    <w:rsid w:val="529654DF"/>
    <w:rsid w:val="52A620F1"/>
    <w:rsid w:val="52A6D5C9"/>
    <w:rsid w:val="52B74814"/>
    <w:rsid w:val="52C6528C"/>
    <w:rsid w:val="52D28EFB"/>
    <w:rsid w:val="52E3EB02"/>
    <w:rsid w:val="52EC5A5A"/>
    <w:rsid w:val="52F95936"/>
    <w:rsid w:val="5306D674"/>
    <w:rsid w:val="530BC286"/>
    <w:rsid w:val="53217AA7"/>
    <w:rsid w:val="5322221F"/>
    <w:rsid w:val="535420F3"/>
    <w:rsid w:val="5358E1F6"/>
    <w:rsid w:val="536ABF5B"/>
    <w:rsid w:val="538F7A0B"/>
    <w:rsid w:val="53AAD242"/>
    <w:rsid w:val="53CEDFEC"/>
    <w:rsid w:val="542A240F"/>
    <w:rsid w:val="5441F152"/>
    <w:rsid w:val="545435EB"/>
    <w:rsid w:val="54B2A0A5"/>
    <w:rsid w:val="54B75DE4"/>
    <w:rsid w:val="54BF57A2"/>
    <w:rsid w:val="54DE75B0"/>
    <w:rsid w:val="54E1F316"/>
    <w:rsid w:val="54E29AD0"/>
    <w:rsid w:val="54E3B975"/>
    <w:rsid w:val="54EFF154"/>
    <w:rsid w:val="54FC4A22"/>
    <w:rsid w:val="552A2F0A"/>
    <w:rsid w:val="552E83FB"/>
    <w:rsid w:val="553F244C"/>
    <w:rsid w:val="55840ABE"/>
    <w:rsid w:val="55FFADC7"/>
    <w:rsid w:val="56081133"/>
    <w:rsid w:val="5628C9FF"/>
    <w:rsid w:val="56354BC2"/>
    <w:rsid w:val="5670B599"/>
    <w:rsid w:val="5680F8B1"/>
    <w:rsid w:val="568FBD03"/>
    <w:rsid w:val="5694E11F"/>
    <w:rsid w:val="56B044CE"/>
    <w:rsid w:val="5702EC8B"/>
    <w:rsid w:val="57068338"/>
    <w:rsid w:val="570FE79A"/>
    <w:rsid w:val="5717BE0F"/>
    <w:rsid w:val="57506503"/>
    <w:rsid w:val="57741D42"/>
    <w:rsid w:val="57979B31"/>
    <w:rsid w:val="57B2A6D1"/>
    <w:rsid w:val="57B927CE"/>
    <w:rsid w:val="57D35478"/>
    <w:rsid w:val="57D8F2DF"/>
    <w:rsid w:val="57F7B776"/>
    <w:rsid w:val="58027C50"/>
    <w:rsid w:val="5803B2B2"/>
    <w:rsid w:val="582510EC"/>
    <w:rsid w:val="58504DF9"/>
    <w:rsid w:val="585166F8"/>
    <w:rsid w:val="5857869A"/>
    <w:rsid w:val="5862A1C5"/>
    <w:rsid w:val="58848272"/>
    <w:rsid w:val="58B3C046"/>
    <w:rsid w:val="58C2CAE6"/>
    <w:rsid w:val="58F78C3B"/>
    <w:rsid w:val="58FEB6E9"/>
    <w:rsid w:val="59091443"/>
    <w:rsid w:val="590FEDA3"/>
    <w:rsid w:val="59103A30"/>
    <w:rsid w:val="594ACFBF"/>
    <w:rsid w:val="59654E75"/>
    <w:rsid w:val="598BF600"/>
    <w:rsid w:val="598C2535"/>
    <w:rsid w:val="59AA75D7"/>
    <w:rsid w:val="59BFF109"/>
    <w:rsid w:val="59C62B54"/>
    <w:rsid w:val="59E55440"/>
    <w:rsid w:val="5A23A812"/>
    <w:rsid w:val="5A408000"/>
    <w:rsid w:val="5A5EA16A"/>
    <w:rsid w:val="5A763E9A"/>
    <w:rsid w:val="5AA26969"/>
    <w:rsid w:val="5AB83C14"/>
    <w:rsid w:val="5B011ED6"/>
    <w:rsid w:val="5B162DD7"/>
    <w:rsid w:val="5B1C38F6"/>
    <w:rsid w:val="5B4B1B88"/>
    <w:rsid w:val="5B6B20C5"/>
    <w:rsid w:val="5BA41181"/>
    <w:rsid w:val="5BA7FDB0"/>
    <w:rsid w:val="5BAE6D6E"/>
    <w:rsid w:val="5BBD2BD9"/>
    <w:rsid w:val="5BC1CFD8"/>
    <w:rsid w:val="5BC5F2B4"/>
    <w:rsid w:val="5BDF0E9E"/>
    <w:rsid w:val="5BECADBD"/>
    <w:rsid w:val="5BF39298"/>
    <w:rsid w:val="5BF93523"/>
    <w:rsid w:val="5BFFC4F1"/>
    <w:rsid w:val="5C092556"/>
    <w:rsid w:val="5C1D87FA"/>
    <w:rsid w:val="5C24A5C3"/>
    <w:rsid w:val="5C2C9A20"/>
    <w:rsid w:val="5C52E99A"/>
    <w:rsid w:val="5C635E36"/>
    <w:rsid w:val="5C81D722"/>
    <w:rsid w:val="5CADDE6C"/>
    <w:rsid w:val="5CB0CE08"/>
    <w:rsid w:val="5CC1C110"/>
    <w:rsid w:val="5D25F721"/>
    <w:rsid w:val="5D26AEC1"/>
    <w:rsid w:val="5D305D93"/>
    <w:rsid w:val="5D50EF00"/>
    <w:rsid w:val="5D642032"/>
    <w:rsid w:val="5DC03EDF"/>
    <w:rsid w:val="5DC86A81"/>
    <w:rsid w:val="5DF8725B"/>
    <w:rsid w:val="5E15685C"/>
    <w:rsid w:val="5E41668D"/>
    <w:rsid w:val="5E53D9B8"/>
    <w:rsid w:val="5EA66720"/>
    <w:rsid w:val="5EA9F5AF"/>
    <w:rsid w:val="5EABB39E"/>
    <w:rsid w:val="5F3349E7"/>
    <w:rsid w:val="5F45AAE8"/>
    <w:rsid w:val="5F652BE1"/>
    <w:rsid w:val="5F8D191D"/>
    <w:rsid w:val="5F9CE170"/>
    <w:rsid w:val="5FE06E55"/>
    <w:rsid w:val="5FEC1917"/>
    <w:rsid w:val="5FEE4F2F"/>
    <w:rsid w:val="6016DFA4"/>
    <w:rsid w:val="6018FE6F"/>
    <w:rsid w:val="60216D24"/>
    <w:rsid w:val="60423781"/>
    <w:rsid w:val="6078FE86"/>
    <w:rsid w:val="6087EEBB"/>
    <w:rsid w:val="60A8DAD0"/>
    <w:rsid w:val="60AB7D0F"/>
    <w:rsid w:val="60D78472"/>
    <w:rsid w:val="60DE1EEC"/>
    <w:rsid w:val="60EEF78E"/>
    <w:rsid w:val="6103F229"/>
    <w:rsid w:val="6155A8B8"/>
    <w:rsid w:val="61833BD7"/>
    <w:rsid w:val="61CBBD7B"/>
    <w:rsid w:val="61F21084"/>
    <w:rsid w:val="61F590B2"/>
    <w:rsid w:val="6204C4F9"/>
    <w:rsid w:val="62123C5B"/>
    <w:rsid w:val="623587D0"/>
    <w:rsid w:val="623E9EF5"/>
    <w:rsid w:val="626DFDF5"/>
    <w:rsid w:val="62887330"/>
    <w:rsid w:val="628EAB61"/>
    <w:rsid w:val="62A33EF3"/>
    <w:rsid w:val="62B76E4B"/>
    <w:rsid w:val="62EEE7E6"/>
    <w:rsid w:val="62F17523"/>
    <w:rsid w:val="633EA655"/>
    <w:rsid w:val="6349151D"/>
    <w:rsid w:val="63692B3E"/>
    <w:rsid w:val="638DC839"/>
    <w:rsid w:val="63A1E2F2"/>
    <w:rsid w:val="63B36645"/>
    <w:rsid w:val="63C75E21"/>
    <w:rsid w:val="63E50640"/>
    <w:rsid w:val="6424A954"/>
    <w:rsid w:val="64598F59"/>
    <w:rsid w:val="6486B800"/>
    <w:rsid w:val="6488AEAF"/>
    <w:rsid w:val="64D8DA5C"/>
    <w:rsid w:val="64FE797A"/>
    <w:rsid w:val="650640C1"/>
    <w:rsid w:val="65205425"/>
    <w:rsid w:val="6546784B"/>
    <w:rsid w:val="655195B4"/>
    <w:rsid w:val="6554AEF5"/>
    <w:rsid w:val="657E60ED"/>
    <w:rsid w:val="65E5418F"/>
    <w:rsid w:val="66141718"/>
    <w:rsid w:val="6616947D"/>
    <w:rsid w:val="665731C6"/>
    <w:rsid w:val="66791035"/>
    <w:rsid w:val="667DA2A5"/>
    <w:rsid w:val="668EE596"/>
    <w:rsid w:val="66AD1EA6"/>
    <w:rsid w:val="66C45FA0"/>
    <w:rsid w:val="66E82F9E"/>
    <w:rsid w:val="66EE851F"/>
    <w:rsid w:val="671CA702"/>
    <w:rsid w:val="672A2600"/>
    <w:rsid w:val="67436C3F"/>
    <w:rsid w:val="67487DC3"/>
    <w:rsid w:val="674A0663"/>
    <w:rsid w:val="676AD71D"/>
    <w:rsid w:val="67747548"/>
    <w:rsid w:val="679B3440"/>
    <w:rsid w:val="679EB1F3"/>
    <w:rsid w:val="67AB8C13"/>
    <w:rsid w:val="67D0B821"/>
    <w:rsid w:val="6811F7F6"/>
    <w:rsid w:val="68269206"/>
    <w:rsid w:val="682E7293"/>
    <w:rsid w:val="68576F5C"/>
    <w:rsid w:val="689BAEE1"/>
    <w:rsid w:val="68B9011A"/>
    <w:rsid w:val="68D34AB5"/>
    <w:rsid w:val="68EE8E04"/>
    <w:rsid w:val="691CA658"/>
    <w:rsid w:val="691ECADF"/>
    <w:rsid w:val="694395EC"/>
    <w:rsid w:val="694E353F"/>
    <w:rsid w:val="695956FC"/>
    <w:rsid w:val="6972D8CB"/>
    <w:rsid w:val="69AF3963"/>
    <w:rsid w:val="69BFE8B9"/>
    <w:rsid w:val="6A1522D0"/>
    <w:rsid w:val="6A1FF503"/>
    <w:rsid w:val="6A2CD9BC"/>
    <w:rsid w:val="6A377F42"/>
    <w:rsid w:val="6AA57496"/>
    <w:rsid w:val="6AB944C9"/>
    <w:rsid w:val="6B04CC6F"/>
    <w:rsid w:val="6B176402"/>
    <w:rsid w:val="6B2FE549"/>
    <w:rsid w:val="6B916CC8"/>
    <w:rsid w:val="6B93F885"/>
    <w:rsid w:val="6BA87A76"/>
    <w:rsid w:val="6BAF96FB"/>
    <w:rsid w:val="6BC4F507"/>
    <w:rsid w:val="6BDEE96C"/>
    <w:rsid w:val="6BF0BCD6"/>
    <w:rsid w:val="6BF50DC9"/>
    <w:rsid w:val="6C25F753"/>
    <w:rsid w:val="6C2C7275"/>
    <w:rsid w:val="6C3943A1"/>
    <w:rsid w:val="6C3D21FA"/>
    <w:rsid w:val="6C54CC62"/>
    <w:rsid w:val="6C68D985"/>
    <w:rsid w:val="6C7AE520"/>
    <w:rsid w:val="6CC71296"/>
    <w:rsid w:val="6D0E451A"/>
    <w:rsid w:val="6D244918"/>
    <w:rsid w:val="6D55F7A7"/>
    <w:rsid w:val="6D610C5B"/>
    <w:rsid w:val="6D6934E3"/>
    <w:rsid w:val="6D6E287A"/>
    <w:rsid w:val="6D7595BE"/>
    <w:rsid w:val="6D76ADFD"/>
    <w:rsid w:val="6D7A48DC"/>
    <w:rsid w:val="6D7D04E8"/>
    <w:rsid w:val="6D9B5DC4"/>
    <w:rsid w:val="6DB103E9"/>
    <w:rsid w:val="6E21B238"/>
    <w:rsid w:val="6E95D38A"/>
    <w:rsid w:val="6E9C548B"/>
    <w:rsid w:val="6F093883"/>
    <w:rsid w:val="6F0D3D0E"/>
    <w:rsid w:val="6F333CCB"/>
    <w:rsid w:val="6F358054"/>
    <w:rsid w:val="6F657610"/>
    <w:rsid w:val="6FBA5D83"/>
    <w:rsid w:val="6FC02CFD"/>
    <w:rsid w:val="6FF9AF24"/>
    <w:rsid w:val="704B320F"/>
    <w:rsid w:val="705C81FB"/>
    <w:rsid w:val="70643DAD"/>
    <w:rsid w:val="707259F3"/>
    <w:rsid w:val="70756BEA"/>
    <w:rsid w:val="70C053E6"/>
    <w:rsid w:val="70C81F87"/>
    <w:rsid w:val="70DF8B02"/>
    <w:rsid w:val="714B3E94"/>
    <w:rsid w:val="71550F6E"/>
    <w:rsid w:val="719FD161"/>
    <w:rsid w:val="71A0B419"/>
    <w:rsid w:val="71DACC53"/>
    <w:rsid w:val="720C74B5"/>
    <w:rsid w:val="720E094C"/>
    <w:rsid w:val="7210D02E"/>
    <w:rsid w:val="72184EC9"/>
    <w:rsid w:val="72271080"/>
    <w:rsid w:val="723730A4"/>
    <w:rsid w:val="723B823A"/>
    <w:rsid w:val="725F59A9"/>
    <w:rsid w:val="726F9A0C"/>
    <w:rsid w:val="72833231"/>
    <w:rsid w:val="729EC78F"/>
    <w:rsid w:val="72BB524F"/>
    <w:rsid w:val="72F797AB"/>
    <w:rsid w:val="72FA7FA4"/>
    <w:rsid w:val="7334950A"/>
    <w:rsid w:val="7372823E"/>
    <w:rsid w:val="737FAEEA"/>
    <w:rsid w:val="73979106"/>
    <w:rsid w:val="73D766AC"/>
    <w:rsid w:val="73FB5BE0"/>
    <w:rsid w:val="73FB5FD6"/>
    <w:rsid w:val="742A5D33"/>
    <w:rsid w:val="7448FFBC"/>
    <w:rsid w:val="744DE035"/>
    <w:rsid w:val="745F9F9B"/>
    <w:rsid w:val="748CDE18"/>
    <w:rsid w:val="74BE0D1B"/>
    <w:rsid w:val="74D9DACB"/>
    <w:rsid w:val="751E078A"/>
    <w:rsid w:val="751EAEAC"/>
    <w:rsid w:val="753A011D"/>
    <w:rsid w:val="7541CBE3"/>
    <w:rsid w:val="75482413"/>
    <w:rsid w:val="754870F0"/>
    <w:rsid w:val="7555822F"/>
    <w:rsid w:val="75619355"/>
    <w:rsid w:val="7567AE5D"/>
    <w:rsid w:val="75CECED4"/>
    <w:rsid w:val="75D7BC71"/>
    <w:rsid w:val="75D88F10"/>
    <w:rsid w:val="76111285"/>
    <w:rsid w:val="7622A094"/>
    <w:rsid w:val="7655C305"/>
    <w:rsid w:val="7665C266"/>
    <w:rsid w:val="767BE1FD"/>
    <w:rsid w:val="76853DAB"/>
    <w:rsid w:val="769BB3F5"/>
    <w:rsid w:val="76AFCB9B"/>
    <w:rsid w:val="76C4BBA2"/>
    <w:rsid w:val="76D67F21"/>
    <w:rsid w:val="76F634EF"/>
    <w:rsid w:val="77278238"/>
    <w:rsid w:val="772AF140"/>
    <w:rsid w:val="7742D93C"/>
    <w:rsid w:val="77488F72"/>
    <w:rsid w:val="776E915C"/>
    <w:rsid w:val="776FE0A8"/>
    <w:rsid w:val="777094EA"/>
    <w:rsid w:val="77789842"/>
    <w:rsid w:val="777DF345"/>
    <w:rsid w:val="77A491CD"/>
    <w:rsid w:val="77B8BE39"/>
    <w:rsid w:val="77E5D567"/>
    <w:rsid w:val="78120E5C"/>
    <w:rsid w:val="783E1ED0"/>
    <w:rsid w:val="7887F5F0"/>
    <w:rsid w:val="78919B61"/>
    <w:rsid w:val="78922C26"/>
    <w:rsid w:val="7896E043"/>
    <w:rsid w:val="789BBC4E"/>
    <w:rsid w:val="78A95EAF"/>
    <w:rsid w:val="78BFF558"/>
    <w:rsid w:val="78CD8CA4"/>
    <w:rsid w:val="7958EE60"/>
    <w:rsid w:val="7964C4DD"/>
    <w:rsid w:val="7966DA58"/>
    <w:rsid w:val="79736143"/>
    <w:rsid w:val="79869391"/>
    <w:rsid w:val="799D6B17"/>
    <w:rsid w:val="7A072B17"/>
    <w:rsid w:val="7A1A1245"/>
    <w:rsid w:val="7A280CD0"/>
    <w:rsid w:val="7A3B5486"/>
    <w:rsid w:val="7A3B5F90"/>
    <w:rsid w:val="7A425F93"/>
    <w:rsid w:val="7A55D970"/>
    <w:rsid w:val="7A581BFC"/>
    <w:rsid w:val="7AC61F39"/>
    <w:rsid w:val="7B076094"/>
    <w:rsid w:val="7B12A90B"/>
    <w:rsid w:val="7B1583C7"/>
    <w:rsid w:val="7B417404"/>
    <w:rsid w:val="7B6150FA"/>
    <w:rsid w:val="7B7DD1C7"/>
    <w:rsid w:val="7BB9C3A6"/>
    <w:rsid w:val="7BD8C691"/>
    <w:rsid w:val="7BDAC400"/>
    <w:rsid w:val="7C09A483"/>
    <w:rsid w:val="7C0EC6DC"/>
    <w:rsid w:val="7C0F2985"/>
    <w:rsid w:val="7C166DCE"/>
    <w:rsid w:val="7C339301"/>
    <w:rsid w:val="7C446CF3"/>
    <w:rsid w:val="7C5756B3"/>
    <w:rsid w:val="7C71185A"/>
    <w:rsid w:val="7C8EFE38"/>
    <w:rsid w:val="7CD8E8FF"/>
    <w:rsid w:val="7CE4A3B1"/>
    <w:rsid w:val="7CF7BAEE"/>
    <w:rsid w:val="7CFB448F"/>
    <w:rsid w:val="7D0C8D76"/>
    <w:rsid w:val="7D15CFE6"/>
    <w:rsid w:val="7D262CC1"/>
    <w:rsid w:val="7D3DEE1F"/>
    <w:rsid w:val="7D41F50E"/>
    <w:rsid w:val="7D59D7F5"/>
    <w:rsid w:val="7D5AB0AB"/>
    <w:rsid w:val="7D65D936"/>
    <w:rsid w:val="7D68D5D3"/>
    <w:rsid w:val="7D94E7A4"/>
    <w:rsid w:val="7DF38D68"/>
    <w:rsid w:val="7E38A77B"/>
    <w:rsid w:val="7E408B98"/>
    <w:rsid w:val="7E4745C8"/>
    <w:rsid w:val="7E49D0C1"/>
    <w:rsid w:val="7E55C7DC"/>
    <w:rsid w:val="7E58600C"/>
    <w:rsid w:val="7EBE27CF"/>
    <w:rsid w:val="7EC63030"/>
    <w:rsid w:val="7EDF95CB"/>
    <w:rsid w:val="7EE64F58"/>
    <w:rsid w:val="7F022D67"/>
    <w:rsid w:val="7F619B3B"/>
    <w:rsid w:val="7F67D3F1"/>
    <w:rsid w:val="7F7B077C"/>
    <w:rsid w:val="7F9B5FB3"/>
    <w:rsid w:val="7FC47D4D"/>
    <w:rsid w:val="7FE9ED6B"/>
    <w:rsid w:val="7FEEEDE9"/>
    <w:rsid w:val="7FF197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BA38E"/>
  <w15:chartTrackingRefBased/>
  <w15:docId w15:val="{CC6CA612-47F4-478B-BAE4-7A4E1101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886"/>
    <w:pPr>
      <w:spacing w:before="240" w:after="240" w:line="276" w:lineRule="auto"/>
    </w:pPr>
    <w:rPr>
      <w:rFonts w:ascii="Arial" w:hAnsi="Arial"/>
      <w:sz w:val="24"/>
    </w:rPr>
  </w:style>
  <w:style w:type="paragraph" w:styleId="Heading1">
    <w:name w:val="heading 1"/>
    <w:basedOn w:val="Normal"/>
    <w:next w:val="Normal"/>
    <w:link w:val="Heading1Char"/>
    <w:uiPriority w:val="9"/>
    <w:qFormat/>
    <w:rsid w:val="00FF653C"/>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07ED6"/>
    <w:pPr>
      <w:keepNext/>
      <w:keepLines/>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84DB1"/>
    <w:pPr>
      <w:keepNext/>
      <w:keepLines/>
      <w:spacing w:before="80" w:after="80" w:line="240" w:lineRule="auto"/>
      <w:ind w:left="284"/>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28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8D2"/>
    <w:rPr>
      <w:sz w:val="20"/>
      <w:szCs w:val="20"/>
    </w:rPr>
  </w:style>
  <w:style w:type="character" w:styleId="FootnoteReference">
    <w:name w:val="footnote reference"/>
    <w:basedOn w:val="DefaultParagraphFont"/>
    <w:uiPriority w:val="99"/>
    <w:semiHidden/>
    <w:unhideWhenUsed/>
    <w:rsid w:val="003D28D2"/>
    <w:rPr>
      <w:vertAlign w:val="superscript"/>
    </w:rPr>
  </w:style>
  <w:style w:type="character" w:styleId="Hyperlink">
    <w:name w:val="Hyperlink"/>
    <w:basedOn w:val="DefaultParagraphFont"/>
    <w:uiPriority w:val="99"/>
    <w:unhideWhenUsed/>
    <w:rsid w:val="00A26158"/>
    <w:rPr>
      <w:color w:val="0563C1" w:themeColor="hyperlink"/>
      <w:u w:val="single"/>
    </w:rPr>
  </w:style>
  <w:style w:type="character" w:styleId="UnresolvedMention">
    <w:name w:val="Unresolved Mention"/>
    <w:basedOn w:val="DefaultParagraphFont"/>
    <w:uiPriority w:val="99"/>
    <w:semiHidden/>
    <w:unhideWhenUsed/>
    <w:rsid w:val="00A26158"/>
    <w:rPr>
      <w:color w:val="605E5C"/>
      <w:shd w:val="clear" w:color="auto" w:fill="E1DFDD"/>
    </w:rPr>
  </w:style>
  <w:style w:type="paragraph" w:styleId="NormalWeb">
    <w:name w:val="Normal (Web)"/>
    <w:basedOn w:val="Normal"/>
    <w:uiPriority w:val="99"/>
    <w:semiHidden/>
    <w:unhideWhenUsed/>
    <w:rsid w:val="00882910"/>
    <w:rPr>
      <w:rFonts w:ascii="Times New Roman" w:hAnsi="Times New Roman" w:cs="Times New Roman"/>
      <w:szCs w:val="24"/>
    </w:rPr>
  </w:style>
  <w:style w:type="character" w:customStyle="1" w:styleId="Heading1Char">
    <w:name w:val="Heading 1 Char"/>
    <w:basedOn w:val="DefaultParagraphFont"/>
    <w:link w:val="Heading1"/>
    <w:uiPriority w:val="9"/>
    <w:rsid w:val="00FF653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007ED6"/>
    <w:rPr>
      <w:rFonts w:ascii="Arial" w:eastAsiaTheme="majorEastAsia" w:hAnsi="Arial" w:cstheme="majorBidi"/>
      <w:b/>
      <w:sz w:val="26"/>
      <w:szCs w:val="26"/>
    </w:rPr>
  </w:style>
  <w:style w:type="character" w:styleId="Strong">
    <w:name w:val="Strong"/>
    <w:basedOn w:val="DefaultParagraphFont"/>
    <w:uiPriority w:val="22"/>
    <w:qFormat/>
    <w:rsid w:val="00937DA5"/>
    <w:rPr>
      <w:b/>
      <w:bCs/>
    </w:rPr>
  </w:style>
  <w:style w:type="character" w:styleId="CommentReference">
    <w:name w:val="annotation reference"/>
    <w:basedOn w:val="DefaultParagraphFont"/>
    <w:uiPriority w:val="99"/>
    <w:semiHidden/>
    <w:unhideWhenUsed/>
    <w:rsid w:val="00937DA5"/>
    <w:rPr>
      <w:sz w:val="16"/>
      <w:szCs w:val="16"/>
    </w:rPr>
  </w:style>
  <w:style w:type="paragraph" w:styleId="CommentText">
    <w:name w:val="annotation text"/>
    <w:basedOn w:val="Normal"/>
    <w:link w:val="CommentTextChar"/>
    <w:uiPriority w:val="99"/>
    <w:unhideWhenUsed/>
    <w:rsid w:val="00937DA5"/>
    <w:pPr>
      <w:spacing w:line="240" w:lineRule="auto"/>
    </w:pPr>
    <w:rPr>
      <w:sz w:val="20"/>
      <w:szCs w:val="20"/>
    </w:rPr>
  </w:style>
  <w:style w:type="character" w:customStyle="1" w:styleId="CommentTextChar">
    <w:name w:val="Comment Text Char"/>
    <w:basedOn w:val="DefaultParagraphFont"/>
    <w:link w:val="CommentText"/>
    <w:uiPriority w:val="99"/>
    <w:rsid w:val="00937DA5"/>
    <w:rPr>
      <w:sz w:val="20"/>
      <w:szCs w:val="20"/>
    </w:rPr>
  </w:style>
  <w:style w:type="character" w:customStyle="1" w:styleId="Heading3Char">
    <w:name w:val="Heading 3 Char"/>
    <w:basedOn w:val="DefaultParagraphFont"/>
    <w:link w:val="Heading3"/>
    <w:uiPriority w:val="9"/>
    <w:rsid w:val="00184DB1"/>
    <w:rPr>
      <w:rFonts w:ascii="Arial" w:eastAsiaTheme="majorEastAsia" w:hAnsi="Arial" w:cstheme="majorBidi"/>
      <w:b/>
      <w:sz w:val="24"/>
      <w:szCs w:val="24"/>
    </w:rPr>
  </w:style>
  <w:style w:type="paragraph" w:styleId="TOCHeading">
    <w:name w:val="TOC Heading"/>
    <w:basedOn w:val="Heading1"/>
    <w:next w:val="Normal"/>
    <w:uiPriority w:val="39"/>
    <w:unhideWhenUsed/>
    <w:qFormat/>
    <w:rsid w:val="00C966C1"/>
    <w:pPr>
      <w:outlineLvl w:val="9"/>
    </w:pPr>
    <w:rPr>
      <w:lang w:val="en-US"/>
    </w:rPr>
  </w:style>
  <w:style w:type="paragraph" w:styleId="TOC1">
    <w:name w:val="toc 1"/>
    <w:basedOn w:val="Normal"/>
    <w:next w:val="Normal"/>
    <w:autoRedefine/>
    <w:uiPriority w:val="39"/>
    <w:unhideWhenUsed/>
    <w:rsid w:val="00C966C1"/>
    <w:pPr>
      <w:spacing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C208AF"/>
    <w:pPr>
      <w:spacing w:before="120"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C966C1"/>
    <w:pPr>
      <w:spacing w:before="0" w:after="0"/>
      <w:ind w:left="480"/>
    </w:pPr>
    <w:rPr>
      <w:rFonts w:asciiTheme="minorHAnsi" w:hAnsiTheme="minorHAnsi" w:cstheme="minorHAnsi"/>
      <w:sz w:val="20"/>
      <w:szCs w:val="20"/>
    </w:rPr>
  </w:style>
  <w:style w:type="table" w:styleId="TableGrid">
    <w:name w:val="Table Grid"/>
    <w:basedOn w:val="TableNormal"/>
    <w:uiPriority w:val="59"/>
    <w:rsid w:val="00D0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22C"/>
    <w:pPr>
      <w:spacing w:before="120" w:after="120"/>
    </w:pPr>
  </w:style>
  <w:style w:type="paragraph" w:styleId="Footer">
    <w:name w:val="footer"/>
    <w:basedOn w:val="Normal"/>
    <w:link w:val="FooterChar"/>
    <w:uiPriority w:val="99"/>
    <w:unhideWhenUsed/>
    <w:rsid w:val="00D02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585"/>
  </w:style>
  <w:style w:type="paragraph" w:customStyle="1" w:styleId="paragraph">
    <w:name w:val="paragraph"/>
    <w:basedOn w:val="Normal"/>
    <w:rsid w:val="0070120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70120A"/>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F1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EB6"/>
  </w:style>
  <w:style w:type="paragraph" w:styleId="Revision">
    <w:name w:val="Revision"/>
    <w:hidden/>
    <w:uiPriority w:val="99"/>
    <w:semiHidden/>
    <w:rsid w:val="00FF1EB6"/>
    <w:pPr>
      <w:spacing w:after="0" w:line="240" w:lineRule="auto"/>
    </w:pPr>
  </w:style>
  <w:style w:type="character" w:styleId="FollowedHyperlink">
    <w:name w:val="FollowedHyperlink"/>
    <w:basedOn w:val="DefaultParagraphFont"/>
    <w:uiPriority w:val="99"/>
    <w:semiHidden/>
    <w:unhideWhenUsed/>
    <w:rsid w:val="00A11B6F"/>
    <w:rPr>
      <w:color w:val="954F72" w:themeColor="followedHyperlink"/>
      <w:u w:val="single"/>
    </w:rPr>
  </w:style>
  <w:style w:type="paragraph" w:customStyle="1" w:styleId="Tabletext">
    <w:name w:val="Table text"/>
    <w:basedOn w:val="Normal"/>
    <w:qFormat/>
    <w:rsid w:val="001F7BB3"/>
    <w:pPr>
      <w:spacing w:before="120" w:after="120" w:line="240" w:lineRule="auto"/>
    </w:pPr>
    <w:rPr>
      <w:rFonts w:eastAsia="Arial" w:cs="Arial"/>
      <w:bCs/>
      <w:sz w:val="22"/>
      <w:szCs w:val="24"/>
    </w:rPr>
  </w:style>
  <w:style w:type="paragraph" w:styleId="CommentSubject">
    <w:name w:val="annotation subject"/>
    <w:basedOn w:val="CommentText"/>
    <w:next w:val="CommentText"/>
    <w:link w:val="CommentSubjectChar"/>
    <w:uiPriority w:val="99"/>
    <w:semiHidden/>
    <w:unhideWhenUsed/>
    <w:rsid w:val="00474882"/>
    <w:rPr>
      <w:b/>
      <w:bCs/>
    </w:rPr>
  </w:style>
  <w:style w:type="character" w:customStyle="1" w:styleId="CommentSubjectChar">
    <w:name w:val="Comment Subject Char"/>
    <w:basedOn w:val="CommentTextChar"/>
    <w:link w:val="CommentSubject"/>
    <w:uiPriority w:val="99"/>
    <w:semiHidden/>
    <w:rsid w:val="00474882"/>
    <w:rPr>
      <w:rFonts w:ascii="Arial" w:hAnsi="Arial"/>
      <w:b/>
      <w:bCs/>
      <w:sz w:val="20"/>
      <w:szCs w:val="20"/>
    </w:rPr>
  </w:style>
  <w:style w:type="paragraph" w:styleId="NoSpacing">
    <w:name w:val="No Spacing"/>
    <w:uiPriority w:val="1"/>
    <w:qFormat/>
    <w:rsid w:val="00FB71BA"/>
    <w:pPr>
      <w:spacing w:after="0" w:line="240" w:lineRule="auto"/>
    </w:pPr>
    <w:rPr>
      <w:rFonts w:ascii="Arial" w:hAnsi="Arial"/>
      <w:sz w:val="16"/>
    </w:rPr>
  </w:style>
  <w:style w:type="paragraph" w:styleId="TOC4">
    <w:name w:val="toc 4"/>
    <w:basedOn w:val="Normal"/>
    <w:next w:val="Normal"/>
    <w:autoRedefine/>
    <w:uiPriority w:val="39"/>
    <w:unhideWhenUsed/>
    <w:rsid w:val="00B0493E"/>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B0493E"/>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0493E"/>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0493E"/>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0493E"/>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0493E"/>
    <w:pPr>
      <w:spacing w:before="0" w:after="0"/>
      <w:ind w:left="1920"/>
    </w:pPr>
    <w:rPr>
      <w:rFonts w:asciiTheme="minorHAnsi" w:hAnsiTheme="minorHAnsi" w:cstheme="minorHAnsi"/>
      <w:sz w:val="20"/>
      <w:szCs w:val="20"/>
    </w:rPr>
  </w:style>
  <w:style w:type="paragraph" w:customStyle="1" w:styleId="Default">
    <w:name w:val="Default"/>
    <w:rsid w:val="0080341E"/>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247716"/>
    <w:rPr>
      <w:i/>
      <w:iCs/>
    </w:rPr>
  </w:style>
  <w:style w:type="character" w:styleId="PlaceholderText">
    <w:name w:val="Placeholder Text"/>
    <w:basedOn w:val="DefaultParagraphFont"/>
    <w:uiPriority w:val="99"/>
    <w:semiHidden/>
    <w:rsid w:val="00520496"/>
    <w:rPr>
      <w:color w:val="666666"/>
    </w:rPr>
  </w:style>
  <w:style w:type="paragraph" w:customStyle="1" w:styleId="bullet">
    <w:name w:val="bullet"/>
    <w:basedOn w:val="ListParagraph"/>
    <w:qFormat/>
    <w:rsid w:val="00D0265C"/>
    <w:pPr>
      <w:numPr>
        <w:numId w:val="41"/>
      </w:numPr>
      <w:spacing w:line="240" w:lineRule="auto"/>
      <w:ind w:left="92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7845">
      <w:bodyDiv w:val="1"/>
      <w:marLeft w:val="0"/>
      <w:marRight w:val="0"/>
      <w:marTop w:val="0"/>
      <w:marBottom w:val="0"/>
      <w:divBdr>
        <w:top w:val="none" w:sz="0" w:space="0" w:color="auto"/>
        <w:left w:val="none" w:sz="0" w:space="0" w:color="auto"/>
        <w:bottom w:val="none" w:sz="0" w:space="0" w:color="auto"/>
        <w:right w:val="none" w:sz="0" w:space="0" w:color="auto"/>
      </w:divBdr>
    </w:div>
    <w:div w:id="85004781">
      <w:bodyDiv w:val="1"/>
      <w:marLeft w:val="0"/>
      <w:marRight w:val="0"/>
      <w:marTop w:val="0"/>
      <w:marBottom w:val="0"/>
      <w:divBdr>
        <w:top w:val="none" w:sz="0" w:space="0" w:color="auto"/>
        <w:left w:val="none" w:sz="0" w:space="0" w:color="auto"/>
        <w:bottom w:val="none" w:sz="0" w:space="0" w:color="auto"/>
        <w:right w:val="none" w:sz="0" w:space="0" w:color="auto"/>
      </w:divBdr>
      <w:divsChild>
        <w:div w:id="452211008">
          <w:marLeft w:val="0"/>
          <w:marRight w:val="0"/>
          <w:marTop w:val="0"/>
          <w:marBottom w:val="0"/>
          <w:divBdr>
            <w:top w:val="none" w:sz="0" w:space="0" w:color="auto"/>
            <w:left w:val="none" w:sz="0" w:space="0" w:color="auto"/>
            <w:bottom w:val="none" w:sz="0" w:space="0" w:color="auto"/>
            <w:right w:val="none" w:sz="0" w:space="0" w:color="auto"/>
          </w:divBdr>
          <w:divsChild>
            <w:div w:id="1313144834">
              <w:marLeft w:val="0"/>
              <w:marRight w:val="0"/>
              <w:marTop w:val="0"/>
              <w:marBottom w:val="0"/>
              <w:divBdr>
                <w:top w:val="none" w:sz="0" w:space="0" w:color="auto"/>
                <w:left w:val="none" w:sz="0" w:space="0" w:color="auto"/>
                <w:bottom w:val="none" w:sz="0" w:space="0" w:color="auto"/>
                <w:right w:val="none" w:sz="0" w:space="0" w:color="auto"/>
              </w:divBdr>
            </w:div>
            <w:div w:id="1280255984">
              <w:marLeft w:val="0"/>
              <w:marRight w:val="0"/>
              <w:marTop w:val="0"/>
              <w:marBottom w:val="0"/>
              <w:divBdr>
                <w:top w:val="none" w:sz="0" w:space="0" w:color="auto"/>
                <w:left w:val="none" w:sz="0" w:space="0" w:color="auto"/>
                <w:bottom w:val="none" w:sz="0" w:space="0" w:color="auto"/>
                <w:right w:val="none" w:sz="0" w:space="0" w:color="auto"/>
              </w:divBdr>
            </w:div>
            <w:div w:id="1113406962">
              <w:marLeft w:val="0"/>
              <w:marRight w:val="0"/>
              <w:marTop w:val="0"/>
              <w:marBottom w:val="0"/>
              <w:divBdr>
                <w:top w:val="none" w:sz="0" w:space="0" w:color="auto"/>
                <w:left w:val="none" w:sz="0" w:space="0" w:color="auto"/>
                <w:bottom w:val="none" w:sz="0" w:space="0" w:color="auto"/>
                <w:right w:val="none" w:sz="0" w:space="0" w:color="auto"/>
              </w:divBdr>
            </w:div>
            <w:div w:id="2063941460">
              <w:marLeft w:val="0"/>
              <w:marRight w:val="0"/>
              <w:marTop w:val="0"/>
              <w:marBottom w:val="0"/>
              <w:divBdr>
                <w:top w:val="none" w:sz="0" w:space="0" w:color="auto"/>
                <w:left w:val="none" w:sz="0" w:space="0" w:color="auto"/>
                <w:bottom w:val="none" w:sz="0" w:space="0" w:color="auto"/>
                <w:right w:val="none" w:sz="0" w:space="0" w:color="auto"/>
              </w:divBdr>
            </w:div>
            <w:div w:id="1695576559">
              <w:marLeft w:val="0"/>
              <w:marRight w:val="0"/>
              <w:marTop w:val="0"/>
              <w:marBottom w:val="0"/>
              <w:divBdr>
                <w:top w:val="none" w:sz="0" w:space="0" w:color="auto"/>
                <w:left w:val="none" w:sz="0" w:space="0" w:color="auto"/>
                <w:bottom w:val="none" w:sz="0" w:space="0" w:color="auto"/>
                <w:right w:val="none" w:sz="0" w:space="0" w:color="auto"/>
              </w:divBdr>
            </w:div>
            <w:div w:id="259031009">
              <w:marLeft w:val="0"/>
              <w:marRight w:val="0"/>
              <w:marTop w:val="0"/>
              <w:marBottom w:val="0"/>
              <w:divBdr>
                <w:top w:val="none" w:sz="0" w:space="0" w:color="auto"/>
                <w:left w:val="none" w:sz="0" w:space="0" w:color="auto"/>
                <w:bottom w:val="none" w:sz="0" w:space="0" w:color="auto"/>
                <w:right w:val="none" w:sz="0" w:space="0" w:color="auto"/>
              </w:divBdr>
            </w:div>
            <w:div w:id="13969979">
              <w:marLeft w:val="0"/>
              <w:marRight w:val="0"/>
              <w:marTop w:val="0"/>
              <w:marBottom w:val="0"/>
              <w:divBdr>
                <w:top w:val="none" w:sz="0" w:space="0" w:color="auto"/>
                <w:left w:val="none" w:sz="0" w:space="0" w:color="auto"/>
                <w:bottom w:val="none" w:sz="0" w:space="0" w:color="auto"/>
                <w:right w:val="none" w:sz="0" w:space="0" w:color="auto"/>
              </w:divBdr>
            </w:div>
            <w:div w:id="1034307822">
              <w:marLeft w:val="0"/>
              <w:marRight w:val="0"/>
              <w:marTop w:val="0"/>
              <w:marBottom w:val="0"/>
              <w:divBdr>
                <w:top w:val="none" w:sz="0" w:space="0" w:color="auto"/>
                <w:left w:val="none" w:sz="0" w:space="0" w:color="auto"/>
                <w:bottom w:val="none" w:sz="0" w:space="0" w:color="auto"/>
                <w:right w:val="none" w:sz="0" w:space="0" w:color="auto"/>
              </w:divBdr>
            </w:div>
            <w:div w:id="1806510735">
              <w:marLeft w:val="0"/>
              <w:marRight w:val="0"/>
              <w:marTop w:val="0"/>
              <w:marBottom w:val="0"/>
              <w:divBdr>
                <w:top w:val="none" w:sz="0" w:space="0" w:color="auto"/>
                <w:left w:val="none" w:sz="0" w:space="0" w:color="auto"/>
                <w:bottom w:val="none" w:sz="0" w:space="0" w:color="auto"/>
                <w:right w:val="none" w:sz="0" w:space="0" w:color="auto"/>
              </w:divBdr>
            </w:div>
            <w:div w:id="13622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017">
      <w:bodyDiv w:val="1"/>
      <w:marLeft w:val="0"/>
      <w:marRight w:val="0"/>
      <w:marTop w:val="0"/>
      <w:marBottom w:val="0"/>
      <w:divBdr>
        <w:top w:val="none" w:sz="0" w:space="0" w:color="auto"/>
        <w:left w:val="none" w:sz="0" w:space="0" w:color="auto"/>
        <w:bottom w:val="none" w:sz="0" w:space="0" w:color="auto"/>
        <w:right w:val="none" w:sz="0" w:space="0" w:color="auto"/>
      </w:divBdr>
    </w:div>
    <w:div w:id="97457119">
      <w:bodyDiv w:val="1"/>
      <w:marLeft w:val="0"/>
      <w:marRight w:val="0"/>
      <w:marTop w:val="0"/>
      <w:marBottom w:val="0"/>
      <w:divBdr>
        <w:top w:val="none" w:sz="0" w:space="0" w:color="auto"/>
        <w:left w:val="none" w:sz="0" w:space="0" w:color="auto"/>
        <w:bottom w:val="none" w:sz="0" w:space="0" w:color="auto"/>
        <w:right w:val="none" w:sz="0" w:space="0" w:color="auto"/>
      </w:divBdr>
      <w:divsChild>
        <w:div w:id="1149401724">
          <w:marLeft w:val="0"/>
          <w:marRight w:val="0"/>
          <w:marTop w:val="0"/>
          <w:marBottom w:val="0"/>
          <w:divBdr>
            <w:top w:val="none" w:sz="0" w:space="0" w:color="auto"/>
            <w:left w:val="none" w:sz="0" w:space="0" w:color="auto"/>
            <w:bottom w:val="none" w:sz="0" w:space="0" w:color="auto"/>
            <w:right w:val="none" w:sz="0" w:space="0" w:color="auto"/>
          </w:divBdr>
          <w:divsChild>
            <w:div w:id="524485347">
              <w:marLeft w:val="0"/>
              <w:marRight w:val="0"/>
              <w:marTop w:val="0"/>
              <w:marBottom w:val="0"/>
              <w:divBdr>
                <w:top w:val="none" w:sz="0" w:space="0" w:color="auto"/>
                <w:left w:val="none" w:sz="0" w:space="0" w:color="auto"/>
                <w:bottom w:val="none" w:sz="0" w:space="0" w:color="auto"/>
                <w:right w:val="none" w:sz="0" w:space="0" w:color="auto"/>
              </w:divBdr>
              <w:divsChild>
                <w:div w:id="1827669633">
                  <w:marLeft w:val="0"/>
                  <w:marRight w:val="0"/>
                  <w:marTop w:val="0"/>
                  <w:marBottom w:val="0"/>
                  <w:divBdr>
                    <w:top w:val="none" w:sz="0" w:space="0" w:color="auto"/>
                    <w:left w:val="none" w:sz="0" w:space="0" w:color="auto"/>
                    <w:bottom w:val="none" w:sz="0" w:space="0" w:color="auto"/>
                    <w:right w:val="none" w:sz="0" w:space="0" w:color="auto"/>
                  </w:divBdr>
                  <w:divsChild>
                    <w:div w:id="1713723651">
                      <w:marLeft w:val="0"/>
                      <w:marRight w:val="0"/>
                      <w:marTop w:val="0"/>
                      <w:marBottom w:val="0"/>
                      <w:divBdr>
                        <w:top w:val="none" w:sz="0" w:space="0" w:color="auto"/>
                        <w:left w:val="none" w:sz="0" w:space="0" w:color="auto"/>
                        <w:bottom w:val="none" w:sz="0" w:space="0" w:color="auto"/>
                        <w:right w:val="none" w:sz="0" w:space="0" w:color="auto"/>
                      </w:divBdr>
                      <w:divsChild>
                        <w:div w:id="1934244897">
                          <w:marLeft w:val="0"/>
                          <w:marRight w:val="0"/>
                          <w:marTop w:val="0"/>
                          <w:marBottom w:val="0"/>
                          <w:divBdr>
                            <w:top w:val="none" w:sz="0" w:space="0" w:color="auto"/>
                            <w:left w:val="none" w:sz="0" w:space="0" w:color="auto"/>
                            <w:bottom w:val="none" w:sz="0" w:space="0" w:color="auto"/>
                            <w:right w:val="none" w:sz="0" w:space="0" w:color="auto"/>
                          </w:divBdr>
                          <w:divsChild>
                            <w:div w:id="936408499">
                              <w:marLeft w:val="0"/>
                              <w:marRight w:val="0"/>
                              <w:marTop w:val="0"/>
                              <w:marBottom w:val="0"/>
                              <w:divBdr>
                                <w:top w:val="none" w:sz="0" w:space="0" w:color="auto"/>
                                <w:left w:val="none" w:sz="0" w:space="0" w:color="auto"/>
                                <w:bottom w:val="none" w:sz="0" w:space="0" w:color="auto"/>
                                <w:right w:val="none" w:sz="0" w:space="0" w:color="auto"/>
                              </w:divBdr>
                              <w:divsChild>
                                <w:div w:id="442506537">
                                  <w:marLeft w:val="0"/>
                                  <w:marRight w:val="0"/>
                                  <w:marTop w:val="0"/>
                                  <w:marBottom w:val="0"/>
                                  <w:divBdr>
                                    <w:top w:val="none" w:sz="0" w:space="0" w:color="auto"/>
                                    <w:left w:val="none" w:sz="0" w:space="0" w:color="auto"/>
                                    <w:bottom w:val="none" w:sz="0" w:space="0" w:color="auto"/>
                                    <w:right w:val="none" w:sz="0" w:space="0" w:color="auto"/>
                                  </w:divBdr>
                                  <w:divsChild>
                                    <w:div w:id="1571303705">
                                      <w:marLeft w:val="0"/>
                                      <w:marRight w:val="0"/>
                                      <w:marTop w:val="0"/>
                                      <w:marBottom w:val="0"/>
                                      <w:divBdr>
                                        <w:top w:val="none" w:sz="0" w:space="0" w:color="auto"/>
                                        <w:left w:val="none" w:sz="0" w:space="0" w:color="auto"/>
                                        <w:bottom w:val="none" w:sz="0" w:space="0" w:color="auto"/>
                                        <w:right w:val="none" w:sz="0" w:space="0" w:color="auto"/>
                                      </w:divBdr>
                                      <w:divsChild>
                                        <w:div w:id="1111821065">
                                          <w:marLeft w:val="0"/>
                                          <w:marRight w:val="0"/>
                                          <w:marTop w:val="0"/>
                                          <w:marBottom w:val="0"/>
                                          <w:divBdr>
                                            <w:top w:val="none" w:sz="0" w:space="0" w:color="auto"/>
                                            <w:left w:val="none" w:sz="0" w:space="0" w:color="auto"/>
                                            <w:bottom w:val="none" w:sz="0" w:space="0" w:color="auto"/>
                                            <w:right w:val="none" w:sz="0" w:space="0" w:color="auto"/>
                                          </w:divBdr>
                                          <w:divsChild>
                                            <w:div w:id="77603947">
                                              <w:marLeft w:val="0"/>
                                              <w:marRight w:val="0"/>
                                              <w:marTop w:val="0"/>
                                              <w:marBottom w:val="0"/>
                                              <w:divBdr>
                                                <w:top w:val="none" w:sz="0" w:space="0" w:color="auto"/>
                                                <w:left w:val="none" w:sz="0" w:space="0" w:color="auto"/>
                                                <w:bottom w:val="none" w:sz="0" w:space="0" w:color="auto"/>
                                                <w:right w:val="none" w:sz="0" w:space="0" w:color="auto"/>
                                              </w:divBdr>
                                              <w:divsChild>
                                                <w:div w:id="1638802518">
                                                  <w:marLeft w:val="0"/>
                                                  <w:marRight w:val="0"/>
                                                  <w:marTop w:val="0"/>
                                                  <w:marBottom w:val="0"/>
                                                  <w:divBdr>
                                                    <w:top w:val="none" w:sz="0" w:space="0" w:color="auto"/>
                                                    <w:left w:val="none" w:sz="0" w:space="0" w:color="auto"/>
                                                    <w:bottom w:val="none" w:sz="0" w:space="0" w:color="auto"/>
                                                    <w:right w:val="none" w:sz="0" w:space="0" w:color="auto"/>
                                                  </w:divBdr>
                                                  <w:divsChild>
                                                    <w:div w:id="269122334">
                                                      <w:marLeft w:val="0"/>
                                                      <w:marRight w:val="0"/>
                                                      <w:marTop w:val="0"/>
                                                      <w:marBottom w:val="0"/>
                                                      <w:divBdr>
                                                        <w:top w:val="none" w:sz="0" w:space="0" w:color="auto"/>
                                                        <w:left w:val="none" w:sz="0" w:space="0" w:color="auto"/>
                                                        <w:bottom w:val="none" w:sz="0" w:space="0" w:color="auto"/>
                                                        <w:right w:val="none" w:sz="0" w:space="0" w:color="auto"/>
                                                      </w:divBdr>
                                                      <w:divsChild>
                                                        <w:div w:id="15249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92305">
      <w:bodyDiv w:val="1"/>
      <w:marLeft w:val="0"/>
      <w:marRight w:val="0"/>
      <w:marTop w:val="0"/>
      <w:marBottom w:val="0"/>
      <w:divBdr>
        <w:top w:val="none" w:sz="0" w:space="0" w:color="auto"/>
        <w:left w:val="none" w:sz="0" w:space="0" w:color="auto"/>
        <w:bottom w:val="none" w:sz="0" w:space="0" w:color="auto"/>
        <w:right w:val="none" w:sz="0" w:space="0" w:color="auto"/>
      </w:divBdr>
    </w:div>
    <w:div w:id="239877387">
      <w:bodyDiv w:val="1"/>
      <w:marLeft w:val="0"/>
      <w:marRight w:val="0"/>
      <w:marTop w:val="0"/>
      <w:marBottom w:val="0"/>
      <w:divBdr>
        <w:top w:val="none" w:sz="0" w:space="0" w:color="auto"/>
        <w:left w:val="none" w:sz="0" w:space="0" w:color="auto"/>
        <w:bottom w:val="none" w:sz="0" w:space="0" w:color="auto"/>
        <w:right w:val="none" w:sz="0" w:space="0" w:color="auto"/>
      </w:divBdr>
    </w:div>
    <w:div w:id="276184843">
      <w:bodyDiv w:val="1"/>
      <w:marLeft w:val="0"/>
      <w:marRight w:val="0"/>
      <w:marTop w:val="0"/>
      <w:marBottom w:val="0"/>
      <w:divBdr>
        <w:top w:val="none" w:sz="0" w:space="0" w:color="auto"/>
        <w:left w:val="none" w:sz="0" w:space="0" w:color="auto"/>
        <w:bottom w:val="none" w:sz="0" w:space="0" w:color="auto"/>
        <w:right w:val="none" w:sz="0" w:space="0" w:color="auto"/>
      </w:divBdr>
      <w:divsChild>
        <w:div w:id="518085008">
          <w:marLeft w:val="0"/>
          <w:marRight w:val="0"/>
          <w:marTop w:val="0"/>
          <w:marBottom w:val="0"/>
          <w:divBdr>
            <w:top w:val="none" w:sz="0" w:space="0" w:color="auto"/>
            <w:left w:val="none" w:sz="0" w:space="0" w:color="auto"/>
            <w:bottom w:val="none" w:sz="0" w:space="0" w:color="auto"/>
            <w:right w:val="none" w:sz="0" w:space="0" w:color="auto"/>
          </w:divBdr>
          <w:divsChild>
            <w:div w:id="1102606993">
              <w:marLeft w:val="0"/>
              <w:marRight w:val="0"/>
              <w:marTop w:val="0"/>
              <w:marBottom w:val="0"/>
              <w:divBdr>
                <w:top w:val="none" w:sz="0" w:space="0" w:color="auto"/>
                <w:left w:val="none" w:sz="0" w:space="0" w:color="auto"/>
                <w:bottom w:val="none" w:sz="0" w:space="0" w:color="auto"/>
                <w:right w:val="none" w:sz="0" w:space="0" w:color="auto"/>
              </w:divBdr>
            </w:div>
            <w:div w:id="1123620295">
              <w:marLeft w:val="0"/>
              <w:marRight w:val="0"/>
              <w:marTop w:val="0"/>
              <w:marBottom w:val="0"/>
              <w:divBdr>
                <w:top w:val="none" w:sz="0" w:space="0" w:color="auto"/>
                <w:left w:val="none" w:sz="0" w:space="0" w:color="auto"/>
                <w:bottom w:val="none" w:sz="0" w:space="0" w:color="auto"/>
                <w:right w:val="none" w:sz="0" w:space="0" w:color="auto"/>
              </w:divBdr>
            </w:div>
            <w:div w:id="89202336">
              <w:marLeft w:val="0"/>
              <w:marRight w:val="0"/>
              <w:marTop w:val="0"/>
              <w:marBottom w:val="0"/>
              <w:divBdr>
                <w:top w:val="none" w:sz="0" w:space="0" w:color="auto"/>
                <w:left w:val="none" w:sz="0" w:space="0" w:color="auto"/>
                <w:bottom w:val="none" w:sz="0" w:space="0" w:color="auto"/>
                <w:right w:val="none" w:sz="0" w:space="0" w:color="auto"/>
              </w:divBdr>
            </w:div>
            <w:div w:id="1958027700">
              <w:marLeft w:val="0"/>
              <w:marRight w:val="0"/>
              <w:marTop w:val="0"/>
              <w:marBottom w:val="0"/>
              <w:divBdr>
                <w:top w:val="none" w:sz="0" w:space="0" w:color="auto"/>
                <w:left w:val="none" w:sz="0" w:space="0" w:color="auto"/>
                <w:bottom w:val="none" w:sz="0" w:space="0" w:color="auto"/>
                <w:right w:val="none" w:sz="0" w:space="0" w:color="auto"/>
              </w:divBdr>
            </w:div>
            <w:div w:id="116457744">
              <w:marLeft w:val="0"/>
              <w:marRight w:val="0"/>
              <w:marTop w:val="0"/>
              <w:marBottom w:val="0"/>
              <w:divBdr>
                <w:top w:val="none" w:sz="0" w:space="0" w:color="auto"/>
                <w:left w:val="none" w:sz="0" w:space="0" w:color="auto"/>
                <w:bottom w:val="none" w:sz="0" w:space="0" w:color="auto"/>
                <w:right w:val="none" w:sz="0" w:space="0" w:color="auto"/>
              </w:divBdr>
            </w:div>
            <w:div w:id="11872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00547">
      <w:bodyDiv w:val="1"/>
      <w:marLeft w:val="0"/>
      <w:marRight w:val="0"/>
      <w:marTop w:val="0"/>
      <w:marBottom w:val="0"/>
      <w:divBdr>
        <w:top w:val="none" w:sz="0" w:space="0" w:color="auto"/>
        <w:left w:val="none" w:sz="0" w:space="0" w:color="auto"/>
        <w:bottom w:val="none" w:sz="0" w:space="0" w:color="auto"/>
        <w:right w:val="none" w:sz="0" w:space="0" w:color="auto"/>
      </w:divBdr>
    </w:div>
    <w:div w:id="428821492">
      <w:bodyDiv w:val="1"/>
      <w:marLeft w:val="0"/>
      <w:marRight w:val="0"/>
      <w:marTop w:val="0"/>
      <w:marBottom w:val="0"/>
      <w:divBdr>
        <w:top w:val="none" w:sz="0" w:space="0" w:color="auto"/>
        <w:left w:val="none" w:sz="0" w:space="0" w:color="auto"/>
        <w:bottom w:val="none" w:sz="0" w:space="0" w:color="auto"/>
        <w:right w:val="none" w:sz="0" w:space="0" w:color="auto"/>
      </w:divBdr>
    </w:div>
    <w:div w:id="435249164">
      <w:bodyDiv w:val="1"/>
      <w:marLeft w:val="0"/>
      <w:marRight w:val="0"/>
      <w:marTop w:val="0"/>
      <w:marBottom w:val="0"/>
      <w:divBdr>
        <w:top w:val="none" w:sz="0" w:space="0" w:color="auto"/>
        <w:left w:val="none" w:sz="0" w:space="0" w:color="auto"/>
        <w:bottom w:val="none" w:sz="0" w:space="0" w:color="auto"/>
        <w:right w:val="none" w:sz="0" w:space="0" w:color="auto"/>
      </w:divBdr>
      <w:divsChild>
        <w:div w:id="1658606712">
          <w:marLeft w:val="0"/>
          <w:marRight w:val="0"/>
          <w:marTop w:val="0"/>
          <w:marBottom w:val="0"/>
          <w:divBdr>
            <w:top w:val="none" w:sz="0" w:space="0" w:color="auto"/>
            <w:left w:val="none" w:sz="0" w:space="0" w:color="auto"/>
            <w:bottom w:val="none" w:sz="0" w:space="0" w:color="auto"/>
            <w:right w:val="none" w:sz="0" w:space="0" w:color="auto"/>
          </w:divBdr>
          <w:divsChild>
            <w:div w:id="1200165098">
              <w:marLeft w:val="0"/>
              <w:marRight w:val="0"/>
              <w:marTop w:val="0"/>
              <w:marBottom w:val="0"/>
              <w:divBdr>
                <w:top w:val="none" w:sz="0" w:space="0" w:color="auto"/>
                <w:left w:val="none" w:sz="0" w:space="0" w:color="auto"/>
                <w:bottom w:val="none" w:sz="0" w:space="0" w:color="auto"/>
                <w:right w:val="none" w:sz="0" w:space="0" w:color="auto"/>
              </w:divBdr>
              <w:divsChild>
                <w:div w:id="1935094079">
                  <w:marLeft w:val="0"/>
                  <w:marRight w:val="0"/>
                  <w:marTop w:val="0"/>
                  <w:marBottom w:val="0"/>
                  <w:divBdr>
                    <w:top w:val="none" w:sz="0" w:space="0" w:color="auto"/>
                    <w:left w:val="none" w:sz="0" w:space="0" w:color="auto"/>
                    <w:bottom w:val="none" w:sz="0" w:space="0" w:color="auto"/>
                    <w:right w:val="none" w:sz="0" w:space="0" w:color="auto"/>
                  </w:divBdr>
                  <w:divsChild>
                    <w:div w:id="1970820629">
                      <w:marLeft w:val="0"/>
                      <w:marRight w:val="0"/>
                      <w:marTop w:val="0"/>
                      <w:marBottom w:val="0"/>
                      <w:divBdr>
                        <w:top w:val="none" w:sz="0" w:space="0" w:color="auto"/>
                        <w:left w:val="none" w:sz="0" w:space="0" w:color="auto"/>
                        <w:bottom w:val="none" w:sz="0" w:space="0" w:color="auto"/>
                        <w:right w:val="none" w:sz="0" w:space="0" w:color="auto"/>
                      </w:divBdr>
                      <w:divsChild>
                        <w:div w:id="1336150260">
                          <w:marLeft w:val="0"/>
                          <w:marRight w:val="0"/>
                          <w:marTop w:val="0"/>
                          <w:marBottom w:val="0"/>
                          <w:divBdr>
                            <w:top w:val="none" w:sz="0" w:space="0" w:color="auto"/>
                            <w:left w:val="none" w:sz="0" w:space="0" w:color="auto"/>
                            <w:bottom w:val="none" w:sz="0" w:space="0" w:color="auto"/>
                            <w:right w:val="none" w:sz="0" w:space="0" w:color="auto"/>
                          </w:divBdr>
                          <w:divsChild>
                            <w:div w:id="1338577830">
                              <w:marLeft w:val="0"/>
                              <w:marRight w:val="0"/>
                              <w:marTop w:val="0"/>
                              <w:marBottom w:val="0"/>
                              <w:divBdr>
                                <w:top w:val="none" w:sz="0" w:space="0" w:color="auto"/>
                                <w:left w:val="none" w:sz="0" w:space="0" w:color="auto"/>
                                <w:bottom w:val="none" w:sz="0" w:space="0" w:color="auto"/>
                                <w:right w:val="none" w:sz="0" w:space="0" w:color="auto"/>
                              </w:divBdr>
                              <w:divsChild>
                                <w:div w:id="1931312746">
                                  <w:marLeft w:val="0"/>
                                  <w:marRight w:val="0"/>
                                  <w:marTop w:val="0"/>
                                  <w:marBottom w:val="0"/>
                                  <w:divBdr>
                                    <w:top w:val="none" w:sz="0" w:space="0" w:color="auto"/>
                                    <w:left w:val="none" w:sz="0" w:space="0" w:color="auto"/>
                                    <w:bottom w:val="none" w:sz="0" w:space="0" w:color="auto"/>
                                    <w:right w:val="none" w:sz="0" w:space="0" w:color="auto"/>
                                  </w:divBdr>
                                  <w:divsChild>
                                    <w:div w:id="1952007526">
                                      <w:marLeft w:val="0"/>
                                      <w:marRight w:val="0"/>
                                      <w:marTop w:val="0"/>
                                      <w:marBottom w:val="0"/>
                                      <w:divBdr>
                                        <w:top w:val="none" w:sz="0" w:space="0" w:color="auto"/>
                                        <w:left w:val="none" w:sz="0" w:space="0" w:color="auto"/>
                                        <w:bottom w:val="none" w:sz="0" w:space="0" w:color="auto"/>
                                        <w:right w:val="none" w:sz="0" w:space="0" w:color="auto"/>
                                      </w:divBdr>
                                      <w:divsChild>
                                        <w:div w:id="1127775414">
                                          <w:marLeft w:val="0"/>
                                          <w:marRight w:val="0"/>
                                          <w:marTop w:val="0"/>
                                          <w:marBottom w:val="0"/>
                                          <w:divBdr>
                                            <w:top w:val="none" w:sz="0" w:space="0" w:color="auto"/>
                                            <w:left w:val="none" w:sz="0" w:space="0" w:color="auto"/>
                                            <w:bottom w:val="none" w:sz="0" w:space="0" w:color="auto"/>
                                            <w:right w:val="none" w:sz="0" w:space="0" w:color="auto"/>
                                          </w:divBdr>
                                          <w:divsChild>
                                            <w:div w:id="318536497">
                                              <w:marLeft w:val="0"/>
                                              <w:marRight w:val="0"/>
                                              <w:marTop w:val="0"/>
                                              <w:marBottom w:val="0"/>
                                              <w:divBdr>
                                                <w:top w:val="none" w:sz="0" w:space="0" w:color="auto"/>
                                                <w:left w:val="none" w:sz="0" w:space="0" w:color="auto"/>
                                                <w:bottom w:val="none" w:sz="0" w:space="0" w:color="auto"/>
                                                <w:right w:val="none" w:sz="0" w:space="0" w:color="auto"/>
                                              </w:divBdr>
                                              <w:divsChild>
                                                <w:div w:id="1895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053808">
      <w:bodyDiv w:val="1"/>
      <w:marLeft w:val="0"/>
      <w:marRight w:val="0"/>
      <w:marTop w:val="0"/>
      <w:marBottom w:val="0"/>
      <w:divBdr>
        <w:top w:val="none" w:sz="0" w:space="0" w:color="auto"/>
        <w:left w:val="none" w:sz="0" w:space="0" w:color="auto"/>
        <w:bottom w:val="none" w:sz="0" w:space="0" w:color="auto"/>
        <w:right w:val="none" w:sz="0" w:space="0" w:color="auto"/>
      </w:divBdr>
    </w:div>
    <w:div w:id="697387398">
      <w:bodyDiv w:val="1"/>
      <w:marLeft w:val="0"/>
      <w:marRight w:val="0"/>
      <w:marTop w:val="0"/>
      <w:marBottom w:val="0"/>
      <w:divBdr>
        <w:top w:val="none" w:sz="0" w:space="0" w:color="auto"/>
        <w:left w:val="none" w:sz="0" w:space="0" w:color="auto"/>
        <w:bottom w:val="none" w:sz="0" w:space="0" w:color="auto"/>
        <w:right w:val="none" w:sz="0" w:space="0" w:color="auto"/>
      </w:divBdr>
    </w:div>
    <w:div w:id="767969945">
      <w:bodyDiv w:val="1"/>
      <w:marLeft w:val="0"/>
      <w:marRight w:val="0"/>
      <w:marTop w:val="0"/>
      <w:marBottom w:val="0"/>
      <w:divBdr>
        <w:top w:val="none" w:sz="0" w:space="0" w:color="auto"/>
        <w:left w:val="none" w:sz="0" w:space="0" w:color="auto"/>
        <w:bottom w:val="none" w:sz="0" w:space="0" w:color="auto"/>
        <w:right w:val="none" w:sz="0" w:space="0" w:color="auto"/>
      </w:divBdr>
    </w:div>
    <w:div w:id="786896837">
      <w:bodyDiv w:val="1"/>
      <w:marLeft w:val="0"/>
      <w:marRight w:val="0"/>
      <w:marTop w:val="0"/>
      <w:marBottom w:val="0"/>
      <w:divBdr>
        <w:top w:val="none" w:sz="0" w:space="0" w:color="auto"/>
        <w:left w:val="none" w:sz="0" w:space="0" w:color="auto"/>
        <w:bottom w:val="none" w:sz="0" w:space="0" w:color="auto"/>
        <w:right w:val="none" w:sz="0" w:space="0" w:color="auto"/>
      </w:divBdr>
    </w:div>
    <w:div w:id="923563116">
      <w:bodyDiv w:val="1"/>
      <w:marLeft w:val="0"/>
      <w:marRight w:val="0"/>
      <w:marTop w:val="0"/>
      <w:marBottom w:val="0"/>
      <w:divBdr>
        <w:top w:val="none" w:sz="0" w:space="0" w:color="auto"/>
        <w:left w:val="none" w:sz="0" w:space="0" w:color="auto"/>
        <w:bottom w:val="none" w:sz="0" w:space="0" w:color="auto"/>
        <w:right w:val="none" w:sz="0" w:space="0" w:color="auto"/>
      </w:divBdr>
    </w:div>
    <w:div w:id="949506894">
      <w:bodyDiv w:val="1"/>
      <w:marLeft w:val="0"/>
      <w:marRight w:val="0"/>
      <w:marTop w:val="0"/>
      <w:marBottom w:val="0"/>
      <w:divBdr>
        <w:top w:val="none" w:sz="0" w:space="0" w:color="auto"/>
        <w:left w:val="none" w:sz="0" w:space="0" w:color="auto"/>
        <w:bottom w:val="none" w:sz="0" w:space="0" w:color="auto"/>
        <w:right w:val="none" w:sz="0" w:space="0" w:color="auto"/>
      </w:divBdr>
      <w:divsChild>
        <w:div w:id="471289362">
          <w:marLeft w:val="0"/>
          <w:marRight w:val="0"/>
          <w:marTop w:val="0"/>
          <w:marBottom w:val="0"/>
          <w:divBdr>
            <w:top w:val="none" w:sz="0" w:space="0" w:color="auto"/>
            <w:left w:val="none" w:sz="0" w:space="0" w:color="auto"/>
            <w:bottom w:val="none" w:sz="0" w:space="0" w:color="auto"/>
            <w:right w:val="none" w:sz="0" w:space="0" w:color="auto"/>
          </w:divBdr>
          <w:divsChild>
            <w:div w:id="1233664462">
              <w:marLeft w:val="-225"/>
              <w:marRight w:val="-225"/>
              <w:marTop w:val="0"/>
              <w:marBottom w:val="0"/>
              <w:divBdr>
                <w:top w:val="none" w:sz="0" w:space="0" w:color="auto"/>
                <w:left w:val="none" w:sz="0" w:space="0" w:color="auto"/>
                <w:bottom w:val="none" w:sz="0" w:space="0" w:color="auto"/>
                <w:right w:val="none" w:sz="0" w:space="0" w:color="auto"/>
              </w:divBdr>
              <w:divsChild>
                <w:div w:id="162859728">
                  <w:marLeft w:val="0"/>
                  <w:marRight w:val="0"/>
                  <w:marTop w:val="0"/>
                  <w:marBottom w:val="0"/>
                  <w:divBdr>
                    <w:top w:val="none" w:sz="0" w:space="0" w:color="auto"/>
                    <w:left w:val="none" w:sz="0" w:space="0" w:color="auto"/>
                    <w:bottom w:val="none" w:sz="0" w:space="0" w:color="auto"/>
                    <w:right w:val="none" w:sz="0" w:space="0" w:color="auto"/>
                  </w:divBdr>
                  <w:divsChild>
                    <w:div w:id="253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90138">
      <w:bodyDiv w:val="1"/>
      <w:marLeft w:val="0"/>
      <w:marRight w:val="0"/>
      <w:marTop w:val="0"/>
      <w:marBottom w:val="0"/>
      <w:divBdr>
        <w:top w:val="none" w:sz="0" w:space="0" w:color="auto"/>
        <w:left w:val="none" w:sz="0" w:space="0" w:color="auto"/>
        <w:bottom w:val="none" w:sz="0" w:space="0" w:color="auto"/>
        <w:right w:val="none" w:sz="0" w:space="0" w:color="auto"/>
      </w:divBdr>
      <w:divsChild>
        <w:div w:id="1345782182">
          <w:marLeft w:val="0"/>
          <w:marRight w:val="0"/>
          <w:marTop w:val="0"/>
          <w:marBottom w:val="0"/>
          <w:divBdr>
            <w:top w:val="none" w:sz="0" w:space="0" w:color="auto"/>
            <w:left w:val="none" w:sz="0" w:space="0" w:color="auto"/>
            <w:bottom w:val="none" w:sz="0" w:space="0" w:color="auto"/>
            <w:right w:val="none" w:sz="0" w:space="0" w:color="auto"/>
          </w:divBdr>
          <w:divsChild>
            <w:div w:id="749548466">
              <w:marLeft w:val="0"/>
              <w:marRight w:val="0"/>
              <w:marTop w:val="0"/>
              <w:marBottom w:val="0"/>
              <w:divBdr>
                <w:top w:val="none" w:sz="0" w:space="0" w:color="auto"/>
                <w:left w:val="none" w:sz="0" w:space="0" w:color="auto"/>
                <w:bottom w:val="none" w:sz="0" w:space="0" w:color="auto"/>
                <w:right w:val="none" w:sz="0" w:space="0" w:color="auto"/>
              </w:divBdr>
              <w:divsChild>
                <w:div w:id="2093893878">
                  <w:marLeft w:val="0"/>
                  <w:marRight w:val="0"/>
                  <w:marTop w:val="0"/>
                  <w:marBottom w:val="0"/>
                  <w:divBdr>
                    <w:top w:val="none" w:sz="0" w:space="0" w:color="auto"/>
                    <w:left w:val="none" w:sz="0" w:space="0" w:color="auto"/>
                    <w:bottom w:val="none" w:sz="0" w:space="0" w:color="auto"/>
                    <w:right w:val="none" w:sz="0" w:space="0" w:color="auto"/>
                  </w:divBdr>
                  <w:divsChild>
                    <w:div w:id="1444568681">
                      <w:marLeft w:val="0"/>
                      <w:marRight w:val="0"/>
                      <w:marTop w:val="0"/>
                      <w:marBottom w:val="0"/>
                      <w:divBdr>
                        <w:top w:val="none" w:sz="0" w:space="0" w:color="auto"/>
                        <w:left w:val="none" w:sz="0" w:space="0" w:color="auto"/>
                        <w:bottom w:val="none" w:sz="0" w:space="0" w:color="auto"/>
                        <w:right w:val="none" w:sz="0" w:space="0" w:color="auto"/>
                      </w:divBdr>
                      <w:divsChild>
                        <w:div w:id="590117061">
                          <w:marLeft w:val="0"/>
                          <w:marRight w:val="0"/>
                          <w:marTop w:val="0"/>
                          <w:marBottom w:val="0"/>
                          <w:divBdr>
                            <w:top w:val="none" w:sz="0" w:space="0" w:color="auto"/>
                            <w:left w:val="none" w:sz="0" w:space="0" w:color="auto"/>
                            <w:bottom w:val="none" w:sz="0" w:space="0" w:color="auto"/>
                            <w:right w:val="none" w:sz="0" w:space="0" w:color="auto"/>
                          </w:divBdr>
                          <w:divsChild>
                            <w:div w:id="752825432">
                              <w:marLeft w:val="0"/>
                              <w:marRight w:val="0"/>
                              <w:marTop w:val="0"/>
                              <w:marBottom w:val="0"/>
                              <w:divBdr>
                                <w:top w:val="none" w:sz="0" w:space="0" w:color="auto"/>
                                <w:left w:val="none" w:sz="0" w:space="0" w:color="auto"/>
                                <w:bottom w:val="none" w:sz="0" w:space="0" w:color="auto"/>
                                <w:right w:val="none" w:sz="0" w:space="0" w:color="auto"/>
                              </w:divBdr>
                              <w:divsChild>
                                <w:div w:id="792595555">
                                  <w:marLeft w:val="0"/>
                                  <w:marRight w:val="0"/>
                                  <w:marTop w:val="0"/>
                                  <w:marBottom w:val="0"/>
                                  <w:divBdr>
                                    <w:top w:val="none" w:sz="0" w:space="0" w:color="auto"/>
                                    <w:left w:val="none" w:sz="0" w:space="0" w:color="auto"/>
                                    <w:bottom w:val="none" w:sz="0" w:space="0" w:color="auto"/>
                                    <w:right w:val="none" w:sz="0" w:space="0" w:color="auto"/>
                                  </w:divBdr>
                                  <w:divsChild>
                                    <w:div w:id="268857790">
                                      <w:marLeft w:val="0"/>
                                      <w:marRight w:val="0"/>
                                      <w:marTop w:val="0"/>
                                      <w:marBottom w:val="0"/>
                                      <w:divBdr>
                                        <w:top w:val="none" w:sz="0" w:space="0" w:color="auto"/>
                                        <w:left w:val="none" w:sz="0" w:space="0" w:color="auto"/>
                                        <w:bottom w:val="none" w:sz="0" w:space="0" w:color="auto"/>
                                        <w:right w:val="none" w:sz="0" w:space="0" w:color="auto"/>
                                      </w:divBdr>
                                      <w:divsChild>
                                        <w:div w:id="774984740">
                                          <w:marLeft w:val="0"/>
                                          <w:marRight w:val="0"/>
                                          <w:marTop w:val="0"/>
                                          <w:marBottom w:val="0"/>
                                          <w:divBdr>
                                            <w:top w:val="none" w:sz="0" w:space="0" w:color="auto"/>
                                            <w:left w:val="none" w:sz="0" w:space="0" w:color="auto"/>
                                            <w:bottom w:val="none" w:sz="0" w:space="0" w:color="auto"/>
                                            <w:right w:val="none" w:sz="0" w:space="0" w:color="auto"/>
                                          </w:divBdr>
                                          <w:divsChild>
                                            <w:div w:id="114447067">
                                              <w:marLeft w:val="0"/>
                                              <w:marRight w:val="0"/>
                                              <w:marTop w:val="0"/>
                                              <w:marBottom w:val="0"/>
                                              <w:divBdr>
                                                <w:top w:val="none" w:sz="0" w:space="0" w:color="auto"/>
                                                <w:left w:val="none" w:sz="0" w:space="0" w:color="auto"/>
                                                <w:bottom w:val="none" w:sz="0" w:space="0" w:color="auto"/>
                                                <w:right w:val="none" w:sz="0" w:space="0" w:color="auto"/>
                                              </w:divBdr>
                                              <w:divsChild>
                                                <w:div w:id="160464240">
                                                  <w:marLeft w:val="0"/>
                                                  <w:marRight w:val="0"/>
                                                  <w:marTop w:val="0"/>
                                                  <w:marBottom w:val="0"/>
                                                  <w:divBdr>
                                                    <w:top w:val="none" w:sz="0" w:space="0" w:color="auto"/>
                                                    <w:left w:val="none" w:sz="0" w:space="0" w:color="auto"/>
                                                    <w:bottom w:val="none" w:sz="0" w:space="0" w:color="auto"/>
                                                    <w:right w:val="none" w:sz="0" w:space="0" w:color="auto"/>
                                                  </w:divBdr>
                                                </w:div>
                                                <w:div w:id="1827474717">
                                                  <w:marLeft w:val="0"/>
                                                  <w:marRight w:val="0"/>
                                                  <w:marTop w:val="0"/>
                                                  <w:marBottom w:val="0"/>
                                                  <w:divBdr>
                                                    <w:top w:val="none" w:sz="0" w:space="0" w:color="auto"/>
                                                    <w:left w:val="none" w:sz="0" w:space="0" w:color="auto"/>
                                                    <w:bottom w:val="none" w:sz="0" w:space="0" w:color="auto"/>
                                                    <w:right w:val="none" w:sz="0" w:space="0" w:color="auto"/>
                                                  </w:divBdr>
                                                </w:div>
                                                <w:div w:id="692536002">
                                                  <w:marLeft w:val="0"/>
                                                  <w:marRight w:val="0"/>
                                                  <w:marTop w:val="0"/>
                                                  <w:marBottom w:val="0"/>
                                                  <w:divBdr>
                                                    <w:top w:val="none" w:sz="0" w:space="0" w:color="auto"/>
                                                    <w:left w:val="none" w:sz="0" w:space="0" w:color="auto"/>
                                                    <w:bottom w:val="none" w:sz="0" w:space="0" w:color="auto"/>
                                                    <w:right w:val="none" w:sz="0" w:space="0" w:color="auto"/>
                                                  </w:divBdr>
                                                </w:div>
                                                <w:div w:id="592396726">
                                                  <w:marLeft w:val="0"/>
                                                  <w:marRight w:val="0"/>
                                                  <w:marTop w:val="0"/>
                                                  <w:marBottom w:val="0"/>
                                                  <w:divBdr>
                                                    <w:top w:val="none" w:sz="0" w:space="0" w:color="auto"/>
                                                    <w:left w:val="none" w:sz="0" w:space="0" w:color="auto"/>
                                                    <w:bottom w:val="none" w:sz="0" w:space="0" w:color="auto"/>
                                                    <w:right w:val="none" w:sz="0" w:space="0" w:color="auto"/>
                                                  </w:divBdr>
                                                </w:div>
                                                <w:div w:id="109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007964">
      <w:bodyDiv w:val="1"/>
      <w:marLeft w:val="0"/>
      <w:marRight w:val="0"/>
      <w:marTop w:val="0"/>
      <w:marBottom w:val="0"/>
      <w:divBdr>
        <w:top w:val="none" w:sz="0" w:space="0" w:color="auto"/>
        <w:left w:val="none" w:sz="0" w:space="0" w:color="auto"/>
        <w:bottom w:val="none" w:sz="0" w:space="0" w:color="auto"/>
        <w:right w:val="none" w:sz="0" w:space="0" w:color="auto"/>
      </w:divBdr>
    </w:div>
    <w:div w:id="1048844335">
      <w:bodyDiv w:val="1"/>
      <w:marLeft w:val="0"/>
      <w:marRight w:val="0"/>
      <w:marTop w:val="0"/>
      <w:marBottom w:val="0"/>
      <w:divBdr>
        <w:top w:val="none" w:sz="0" w:space="0" w:color="auto"/>
        <w:left w:val="none" w:sz="0" w:space="0" w:color="auto"/>
        <w:bottom w:val="none" w:sz="0" w:space="0" w:color="auto"/>
        <w:right w:val="none" w:sz="0" w:space="0" w:color="auto"/>
      </w:divBdr>
    </w:div>
    <w:div w:id="1212840344">
      <w:bodyDiv w:val="1"/>
      <w:marLeft w:val="0"/>
      <w:marRight w:val="0"/>
      <w:marTop w:val="0"/>
      <w:marBottom w:val="0"/>
      <w:divBdr>
        <w:top w:val="none" w:sz="0" w:space="0" w:color="auto"/>
        <w:left w:val="none" w:sz="0" w:space="0" w:color="auto"/>
        <w:bottom w:val="none" w:sz="0" w:space="0" w:color="auto"/>
        <w:right w:val="none" w:sz="0" w:space="0" w:color="auto"/>
      </w:divBdr>
      <w:divsChild>
        <w:div w:id="1288852137">
          <w:marLeft w:val="0"/>
          <w:marRight w:val="0"/>
          <w:marTop w:val="0"/>
          <w:marBottom w:val="0"/>
          <w:divBdr>
            <w:top w:val="none" w:sz="0" w:space="0" w:color="auto"/>
            <w:left w:val="none" w:sz="0" w:space="0" w:color="auto"/>
            <w:bottom w:val="none" w:sz="0" w:space="0" w:color="auto"/>
            <w:right w:val="none" w:sz="0" w:space="0" w:color="auto"/>
          </w:divBdr>
          <w:divsChild>
            <w:div w:id="127744890">
              <w:marLeft w:val="0"/>
              <w:marRight w:val="0"/>
              <w:marTop w:val="0"/>
              <w:marBottom w:val="0"/>
              <w:divBdr>
                <w:top w:val="none" w:sz="0" w:space="0" w:color="auto"/>
                <w:left w:val="none" w:sz="0" w:space="0" w:color="auto"/>
                <w:bottom w:val="none" w:sz="0" w:space="0" w:color="auto"/>
                <w:right w:val="none" w:sz="0" w:space="0" w:color="auto"/>
              </w:divBdr>
              <w:divsChild>
                <w:div w:id="1690331457">
                  <w:marLeft w:val="0"/>
                  <w:marRight w:val="0"/>
                  <w:marTop w:val="0"/>
                  <w:marBottom w:val="0"/>
                  <w:divBdr>
                    <w:top w:val="none" w:sz="0" w:space="0" w:color="auto"/>
                    <w:left w:val="none" w:sz="0" w:space="0" w:color="auto"/>
                    <w:bottom w:val="none" w:sz="0" w:space="0" w:color="auto"/>
                    <w:right w:val="none" w:sz="0" w:space="0" w:color="auto"/>
                  </w:divBdr>
                  <w:divsChild>
                    <w:div w:id="1650204683">
                      <w:marLeft w:val="0"/>
                      <w:marRight w:val="0"/>
                      <w:marTop w:val="0"/>
                      <w:marBottom w:val="0"/>
                      <w:divBdr>
                        <w:top w:val="none" w:sz="0" w:space="0" w:color="auto"/>
                        <w:left w:val="none" w:sz="0" w:space="0" w:color="auto"/>
                        <w:bottom w:val="none" w:sz="0" w:space="0" w:color="auto"/>
                        <w:right w:val="none" w:sz="0" w:space="0" w:color="auto"/>
                      </w:divBdr>
                      <w:divsChild>
                        <w:div w:id="2018846515">
                          <w:marLeft w:val="0"/>
                          <w:marRight w:val="0"/>
                          <w:marTop w:val="0"/>
                          <w:marBottom w:val="0"/>
                          <w:divBdr>
                            <w:top w:val="none" w:sz="0" w:space="0" w:color="auto"/>
                            <w:left w:val="none" w:sz="0" w:space="0" w:color="auto"/>
                            <w:bottom w:val="none" w:sz="0" w:space="0" w:color="auto"/>
                            <w:right w:val="none" w:sz="0" w:space="0" w:color="auto"/>
                          </w:divBdr>
                          <w:divsChild>
                            <w:div w:id="42170805">
                              <w:marLeft w:val="0"/>
                              <w:marRight w:val="0"/>
                              <w:marTop w:val="0"/>
                              <w:marBottom w:val="0"/>
                              <w:divBdr>
                                <w:top w:val="none" w:sz="0" w:space="0" w:color="auto"/>
                                <w:left w:val="none" w:sz="0" w:space="0" w:color="auto"/>
                                <w:bottom w:val="none" w:sz="0" w:space="0" w:color="auto"/>
                                <w:right w:val="none" w:sz="0" w:space="0" w:color="auto"/>
                              </w:divBdr>
                              <w:divsChild>
                                <w:div w:id="637029168">
                                  <w:marLeft w:val="0"/>
                                  <w:marRight w:val="0"/>
                                  <w:marTop w:val="0"/>
                                  <w:marBottom w:val="0"/>
                                  <w:divBdr>
                                    <w:top w:val="none" w:sz="0" w:space="0" w:color="auto"/>
                                    <w:left w:val="none" w:sz="0" w:space="0" w:color="auto"/>
                                    <w:bottom w:val="none" w:sz="0" w:space="0" w:color="auto"/>
                                    <w:right w:val="none" w:sz="0" w:space="0" w:color="auto"/>
                                  </w:divBdr>
                                </w:div>
                              </w:divsChild>
                            </w:div>
                            <w:div w:id="1049113996">
                              <w:marLeft w:val="0"/>
                              <w:marRight w:val="0"/>
                              <w:marTop w:val="0"/>
                              <w:marBottom w:val="0"/>
                              <w:divBdr>
                                <w:top w:val="none" w:sz="0" w:space="0" w:color="auto"/>
                                <w:left w:val="none" w:sz="0" w:space="0" w:color="auto"/>
                                <w:bottom w:val="none" w:sz="0" w:space="0" w:color="auto"/>
                                <w:right w:val="none" w:sz="0" w:space="0" w:color="auto"/>
                              </w:divBdr>
                              <w:divsChild>
                                <w:div w:id="1083332359">
                                  <w:marLeft w:val="0"/>
                                  <w:marRight w:val="0"/>
                                  <w:marTop w:val="0"/>
                                  <w:marBottom w:val="0"/>
                                  <w:divBdr>
                                    <w:top w:val="none" w:sz="0" w:space="0" w:color="auto"/>
                                    <w:left w:val="none" w:sz="0" w:space="0" w:color="auto"/>
                                    <w:bottom w:val="none" w:sz="0" w:space="0" w:color="auto"/>
                                    <w:right w:val="none" w:sz="0" w:space="0" w:color="auto"/>
                                  </w:divBdr>
                                </w:div>
                              </w:divsChild>
                            </w:div>
                            <w:div w:id="785807031">
                              <w:marLeft w:val="0"/>
                              <w:marRight w:val="0"/>
                              <w:marTop w:val="0"/>
                              <w:marBottom w:val="0"/>
                              <w:divBdr>
                                <w:top w:val="none" w:sz="0" w:space="0" w:color="auto"/>
                                <w:left w:val="none" w:sz="0" w:space="0" w:color="auto"/>
                                <w:bottom w:val="none" w:sz="0" w:space="0" w:color="auto"/>
                                <w:right w:val="none" w:sz="0" w:space="0" w:color="auto"/>
                              </w:divBdr>
                              <w:divsChild>
                                <w:div w:id="14416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923220">
      <w:bodyDiv w:val="1"/>
      <w:marLeft w:val="0"/>
      <w:marRight w:val="0"/>
      <w:marTop w:val="0"/>
      <w:marBottom w:val="0"/>
      <w:divBdr>
        <w:top w:val="none" w:sz="0" w:space="0" w:color="auto"/>
        <w:left w:val="none" w:sz="0" w:space="0" w:color="auto"/>
        <w:bottom w:val="none" w:sz="0" w:space="0" w:color="auto"/>
        <w:right w:val="none" w:sz="0" w:space="0" w:color="auto"/>
      </w:divBdr>
    </w:div>
    <w:div w:id="1364212925">
      <w:bodyDiv w:val="1"/>
      <w:marLeft w:val="0"/>
      <w:marRight w:val="0"/>
      <w:marTop w:val="0"/>
      <w:marBottom w:val="0"/>
      <w:divBdr>
        <w:top w:val="none" w:sz="0" w:space="0" w:color="auto"/>
        <w:left w:val="none" w:sz="0" w:space="0" w:color="auto"/>
        <w:bottom w:val="none" w:sz="0" w:space="0" w:color="auto"/>
        <w:right w:val="none" w:sz="0" w:space="0" w:color="auto"/>
      </w:divBdr>
    </w:div>
    <w:div w:id="1393887737">
      <w:bodyDiv w:val="1"/>
      <w:marLeft w:val="0"/>
      <w:marRight w:val="0"/>
      <w:marTop w:val="0"/>
      <w:marBottom w:val="0"/>
      <w:divBdr>
        <w:top w:val="none" w:sz="0" w:space="0" w:color="auto"/>
        <w:left w:val="none" w:sz="0" w:space="0" w:color="auto"/>
        <w:bottom w:val="none" w:sz="0" w:space="0" w:color="auto"/>
        <w:right w:val="none" w:sz="0" w:space="0" w:color="auto"/>
      </w:divBdr>
      <w:divsChild>
        <w:div w:id="702901561">
          <w:marLeft w:val="0"/>
          <w:marRight w:val="0"/>
          <w:marTop w:val="0"/>
          <w:marBottom w:val="0"/>
          <w:divBdr>
            <w:top w:val="none" w:sz="0" w:space="0" w:color="auto"/>
            <w:left w:val="none" w:sz="0" w:space="0" w:color="auto"/>
            <w:bottom w:val="none" w:sz="0" w:space="0" w:color="auto"/>
            <w:right w:val="none" w:sz="0" w:space="0" w:color="auto"/>
          </w:divBdr>
          <w:divsChild>
            <w:div w:id="1964144032">
              <w:marLeft w:val="0"/>
              <w:marRight w:val="0"/>
              <w:marTop w:val="0"/>
              <w:marBottom w:val="0"/>
              <w:divBdr>
                <w:top w:val="none" w:sz="0" w:space="0" w:color="auto"/>
                <w:left w:val="none" w:sz="0" w:space="0" w:color="auto"/>
                <w:bottom w:val="none" w:sz="0" w:space="0" w:color="auto"/>
                <w:right w:val="none" w:sz="0" w:space="0" w:color="auto"/>
              </w:divBdr>
              <w:divsChild>
                <w:div w:id="1661734916">
                  <w:marLeft w:val="0"/>
                  <w:marRight w:val="0"/>
                  <w:marTop w:val="0"/>
                  <w:marBottom w:val="0"/>
                  <w:divBdr>
                    <w:top w:val="none" w:sz="0" w:space="0" w:color="auto"/>
                    <w:left w:val="none" w:sz="0" w:space="0" w:color="auto"/>
                    <w:bottom w:val="none" w:sz="0" w:space="0" w:color="auto"/>
                    <w:right w:val="none" w:sz="0" w:space="0" w:color="auto"/>
                  </w:divBdr>
                  <w:divsChild>
                    <w:div w:id="66848851">
                      <w:marLeft w:val="0"/>
                      <w:marRight w:val="0"/>
                      <w:marTop w:val="0"/>
                      <w:marBottom w:val="0"/>
                      <w:divBdr>
                        <w:top w:val="none" w:sz="0" w:space="0" w:color="auto"/>
                        <w:left w:val="none" w:sz="0" w:space="0" w:color="auto"/>
                        <w:bottom w:val="none" w:sz="0" w:space="0" w:color="auto"/>
                        <w:right w:val="none" w:sz="0" w:space="0" w:color="auto"/>
                      </w:divBdr>
                      <w:divsChild>
                        <w:div w:id="652415371">
                          <w:marLeft w:val="0"/>
                          <w:marRight w:val="0"/>
                          <w:marTop w:val="0"/>
                          <w:marBottom w:val="0"/>
                          <w:divBdr>
                            <w:top w:val="none" w:sz="0" w:space="0" w:color="auto"/>
                            <w:left w:val="none" w:sz="0" w:space="0" w:color="auto"/>
                            <w:bottom w:val="none" w:sz="0" w:space="0" w:color="auto"/>
                            <w:right w:val="none" w:sz="0" w:space="0" w:color="auto"/>
                          </w:divBdr>
                          <w:divsChild>
                            <w:div w:id="840465698">
                              <w:marLeft w:val="0"/>
                              <w:marRight w:val="0"/>
                              <w:marTop w:val="0"/>
                              <w:marBottom w:val="0"/>
                              <w:divBdr>
                                <w:top w:val="none" w:sz="0" w:space="0" w:color="auto"/>
                                <w:left w:val="none" w:sz="0" w:space="0" w:color="auto"/>
                                <w:bottom w:val="none" w:sz="0" w:space="0" w:color="auto"/>
                                <w:right w:val="none" w:sz="0" w:space="0" w:color="auto"/>
                              </w:divBdr>
                              <w:divsChild>
                                <w:div w:id="249966680">
                                  <w:marLeft w:val="0"/>
                                  <w:marRight w:val="0"/>
                                  <w:marTop w:val="0"/>
                                  <w:marBottom w:val="0"/>
                                  <w:divBdr>
                                    <w:top w:val="none" w:sz="0" w:space="0" w:color="auto"/>
                                    <w:left w:val="none" w:sz="0" w:space="0" w:color="auto"/>
                                    <w:bottom w:val="none" w:sz="0" w:space="0" w:color="auto"/>
                                    <w:right w:val="none" w:sz="0" w:space="0" w:color="auto"/>
                                  </w:divBdr>
                                </w:div>
                              </w:divsChild>
                            </w:div>
                            <w:div w:id="39478967">
                              <w:marLeft w:val="0"/>
                              <w:marRight w:val="0"/>
                              <w:marTop w:val="0"/>
                              <w:marBottom w:val="0"/>
                              <w:divBdr>
                                <w:top w:val="none" w:sz="0" w:space="0" w:color="auto"/>
                                <w:left w:val="none" w:sz="0" w:space="0" w:color="auto"/>
                                <w:bottom w:val="none" w:sz="0" w:space="0" w:color="auto"/>
                                <w:right w:val="none" w:sz="0" w:space="0" w:color="auto"/>
                              </w:divBdr>
                              <w:divsChild>
                                <w:div w:id="9437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19482">
      <w:bodyDiv w:val="1"/>
      <w:marLeft w:val="0"/>
      <w:marRight w:val="0"/>
      <w:marTop w:val="0"/>
      <w:marBottom w:val="0"/>
      <w:divBdr>
        <w:top w:val="none" w:sz="0" w:space="0" w:color="auto"/>
        <w:left w:val="none" w:sz="0" w:space="0" w:color="auto"/>
        <w:bottom w:val="none" w:sz="0" w:space="0" w:color="auto"/>
        <w:right w:val="none" w:sz="0" w:space="0" w:color="auto"/>
      </w:divBdr>
    </w:div>
    <w:div w:id="1424107589">
      <w:bodyDiv w:val="1"/>
      <w:marLeft w:val="0"/>
      <w:marRight w:val="0"/>
      <w:marTop w:val="0"/>
      <w:marBottom w:val="0"/>
      <w:divBdr>
        <w:top w:val="none" w:sz="0" w:space="0" w:color="auto"/>
        <w:left w:val="none" w:sz="0" w:space="0" w:color="auto"/>
        <w:bottom w:val="none" w:sz="0" w:space="0" w:color="auto"/>
        <w:right w:val="none" w:sz="0" w:space="0" w:color="auto"/>
      </w:divBdr>
      <w:divsChild>
        <w:div w:id="284385245">
          <w:marLeft w:val="0"/>
          <w:marRight w:val="0"/>
          <w:marTop w:val="0"/>
          <w:marBottom w:val="0"/>
          <w:divBdr>
            <w:top w:val="none" w:sz="0" w:space="0" w:color="auto"/>
            <w:left w:val="none" w:sz="0" w:space="0" w:color="auto"/>
            <w:bottom w:val="none" w:sz="0" w:space="0" w:color="auto"/>
            <w:right w:val="none" w:sz="0" w:space="0" w:color="auto"/>
          </w:divBdr>
          <w:divsChild>
            <w:div w:id="584340466">
              <w:marLeft w:val="0"/>
              <w:marRight w:val="0"/>
              <w:marTop w:val="0"/>
              <w:marBottom w:val="0"/>
              <w:divBdr>
                <w:top w:val="none" w:sz="0" w:space="0" w:color="auto"/>
                <w:left w:val="none" w:sz="0" w:space="0" w:color="auto"/>
                <w:bottom w:val="none" w:sz="0" w:space="0" w:color="auto"/>
                <w:right w:val="none" w:sz="0" w:space="0" w:color="auto"/>
              </w:divBdr>
              <w:divsChild>
                <w:div w:id="1199246701">
                  <w:marLeft w:val="0"/>
                  <w:marRight w:val="0"/>
                  <w:marTop w:val="0"/>
                  <w:marBottom w:val="0"/>
                  <w:divBdr>
                    <w:top w:val="none" w:sz="0" w:space="0" w:color="auto"/>
                    <w:left w:val="none" w:sz="0" w:space="0" w:color="auto"/>
                    <w:bottom w:val="none" w:sz="0" w:space="0" w:color="auto"/>
                    <w:right w:val="none" w:sz="0" w:space="0" w:color="auto"/>
                  </w:divBdr>
                  <w:divsChild>
                    <w:div w:id="2103329451">
                      <w:marLeft w:val="0"/>
                      <w:marRight w:val="0"/>
                      <w:marTop w:val="0"/>
                      <w:marBottom w:val="0"/>
                      <w:divBdr>
                        <w:top w:val="none" w:sz="0" w:space="0" w:color="auto"/>
                        <w:left w:val="none" w:sz="0" w:space="0" w:color="auto"/>
                        <w:bottom w:val="none" w:sz="0" w:space="0" w:color="auto"/>
                        <w:right w:val="none" w:sz="0" w:space="0" w:color="auto"/>
                      </w:divBdr>
                      <w:divsChild>
                        <w:div w:id="276525481">
                          <w:marLeft w:val="0"/>
                          <w:marRight w:val="0"/>
                          <w:marTop w:val="0"/>
                          <w:marBottom w:val="0"/>
                          <w:divBdr>
                            <w:top w:val="none" w:sz="0" w:space="0" w:color="auto"/>
                            <w:left w:val="none" w:sz="0" w:space="0" w:color="auto"/>
                            <w:bottom w:val="none" w:sz="0" w:space="0" w:color="auto"/>
                            <w:right w:val="none" w:sz="0" w:space="0" w:color="auto"/>
                          </w:divBdr>
                          <w:divsChild>
                            <w:div w:id="243689676">
                              <w:marLeft w:val="0"/>
                              <w:marRight w:val="0"/>
                              <w:marTop w:val="0"/>
                              <w:marBottom w:val="0"/>
                              <w:divBdr>
                                <w:top w:val="none" w:sz="0" w:space="0" w:color="auto"/>
                                <w:left w:val="none" w:sz="0" w:space="0" w:color="auto"/>
                                <w:bottom w:val="none" w:sz="0" w:space="0" w:color="auto"/>
                                <w:right w:val="none" w:sz="0" w:space="0" w:color="auto"/>
                              </w:divBdr>
                              <w:divsChild>
                                <w:div w:id="564487526">
                                  <w:marLeft w:val="0"/>
                                  <w:marRight w:val="0"/>
                                  <w:marTop w:val="0"/>
                                  <w:marBottom w:val="0"/>
                                  <w:divBdr>
                                    <w:top w:val="none" w:sz="0" w:space="0" w:color="auto"/>
                                    <w:left w:val="none" w:sz="0" w:space="0" w:color="auto"/>
                                    <w:bottom w:val="none" w:sz="0" w:space="0" w:color="auto"/>
                                    <w:right w:val="none" w:sz="0" w:space="0" w:color="auto"/>
                                  </w:divBdr>
                                  <w:divsChild>
                                    <w:div w:id="173809804">
                                      <w:marLeft w:val="0"/>
                                      <w:marRight w:val="0"/>
                                      <w:marTop w:val="0"/>
                                      <w:marBottom w:val="0"/>
                                      <w:divBdr>
                                        <w:top w:val="none" w:sz="0" w:space="0" w:color="auto"/>
                                        <w:left w:val="none" w:sz="0" w:space="0" w:color="auto"/>
                                        <w:bottom w:val="none" w:sz="0" w:space="0" w:color="auto"/>
                                        <w:right w:val="none" w:sz="0" w:space="0" w:color="auto"/>
                                      </w:divBdr>
                                      <w:divsChild>
                                        <w:div w:id="1148011305">
                                          <w:marLeft w:val="0"/>
                                          <w:marRight w:val="0"/>
                                          <w:marTop w:val="0"/>
                                          <w:marBottom w:val="0"/>
                                          <w:divBdr>
                                            <w:top w:val="none" w:sz="0" w:space="0" w:color="auto"/>
                                            <w:left w:val="none" w:sz="0" w:space="0" w:color="auto"/>
                                            <w:bottom w:val="none" w:sz="0" w:space="0" w:color="auto"/>
                                            <w:right w:val="none" w:sz="0" w:space="0" w:color="auto"/>
                                          </w:divBdr>
                                          <w:divsChild>
                                            <w:div w:id="958756334">
                                              <w:marLeft w:val="0"/>
                                              <w:marRight w:val="0"/>
                                              <w:marTop w:val="0"/>
                                              <w:marBottom w:val="0"/>
                                              <w:divBdr>
                                                <w:top w:val="none" w:sz="0" w:space="0" w:color="auto"/>
                                                <w:left w:val="none" w:sz="0" w:space="0" w:color="auto"/>
                                                <w:bottom w:val="none" w:sz="0" w:space="0" w:color="auto"/>
                                                <w:right w:val="none" w:sz="0" w:space="0" w:color="auto"/>
                                              </w:divBdr>
                                              <w:divsChild>
                                                <w:div w:id="2127310168">
                                                  <w:marLeft w:val="0"/>
                                                  <w:marRight w:val="0"/>
                                                  <w:marTop w:val="0"/>
                                                  <w:marBottom w:val="0"/>
                                                  <w:divBdr>
                                                    <w:top w:val="none" w:sz="0" w:space="0" w:color="auto"/>
                                                    <w:left w:val="none" w:sz="0" w:space="0" w:color="auto"/>
                                                    <w:bottom w:val="none" w:sz="0" w:space="0" w:color="auto"/>
                                                    <w:right w:val="none" w:sz="0" w:space="0" w:color="auto"/>
                                                  </w:divBdr>
                                                </w:div>
                                                <w:div w:id="579295870">
                                                  <w:marLeft w:val="0"/>
                                                  <w:marRight w:val="0"/>
                                                  <w:marTop w:val="0"/>
                                                  <w:marBottom w:val="0"/>
                                                  <w:divBdr>
                                                    <w:top w:val="none" w:sz="0" w:space="0" w:color="auto"/>
                                                    <w:left w:val="none" w:sz="0" w:space="0" w:color="auto"/>
                                                    <w:bottom w:val="none" w:sz="0" w:space="0" w:color="auto"/>
                                                    <w:right w:val="none" w:sz="0" w:space="0" w:color="auto"/>
                                                  </w:divBdr>
                                                </w:div>
                                                <w:div w:id="808404239">
                                                  <w:marLeft w:val="0"/>
                                                  <w:marRight w:val="0"/>
                                                  <w:marTop w:val="0"/>
                                                  <w:marBottom w:val="0"/>
                                                  <w:divBdr>
                                                    <w:top w:val="none" w:sz="0" w:space="0" w:color="auto"/>
                                                    <w:left w:val="none" w:sz="0" w:space="0" w:color="auto"/>
                                                    <w:bottom w:val="none" w:sz="0" w:space="0" w:color="auto"/>
                                                    <w:right w:val="none" w:sz="0" w:space="0" w:color="auto"/>
                                                  </w:divBdr>
                                                </w:div>
                                                <w:div w:id="1549293334">
                                                  <w:marLeft w:val="0"/>
                                                  <w:marRight w:val="0"/>
                                                  <w:marTop w:val="0"/>
                                                  <w:marBottom w:val="0"/>
                                                  <w:divBdr>
                                                    <w:top w:val="none" w:sz="0" w:space="0" w:color="auto"/>
                                                    <w:left w:val="none" w:sz="0" w:space="0" w:color="auto"/>
                                                    <w:bottom w:val="none" w:sz="0" w:space="0" w:color="auto"/>
                                                    <w:right w:val="none" w:sz="0" w:space="0" w:color="auto"/>
                                                  </w:divBdr>
                                                </w:div>
                                                <w:div w:id="3765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161249">
      <w:bodyDiv w:val="1"/>
      <w:marLeft w:val="0"/>
      <w:marRight w:val="0"/>
      <w:marTop w:val="0"/>
      <w:marBottom w:val="0"/>
      <w:divBdr>
        <w:top w:val="none" w:sz="0" w:space="0" w:color="auto"/>
        <w:left w:val="none" w:sz="0" w:space="0" w:color="auto"/>
        <w:bottom w:val="none" w:sz="0" w:space="0" w:color="auto"/>
        <w:right w:val="none" w:sz="0" w:space="0" w:color="auto"/>
      </w:divBdr>
      <w:divsChild>
        <w:div w:id="524057064">
          <w:marLeft w:val="0"/>
          <w:marRight w:val="0"/>
          <w:marTop w:val="0"/>
          <w:marBottom w:val="0"/>
          <w:divBdr>
            <w:top w:val="none" w:sz="0" w:space="0" w:color="auto"/>
            <w:left w:val="none" w:sz="0" w:space="0" w:color="auto"/>
            <w:bottom w:val="none" w:sz="0" w:space="0" w:color="auto"/>
            <w:right w:val="none" w:sz="0" w:space="0" w:color="auto"/>
          </w:divBdr>
          <w:divsChild>
            <w:div w:id="1060833608">
              <w:marLeft w:val="0"/>
              <w:marRight w:val="0"/>
              <w:marTop w:val="0"/>
              <w:marBottom w:val="0"/>
              <w:divBdr>
                <w:top w:val="none" w:sz="0" w:space="0" w:color="auto"/>
                <w:left w:val="none" w:sz="0" w:space="0" w:color="auto"/>
                <w:bottom w:val="none" w:sz="0" w:space="0" w:color="auto"/>
                <w:right w:val="none" w:sz="0" w:space="0" w:color="auto"/>
              </w:divBdr>
              <w:divsChild>
                <w:div w:id="716970861">
                  <w:marLeft w:val="0"/>
                  <w:marRight w:val="0"/>
                  <w:marTop w:val="0"/>
                  <w:marBottom w:val="0"/>
                  <w:divBdr>
                    <w:top w:val="none" w:sz="0" w:space="0" w:color="auto"/>
                    <w:left w:val="none" w:sz="0" w:space="0" w:color="auto"/>
                    <w:bottom w:val="none" w:sz="0" w:space="0" w:color="auto"/>
                    <w:right w:val="none" w:sz="0" w:space="0" w:color="auto"/>
                  </w:divBdr>
                  <w:divsChild>
                    <w:div w:id="2073503831">
                      <w:marLeft w:val="0"/>
                      <w:marRight w:val="0"/>
                      <w:marTop w:val="0"/>
                      <w:marBottom w:val="0"/>
                      <w:divBdr>
                        <w:top w:val="none" w:sz="0" w:space="0" w:color="auto"/>
                        <w:left w:val="none" w:sz="0" w:space="0" w:color="auto"/>
                        <w:bottom w:val="none" w:sz="0" w:space="0" w:color="auto"/>
                        <w:right w:val="none" w:sz="0" w:space="0" w:color="auto"/>
                      </w:divBdr>
                      <w:divsChild>
                        <w:div w:id="1769502398">
                          <w:marLeft w:val="0"/>
                          <w:marRight w:val="0"/>
                          <w:marTop w:val="0"/>
                          <w:marBottom w:val="495"/>
                          <w:divBdr>
                            <w:top w:val="none" w:sz="0" w:space="0" w:color="auto"/>
                            <w:left w:val="none" w:sz="0" w:space="0" w:color="auto"/>
                            <w:bottom w:val="none" w:sz="0" w:space="0" w:color="auto"/>
                            <w:right w:val="none" w:sz="0" w:space="0" w:color="auto"/>
                          </w:divBdr>
                          <w:divsChild>
                            <w:div w:id="11438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652078">
      <w:bodyDiv w:val="1"/>
      <w:marLeft w:val="0"/>
      <w:marRight w:val="0"/>
      <w:marTop w:val="0"/>
      <w:marBottom w:val="0"/>
      <w:divBdr>
        <w:top w:val="none" w:sz="0" w:space="0" w:color="auto"/>
        <w:left w:val="none" w:sz="0" w:space="0" w:color="auto"/>
        <w:bottom w:val="none" w:sz="0" w:space="0" w:color="auto"/>
        <w:right w:val="none" w:sz="0" w:space="0" w:color="auto"/>
      </w:divBdr>
    </w:div>
    <w:div w:id="1575436452">
      <w:bodyDiv w:val="1"/>
      <w:marLeft w:val="0"/>
      <w:marRight w:val="0"/>
      <w:marTop w:val="0"/>
      <w:marBottom w:val="0"/>
      <w:divBdr>
        <w:top w:val="none" w:sz="0" w:space="0" w:color="auto"/>
        <w:left w:val="none" w:sz="0" w:space="0" w:color="auto"/>
        <w:bottom w:val="none" w:sz="0" w:space="0" w:color="auto"/>
        <w:right w:val="none" w:sz="0" w:space="0" w:color="auto"/>
      </w:divBdr>
    </w:div>
    <w:div w:id="1584757832">
      <w:bodyDiv w:val="1"/>
      <w:marLeft w:val="0"/>
      <w:marRight w:val="0"/>
      <w:marTop w:val="0"/>
      <w:marBottom w:val="0"/>
      <w:divBdr>
        <w:top w:val="none" w:sz="0" w:space="0" w:color="auto"/>
        <w:left w:val="none" w:sz="0" w:space="0" w:color="auto"/>
        <w:bottom w:val="none" w:sz="0" w:space="0" w:color="auto"/>
        <w:right w:val="none" w:sz="0" w:space="0" w:color="auto"/>
      </w:divBdr>
    </w:div>
    <w:div w:id="1599605546">
      <w:bodyDiv w:val="1"/>
      <w:marLeft w:val="0"/>
      <w:marRight w:val="0"/>
      <w:marTop w:val="0"/>
      <w:marBottom w:val="0"/>
      <w:divBdr>
        <w:top w:val="none" w:sz="0" w:space="0" w:color="auto"/>
        <w:left w:val="none" w:sz="0" w:space="0" w:color="auto"/>
        <w:bottom w:val="none" w:sz="0" w:space="0" w:color="auto"/>
        <w:right w:val="none" w:sz="0" w:space="0" w:color="auto"/>
      </w:divBdr>
    </w:div>
    <w:div w:id="1752315974">
      <w:bodyDiv w:val="1"/>
      <w:marLeft w:val="0"/>
      <w:marRight w:val="0"/>
      <w:marTop w:val="0"/>
      <w:marBottom w:val="0"/>
      <w:divBdr>
        <w:top w:val="none" w:sz="0" w:space="0" w:color="auto"/>
        <w:left w:val="none" w:sz="0" w:space="0" w:color="auto"/>
        <w:bottom w:val="none" w:sz="0" w:space="0" w:color="auto"/>
        <w:right w:val="none" w:sz="0" w:space="0" w:color="auto"/>
      </w:divBdr>
    </w:div>
    <w:div w:id="1872379988">
      <w:bodyDiv w:val="1"/>
      <w:marLeft w:val="0"/>
      <w:marRight w:val="0"/>
      <w:marTop w:val="0"/>
      <w:marBottom w:val="0"/>
      <w:divBdr>
        <w:top w:val="none" w:sz="0" w:space="0" w:color="auto"/>
        <w:left w:val="none" w:sz="0" w:space="0" w:color="auto"/>
        <w:bottom w:val="none" w:sz="0" w:space="0" w:color="auto"/>
        <w:right w:val="none" w:sz="0" w:space="0" w:color="auto"/>
      </w:divBdr>
      <w:divsChild>
        <w:div w:id="1387726563">
          <w:marLeft w:val="0"/>
          <w:marRight w:val="0"/>
          <w:marTop w:val="0"/>
          <w:marBottom w:val="0"/>
          <w:divBdr>
            <w:top w:val="none" w:sz="0" w:space="0" w:color="auto"/>
            <w:left w:val="none" w:sz="0" w:space="0" w:color="auto"/>
            <w:bottom w:val="none" w:sz="0" w:space="0" w:color="auto"/>
            <w:right w:val="none" w:sz="0" w:space="0" w:color="auto"/>
          </w:divBdr>
        </w:div>
        <w:div w:id="1133060798">
          <w:marLeft w:val="0"/>
          <w:marRight w:val="0"/>
          <w:marTop w:val="0"/>
          <w:marBottom w:val="0"/>
          <w:divBdr>
            <w:top w:val="none" w:sz="0" w:space="0" w:color="auto"/>
            <w:left w:val="none" w:sz="0" w:space="0" w:color="auto"/>
            <w:bottom w:val="none" w:sz="0" w:space="0" w:color="auto"/>
            <w:right w:val="none" w:sz="0" w:space="0" w:color="auto"/>
          </w:divBdr>
        </w:div>
        <w:div w:id="1968781987">
          <w:marLeft w:val="0"/>
          <w:marRight w:val="0"/>
          <w:marTop w:val="0"/>
          <w:marBottom w:val="0"/>
          <w:divBdr>
            <w:top w:val="none" w:sz="0" w:space="0" w:color="auto"/>
            <w:left w:val="none" w:sz="0" w:space="0" w:color="auto"/>
            <w:bottom w:val="none" w:sz="0" w:space="0" w:color="auto"/>
            <w:right w:val="none" w:sz="0" w:space="0" w:color="auto"/>
          </w:divBdr>
        </w:div>
        <w:div w:id="317618441">
          <w:marLeft w:val="0"/>
          <w:marRight w:val="0"/>
          <w:marTop w:val="0"/>
          <w:marBottom w:val="0"/>
          <w:divBdr>
            <w:top w:val="none" w:sz="0" w:space="0" w:color="auto"/>
            <w:left w:val="none" w:sz="0" w:space="0" w:color="auto"/>
            <w:bottom w:val="none" w:sz="0" w:space="0" w:color="auto"/>
            <w:right w:val="none" w:sz="0" w:space="0" w:color="auto"/>
          </w:divBdr>
        </w:div>
      </w:divsChild>
    </w:div>
    <w:div w:id="1909267671">
      <w:bodyDiv w:val="1"/>
      <w:marLeft w:val="0"/>
      <w:marRight w:val="0"/>
      <w:marTop w:val="0"/>
      <w:marBottom w:val="0"/>
      <w:divBdr>
        <w:top w:val="none" w:sz="0" w:space="0" w:color="auto"/>
        <w:left w:val="none" w:sz="0" w:space="0" w:color="auto"/>
        <w:bottom w:val="none" w:sz="0" w:space="0" w:color="auto"/>
        <w:right w:val="none" w:sz="0" w:space="0" w:color="auto"/>
      </w:divBdr>
      <w:divsChild>
        <w:div w:id="114062300">
          <w:marLeft w:val="0"/>
          <w:marRight w:val="0"/>
          <w:marTop w:val="0"/>
          <w:marBottom w:val="0"/>
          <w:divBdr>
            <w:top w:val="none" w:sz="0" w:space="0" w:color="auto"/>
            <w:left w:val="none" w:sz="0" w:space="0" w:color="auto"/>
            <w:bottom w:val="none" w:sz="0" w:space="0" w:color="auto"/>
            <w:right w:val="none" w:sz="0" w:space="0" w:color="auto"/>
          </w:divBdr>
          <w:divsChild>
            <w:div w:id="1274048917">
              <w:marLeft w:val="0"/>
              <w:marRight w:val="0"/>
              <w:marTop w:val="0"/>
              <w:marBottom w:val="0"/>
              <w:divBdr>
                <w:top w:val="none" w:sz="0" w:space="0" w:color="auto"/>
                <w:left w:val="none" w:sz="0" w:space="0" w:color="auto"/>
                <w:bottom w:val="none" w:sz="0" w:space="0" w:color="auto"/>
                <w:right w:val="none" w:sz="0" w:space="0" w:color="auto"/>
              </w:divBdr>
              <w:divsChild>
                <w:div w:id="33697464">
                  <w:marLeft w:val="0"/>
                  <w:marRight w:val="0"/>
                  <w:marTop w:val="0"/>
                  <w:marBottom w:val="0"/>
                  <w:divBdr>
                    <w:top w:val="none" w:sz="0" w:space="0" w:color="auto"/>
                    <w:left w:val="none" w:sz="0" w:space="0" w:color="auto"/>
                    <w:bottom w:val="none" w:sz="0" w:space="0" w:color="auto"/>
                    <w:right w:val="none" w:sz="0" w:space="0" w:color="auto"/>
                  </w:divBdr>
                  <w:divsChild>
                    <w:div w:id="1829589735">
                      <w:marLeft w:val="0"/>
                      <w:marRight w:val="0"/>
                      <w:marTop w:val="0"/>
                      <w:marBottom w:val="0"/>
                      <w:divBdr>
                        <w:top w:val="none" w:sz="0" w:space="0" w:color="auto"/>
                        <w:left w:val="none" w:sz="0" w:space="0" w:color="auto"/>
                        <w:bottom w:val="none" w:sz="0" w:space="0" w:color="auto"/>
                        <w:right w:val="none" w:sz="0" w:space="0" w:color="auto"/>
                      </w:divBdr>
                      <w:divsChild>
                        <w:div w:id="274363136">
                          <w:marLeft w:val="0"/>
                          <w:marRight w:val="0"/>
                          <w:marTop w:val="0"/>
                          <w:marBottom w:val="0"/>
                          <w:divBdr>
                            <w:top w:val="none" w:sz="0" w:space="0" w:color="auto"/>
                            <w:left w:val="none" w:sz="0" w:space="0" w:color="auto"/>
                            <w:bottom w:val="none" w:sz="0" w:space="0" w:color="auto"/>
                            <w:right w:val="none" w:sz="0" w:space="0" w:color="auto"/>
                          </w:divBdr>
                          <w:divsChild>
                            <w:div w:id="784933110">
                              <w:marLeft w:val="0"/>
                              <w:marRight w:val="0"/>
                              <w:marTop w:val="0"/>
                              <w:marBottom w:val="0"/>
                              <w:divBdr>
                                <w:top w:val="single" w:sz="2" w:space="0" w:color="EAE9E9"/>
                                <w:left w:val="single" w:sz="2" w:space="0" w:color="EAE9E9"/>
                                <w:bottom w:val="single" w:sz="2" w:space="0" w:color="EAE9E9"/>
                                <w:right w:val="single" w:sz="2" w:space="0" w:color="EAE9E9"/>
                              </w:divBdr>
                              <w:divsChild>
                                <w:div w:id="915432526">
                                  <w:marLeft w:val="0"/>
                                  <w:marRight w:val="0"/>
                                  <w:marTop w:val="0"/>
                                  <w:marBottom w:val="0"/>
                                  <w:divBdr>
                                    <w:top w:val="none" w:sz="0" w:space="0" w:color="auto"/>
                                    <w:left w:val="none" w:sz="0" w:space="0" w:color="auto"/>
                                    <w:bottom w:val="none" w:sz="0" w:space="0" w:color="auto"/>
                                    <w:right w:val="none" w:sz="0" w:space="0" w:color="auto"/>
                                  </w:divBdr>
                                  <w:divsChild>
                                    <w:div w:id="1846168169">
                                      <w:marLeft w:val="0"/>
                                      <w:marRight w:val="0"/>
                                      <w:marTop w:val="0"/>
                                      <w:marBottom w:val="300"/>
                                      <w:divBdr>
                                        <w:top w:val="none" w:sz="0" w:space="0" w:color="auto"/>
                                        <w:left w:val="none" w:sz="0" w:space="0" w:color="auto"/>
                                        <w:bottom w:val="none" w:sz="0" w:space="0" w:color="auto"/>
                                        <w:right w:val="none" w:sz="0" w:space="0" w:color="auto"/>
                                      </w:divBdr>
                                      <w:divsChild>
                                        <w:div w:id="1911769987">
                                          <w:marLeft w:val="0"/>
                                          <w:marRight w:val="0"/>
                                          <w:marTop w:val="0"/>
                                          <w:marBottom w:val="0"/>
                                          <w:divBdr>
                                            <w:top w:val="none" w:sz="0" w:space="0" w:color="auto"/>
                                            <w:left w:val="none" w:sz="0" w:space="0" w:color="auto"/>
                                            <w:bottom w:val="none" w:sz="0" w:space="0" w:color="auto"/>
                                            <w:right w:val="none" w:sz="0" w:space="0" w:color="auto"/>
                                          </w:divBdr>
                                          <w:divsChild>
                                            <w:div w:id="14920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724739">
      <w:bodyDiv w:val="1"/>
      <w:marLeft w:val="0"/>
      <w:marRight w:val="0"/>
      <w:marTop w:val="0"/>
      <w:marBottom w:val="0"/>
      <w:divBdr>
        <w:top w:val="none" w:sz="0" w:space="0" w:color="auto"/>
        <w:left w:val="none" w:sz="0" w:space="0" w:color="auto"/>
        <w:bottom w:val="none" w:sz="0" w:space="0" w:color="auto"/>
        <w:right w:val="none" w:sz="0" w:space="0" w:color="auto"/>
      </w:divBdr>
      <w:divsChild>
        <w:div w:id="1016543569">
          <w:marLeft w:val="0"/>
          <w:marRight w:val="0"/>
          <w:marTop w:val="0"/>
          <w:marBottom w:val="0"/>
          <w:divBdr>
            <w:top w:val="none" w:sz="0" w:space="0" w:color="auto"/>
            <w:left w:val="none" w:sz="0" w:space="0" w:color="auto"/>
            <w:bottom w:val="none" w:sz="0" w:space="0" w:color="auto"/>
            <w:right w:val="none" w:sz="0" w:space="0" w:color="auto"/>
          </w:divBdr>
          <w:divsChild>
            <w:div w:id="1962689986">
              <w:marLeft w:val="0"/>
              <w:marRight w:val="0"/>
              <w:marTop w:val="0"/>
              <w:marBottom w:val="0"/>
              <w:divBdr>
                <w:top w:val="none" w:sz="0" w:space="0" w:color="auto"/>
                <w:left w:val="none" w:sz="0" w:space="0" w:color="auto"/>
                <w:bottom w:val="none" w:sz="0" w:space="0" w:color="auto"/>
                <w:right w:val="none" w:sz="0" w:space="0" w:color="auto"/>
              </w:divBdr>
              <w:divsChild>
                <w:div w:id="105122516">
                  <w:marLeft w:val="0"/>
                  <w:marRight w:val="0"/>
                  <w:marTop w:val="0"/>
                  <w:marBottom w:val="0"/>
                  <w:divBdr>
                    <w:top w:val="none" w:sz="0" w:space="0" w:color="auto"/>
                    <w:left w:val="none" w:sz="0" w:space="0" w:color="auto"/>
                    <w:bottom w:val="none" w:sz="0" w:space="0" w:color="auto"/>
                    <w:right w:val="none" w:sz="0" w:space="0" w:color="auto"/>
                  </w:divBdr>
                  <w:divsChild>
                    <w:div w:id="1198928603">
                      <w:marLeft w:val="0"/>
                      <w:marRight w:val="0"/>
                      <w:marTop w:val="0"/>
                      <w:marBottom w:val="0"/>
                      <w:divBdr>
                        <w:top w:val="none" w:sz="0" w:space="0" w:color="auto"/>
                        <w:left w:val="none" w:sz="0" w:space="0" w:color="auto"/>
                        <w:bottom w:val="none" w:sz="0" w:space="0" w:color="auto"/>
                        <w:right w:val="none" w:sz="0" w:space="0" w:color="auto"/>
                      </w:divBdr>
                      <w:divsChild>
                        <w:div w:id="885601929">
                          <w:marLeft w:val="0"/>
                          <w:marRight w:val="0"/>
                          <w:marTop w:val="0"/>
                          <w:marBottom w:val="0"/>
                          <w:divBdr>
                            <w:top w:val="none" w:sz="0" w:space="0" w:color="auto"/>
                            <w:left w:val="none" w:sz="0" w:space="0" w:color="auto"/>
                            <w:bottom w:val="none" w:sz="0" w:space="0" w:color="auto"/>
                            <w:right w:val="none" w:sz="0" w:space="0" w:color="auto"/>
                          </w:divBdr>
                          <w:divsChild>
                            <w:div w:id="2142377179">
                              <w:marLeft w:val="0"/>
                              <w:marRight w:val="0"/>
                              <w:marTop w:val="0"/>
                              <w:marBottom w:val="0"/>
                              <w:divBdr>
                                <w:top w:val="none" w:sz="0" w:space="0" w:color="auto"/>
                                <w:left w:val="none" w:sz="0" w:space="0" w:color="auto"/>
                                <w:bottom w:val="none" w:sz="0" w:space="0" w:color="auto"/>
                                <w:right w:val="none" w:sz="0" w:space="0" w:color="auto"/>
                              </w:divBdr>
                              <w:divsChild>
                                <w:div w:id="298457350">
                                  <w:marLeft w:val="0"/>
                                  <w:marRight w:val="0"/>
                                  <w:marTop w:val="0"/>
                                  <w:marBottom w:val="0"/>
                                  <w:divBdr>
                                    <w:top w:val="none" w:sz="0" w:space="0" w:color="auto"/>
                                    <w:left w:val="none" w:sz="0" w:space="0" w:color="auto"/>
                                    <w:bottom w:val="none" w:sz="0" w:space="0" w:color="auto"/>
                                    <w:right w:val="none" w:sz="0" w:space="0" w:color="auto"/>
                                  </w:divBdr>
                                  <w:divsChild>
                                    <w:div w:id="1110392163">
                                      <w:marLeft w:val="0"/>
                                      <w:marRight w:val="0"/>
                                      <w:marTop w:val="0"/>
                                      <w:marBottom w:val="0"/>
                                      <w:divBdr>
                                        <w:top w:val="none" w:sz="0" w:space="0" w:color="auto"/>
                                        <w:left w:val="none" w:sz="0" w:space="0" w:color="auto"/>
                                        <w:bottom w:val="none" w:sz="0" w:space="0" w:color="auto"/>
                                        <w:right w:val="none" w:sz="0" w:space="0" w:color="auto"/>
                                      </w:divBdr>
                                      <w:divsChild>
                                        <w:div w:id="10649287">
                                          <w:marLeft w:val="0"/>
                                          <w:marRight w:val="0"/>
                                          <w:marTop w:val="0"/>
                                          <w:marBottom w:val="0"/>
                                          <w:divBdr>
                                            <w:top w:val="none" w:sz="0" w:space="0" w:color="auto"/>
                                            <w:left w:val="none" w:sz="0" w:space="0" w:color="auto"/>
                                            <w:bottom w:val="none" w:sz="0" w:space="0" w:color="auto"/>
                                            <w:right w:val="none" w:sz="0" w:space="0" w:color="auto"/>
                                          </w:divBdr>
                                          <w:divsChild>
                                            <w:div w:id="1694455427">
                                              <w:marLeft w:val="0"/>
                                              <w:marRight w:val="0"/>
                                              <w:marTop w:val="0"/>
                                              <w:marBottom w:val="0"/>
                                              <w:divBdr>
                                                <w:top w:val="none" w:sz="0" w:space="0" w:color="auto"/>
                                                <w:left w:val="none" w:sz="0" w:space="0" w:color="auto"/>
                                                <w:bottom w:val="none" w:sz="0" w:space="0" w:color="auto"/>
                                                <w:right w:val="none" w:sz="0" w:space="0" w:color="auto"/>
                                              </w:divBdr>
                                              <w:divsChild>
                                                <w:div w:id="20499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061557">
      <w:bodyDiv w:val="1"/>
      <w:marLeft w:val="0"/>
      <w:marRight w:val="0"/>
      <w:marTop w:val="0"/>
      <w:marBottom w:val="0"/>
      <w:divBdr>
        <w:top w:val="none" w:sz="0" w:space="0" w:color="auto"/>
        <w:left w:val="none" w:sz="0" w:space="0" w:color="auto"/>
        <w:bottom w:val="none" w:sz="0" w:space="0" w:color="auto"/>
        <w:right w:val="none" w:sz="0" w:space="0" w:color="auto"/>
      </w:divBdr>
    </w:div>
    <w:div w:id="1998267382">
      <w:bodyDiv w:val="1"/>
      <w:marLeft w:val="0"/>
      <w:marRight w:val="0"/>
      <w:marTop w:val="0"/>
      <w:marBottom w:val="0"/>
      <w:divBdr>
        <w:top w:val="none" w:sz="0" w:space="0" w:color="auto"/>
        <w:left w:val="none" w:sz="0" w:space="0" w:color="auto"/>
        <w:bottom w:val="none" w:sz="0" w:space="0" w:color="auto"/>
        <w:right w:val="none" w:sz="0" w:space="0" w:color="auto"/>
      </w:divBdr>
      <w:divsChild>
        <w:div w:id="1504974142">
          <w:marLeft w:val="0"/>
          <w:marRight w:val="0"/>
          <w:marTop w:val="0"/>
          <w:marBottom w:val="0"/>
          <w:divBdr>
            <w:top w:val="none" w:sz="0" w:space="0" w:color="auto"/>
            <w:left w:val="none" w:sz="0" w:space="0" w:color="auto"/>
            <w:bottom w:val="none" w:sz="0" w:space="0" w:color="auto"/>
            <w:right w:val="none" w:sz="0" w:space="0" w:color="auto"/>
          </w:divBdr>
          <w:divsChild>
            <w:div w:id="1003168856">
              <w:marLeft w:val="0"/>
              <w:marRight w:val="0"/>
              <w:marTop w:val="0"/>
              <w:marBottom w:val="0"/>
              <w:divBdr>
                <w:top w:val="none" w:sz="0" w:space="0" w:color="auto"/>
                <w:left w:val="none" w:sz="0" w:space="0" w:color="auto"/>
                <w:bottom w:val="none" w:sz="0" w:space="0" w:color="auto"/>
                <w:right w:val="none" w:sz="0" w:space="0" w:color="auto"/>
              </w:divBdr>
              <w:divsChild>
                <w:div w:id="12901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19665">
      <w:bodyDiv w:val="1"/>
      <w:marLeft w:val="0"/>
      <w:marRight w:val="0"/>
      <w:marTop w:val="0"/>
      <w:marBottom w:val="0"/>
      <w:divBdr>
        <w:top w:val="none" w:sz="0" w:space="0" w:color="auto"/>
        <w:left w:val="none" w:sz="0" w:space="0" w:color="auto"/>
        <w:bottom w:val="none" w:sz="0" w:space="0" w:color="auto"/>
        <w:right w:val="none" w:sz="0" w:space="0" w:color="auto"/>
      </w:divBdr>
    </w:div>
    <w:div w:id="2054301840">
      <w:bodyDiv w:val="1"/>
      <w:marLeft w:val="0"/>
      <w:marRight w:val="0"/>
      <w:marTop w:val="0"/>
      <w:marBottom w:val="0"/>
      <w:divBdr>
        <w:top w:val="none" w:sz="0" w:space="0" w:color="auto"/>
        <w:left w:val="none" w:sz="0" w:space="0" w:color="auto"/>
        <w:bottom w:val="none" w:sz="0" w:space="0" w:color="auto"/>
        <w:right w:val="none" w:sz="0" w:space="0" w:color="auto"/>
      </w:divBdr>
    </w:div>
    <w:div w:id="214716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7b5f85732b2aab18314bbe4/National_Risk_Register_2025.pdf"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lancsfirerescue.org.uk/about/publicatio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ancsfirerescue.org.uk/safety/business-safety/battery-energy-storage-systems-b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image" Target="media/image4.png"/><Relationship Id="Rac94c45472244e79"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prepared.org.uk/assets/documents/lrf-lancashire-community-risk-register-2025.pdf" TargetMode="External"/><Relationship Id="rId22" Type="http://schemas.openxmlformats.org/officeDocument/2006/relationships/hyperlink" Target="https://www.bpf.org.uk/sites/default/files/resources/PIA-Property-Data-Report-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D40E98E22B5498F2FAB15C2F53D63" ma:contentTypeVersion="6" ma:contentTypeDescription="Create a new document." ma:contentTypeScope="" ma:versionID="f6f921e8341b55939d815c7ccfda3e59">
  <xsd:schema xmlns:xsd="http://www.w3.org/2001/XMLSchema" xmlns:xs="http://www.w3.org/2001/XMLSchema" xmlns:p="http://schemas.microsoft.com/office/2006/metadata/properties" xmlns:ns2="e0fdd6d6-8109-4724-8576-f7f59b12e24b" xmlns:ns3="d656770f-c15b-400d-a97f-04ec47ee88f3" targetNamespace="http://schemas.microsoft.com/office/2006/metadata/properties" ma:root="true" ma:fieldsID="59de0b252f0ba4a73b964d88f0fc0ef9" ns2:_="" ns3:_="">
    <xsd:import namespace="e0fdd6d6-8109-4724-8576-f7f59b12e24b"/>
    <xsd:import namespace="d656770f-c15b-400d-a97f-04ec47ee88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dd6d6-8109-4724-8576-f7f59b12e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6770f-c15b-400d-a97f-04ec47ee88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44A38-93DB-4312-891C-7F25A808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dd6d6-8109-4724-8576-f7f59b12e24b"/>
    <ds:schemaRef ds:uri="d656770f-c15b-400d-a97f-04ec47ee8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CBEC3-BECB-44F2-AFA5-AEB227A5B0C8}">
  <ds:schemaRefs>
    <ds:schemaRef ds:uri="http://schemas.microsoft.com/sharepoint/v3/contenttype/forms"/>
  </ds:schemaRefs>
</ds:datastoreItem>
</file>

<file path=customXml/itemProps3.xml><?xml version="1.0" encoding="utf-8"?>
<ds:datastoreItem xmlns:ds="http://schemas.openxmlformats.org/officeDocument/2006/customXml" ds:itemID="{49B0204F-9E63-4FC6-A672-625E9C8139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16790C-5710-4826-AD87-EEEB94D2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18679</Words>
  <Characters>106475</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P90 - Hartley, Damian</dc:creator>
  <cp:keywords/>
  <dc:description/>
  <cp:lastModifiedBy>SHQ - Haworth, Michelle</cp:lastModifiedBy>
  <cp:revision>5</cp:revision>
  <cp:lastPrinted>2024-12-06T15:12:00Z</cp:lastPrinted>
  <dcterms:created xsi:type="dcterms:W3CDTF">2025-10-03T08:57:00Z</dcterms:created>
  <dcterms:modified xsi:type="dcterms:W3CDTF">2025-10-03T11:01:00Z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0x010100D5AD40E98E22B5498F2FAB15C2F53D63</vt:lpwstr>
  </property>
</Properties>
</file>